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方正小标宋简体" w:eastAsia="方正小标宋简体"/>
          <w:b w:val="0"/>
          <w:bCs w:val="0"/>
          <w:sz w:val="44"/>
          <w:szCs w:val="44"/>
          <w:lang w:eastAsia="zh-CN"/>
        </w:rPr>
      </w:pPr>
      <w:bookmarkStart w:id="1" w:name="_GoBack"/>
      <w:r>
        <w:rPr>
          <w:rFonts w:hint="eastAsia" w:ascii="方正小标宋简体" w:eastAsia="方正小标宋简体"/>
          <w:b w:val="0"/>
          <w:bCs w:val="0"/>
          <w:sz w:val="44"/>
          <w:szCs w:val="44"/>
        </w:rPr>
        <w:t>天津市推动危险废物利用处置行业绿色低碳高质量发展若干举措</w:t>
      </w:r>
      <w:r>
        <w:rPr>
          <w:rFonts w:hint="eastAsia" w:ascii="方正小标宋简体" w:eastAsia="方正小标宋简体"/>
          <w:b w:val="0"/>
          <w:bCs w:val="0"/>
          <w:sz w:val="44"/>
          <w:szCs w:val="44"/>
          <w:lang w:eastAsia="zh-CN"/>
        </w:rPr>
        <w:t>（</w:t>
      </w:r>
      <w:r>
        <w:rPr>
          <w:rFonts w:hint="eastAsia" w:ascii="方正小标宋简体" w:eastAsia="方正小标宋简体"/>
          <w:b w:val="0"/>
          <w:bCs w:val="0"/>
          <w:sz w:val="44"/>
          <w:szCs w:val="44"/>
          <w:lang w:val="en-US" w:eastAsia="zh-CN"/>
        </w:rPr>
        <w:t>征求意见稿</w:t>
      </w:r>
      <w:r>
        <w:rPr>
          <w:rFonts w:hint="eastAsia" w:ascii="方正小标宋简体" w:eastAsia="方正小标宋简体"/>
          <w:b w:val="0"/>
          <w:bCs w:val="0"/>
          <w:sz w:val="44"/>
          <w:szCs w:val="44"/>
          <w:lang w:eastAsia="zh-CN"/>
        </w:rPr>
        <w:t>）</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ascii="仿宋_GB2312" w:eastAsia="仿宋_GB2312"/>
          <w:b w:val="0"/>
          <w:bCs w:val="0"/>
          <w:sz w:val="32"/>
          <w:szCs w:val="32"/>
        </w:rPr>
      </w:pPr>
    </w:p>
    <w:bookmarkEnd w:id="1"/>
    <w:p>
      <w:pPr>
        <w:pStyle w:val="2"/>
        <w:adjustRightInd w:val="0"/>
        <w:snapToGrid w:val="0"/>
        <w:spacing w:before="0" w:beforeAutospacing="0" w:after="0" w:afterAutospacing="0"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为全面贯彻习近平总书记在全国生态环境保护大会重要指示精神，落实我市生态环境保护大会部署要求，守牢美丽天津建设的安全底线，统筹推进我市危险废物利用处置行业绿色低碳高质量发展，现制定以下举措。</w:t>
      </w:r>
    </w:p>
    <w:p>
      <w:pPr>
        <w:pStyle w:val="5"/>
        <w:shd w:val="clear" w:color="auto" w:fill="FFFFFF"/>
        <w:spacing w:before="0" w:beforeAutospacing="0" w:after="0" w:afterAutospacing="0" w:line="45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一、全面推进提升改造</w:t>
      </w:r>
    </w:p>
    <w:p>
      <w:pPr>
        <w:pStyle w:val="5"/>
        <w:shd w:val="clear" w:color="auto" w:fill="FFFFFF"/>
        <w:spacing w:before="0" w:beforeAutospacing="0" w:after="0" w:afterAutospacing="0" w:line="450" w:lineRule="atLeast"/>
        <w:ind w:right="225" w:rightChars="107" w:firstLine="660"/>
        <w:rPr>
          <w:rFonts w:ascii="仿宋_GB2312" w:hAnsi="微软雅黑" w:eastAsia="仿宋_GB2312"/>
          <w:color w:val="000000"/>
          <w:sz w:val="32"/>
          <w:szCs w:val="32"/>
        </w:rPr>
      </w:pPr>
      <w:r>
        <w:rPr>
          <w:rFonts w:hint="eastAsia" w:ascii="仿宋_GB2312" w:hAnsi="微软雅黑" w:eastAsia="仿宋_GB2312"/>
          <w:color w:val="000000"/>
          <w:sz w:val="32"/>
          <w:szCs w:val="32"/>
        </w:rPr>
        <w:t>支持危险废物经营单位对标绿色发展</w:t>
      </w:r>
      <w:r>
        <w:rPr>
          <w:rFonts w:ascii="仿宋_GB2312" w:hAnsi="微软雅黑" w:eastAsia="仿宋_GB2312"/>
          <w:color w:val="000000"/>
          <w:sz w:val="32"/>
          <w:szCs w:val="32"/>
        </w:rPr>
        <w:t>“领跑者”制度</w:t>
      </w:r>
      <w:r>
        <w:rPr>
          <w:rFonts w:hint="eastAsia" w:ascii="仿宋_GB2312" w:hAnsi="微软雅黑" w:eastAsia="仿宋_GB2312"/>
          <w:color w:val="000000"/>
          <w:sz w:val="32"/>
          <w:szCs w:val="32"/>
        </w:rPr>
        <w:t>，以节能降碳和绿色转型为牵引，在危险废物经营能力不变的情况下，开展搬迁改造及兼并重组工作（详见附件），推进危险废物经营单位资源化产品结构升级，向产业链中高端延伸，鼓励使用清洁能源装备，</w:t>
      </w:r>
      <w:r>
        <w:rPr>
          <w:rFonts w:hint="eastAsia" w:ascii="仿宋_GB2312" w:hAnsi="仿宋" w:eastAsia="仿宋_GB2312"/>
          <w:color w:val="000000"/>
          <w:sz w:val="32"/>
          <w:szCs w:val="32"/>
        </w:rPr>
        <w:t>坚决遏制高耗能高排放低水平工艺及低端收集类项目盲目上马。加强</w:t>
      </w:r>
      <w:r>
        <w:rPr>
          <w:rFonts w:hint="eastAsia" w:ascii="仿宋_GB2312" w:hAnsi="微软雅黑" w:eastAsia="仿宋_GB2312"/>
          <w:color w:val="000000"/>
          <w:sz w:val="32"/>
          <w:szCs w:val="32"/>
        </w:rPr>
        <w:t>对现有危险废物经营单位积极有序开展节能降碳技术改造指导帮扶，稳妥推进使用低端初级工艺的危险废物经营单位关停并转，推动</w:t>
      </w:r>
      <w:r>
        <w:rPr>
          <w:rFonts w:hint="eastAsia" w:ascii="仿宋_GB2312" w:hAnsi="仿宋" w:eastAsia="仿宋_GB2312"/>
          <w:color w:val="000000"/>
          <w:sz w:val="32"/>
          <w:szCs w:val="32"/>
        </w:rPr>
        <w:t>危险废物利用处置行业绿色化高端化发展。</w:t>
      </w:r>
    </w:p>
    <w:p>
      <w:pPr>
        <w:pStyle w:val="5"/>
        <w:shd w:val="clear" w:color="auto" w:fill="FFFFFF"/>
        <w:spacing w:before="0" w:beforeAutospacing="0" w:after="0" w:afterAutospacing="0" w:line="450" w:lineRule="atLeast"/>
        <w:ind w:firstLine="640" w:firstLineChars="200"/>
        <w:rPr>
          <w:rFonts w:ascii="仿宋_GB2312" w:hAnsi="微软雅黑" w:eastAsia="仿宋_GB2312"/>
          <w:color w:val="000000"/>
          <w:sz w:val="32"/>
          <w:szCs w:val="32"/>
        </w:rPr>
      </w:pPr>
      <w:r>
        <w:rPr>
          <w:rFonts w:hint="eastAsia" w:ascii="黑体" w:hAnsi="黑体" w:eastAsia="黑体"/>
          <w:color w:val="000000"/>
          <w:sz w:val="32"/>
          <w:szCs w:val="32"/>
        </w:rPr>
        <w:t>二、实施创新驱动发展</w:t>
      </w:r>
    </w:p>
    <w:p>
      <w:pPr>
        <w:pStyle w:val="5"/>
        <w:shd w:val="clear" w:color="auto" w:fill="FFFFFF"/>
        <w:spacing w:before="0" w:beforeAutospacing="0" w:after="0" w:afterAutospacing="0" w:line="450" w:lineRule="atLeast"/>
        <w:ind w:firstLine="636"/>
        <w:rPr>
          <w:rFonts w:ascii="仿宋_GB2312" w:hAnsi="微软雅黑" w:eastAsia="仿宋_GB2312"/>
          <w:color w:val="000000"/>
          <w:sz w:val="32"/>
          <w:szCs w:val="32"/>
        </w:rPr>
      </w:pPr>
      <w:r>
        <w:rPr>
          <w:rFonts w:hint="eastAsia" w:ascii="仿宋_GB2312" w:hAnsi="微软雅黑" w:eastAsia="仿宋_GB2312"/>
          <w:color w:val="000000"/>
          <w:sz w:val="32"/>
          <w:szCs w:val="32"/>
        </w:rPr>
        <w:t>加快塑造发展新优势，</w:t>
      </w:r>
      <w:r>
        <w:rPr>
          <w:rFonts w:hint="eastAsia" w:ascii="仿宋_GB2312" w:hAnsi="仿宋" w:eastAsia="仿宋_GB2312"/>
          <w:color w:val="000000"/>
          <w:sz w:val="32"/>
          <w:szCs w:val="32"/>
        </w:rPr>
        <w:t>推动</w:t>
      </w:r>
      <w:r>
        <w:rPr>
          <w:rFonts w:hint="eastAsia" w:ascii="仿宋_GB2312" w:hAnsi="微软雅黑" w:eastAsia="仿宋_GB2312"/>
          <w:color w:val="000000"/>
          <w:sz w:val="32"/>
          <w:szCs w:val="32"/>
        </w:rPr>
        <w:t>区域性特殊危险废物集中处置中心在津落地，</w:t>
      </w:r>
      <w:r>
        <w:rPr>
          <w:rFonts w:ascii="Times New Roman" w:hAnsi="Times New Roman" w:eastAsia="仿宋_GB2312"/>
          <w:sz w:val="32"/>
          <w:szCs w:val="40"/>
          <w:lang w:val="en"/>
        </w:rPr>
        <w:t>加强</w:t>
      </w:r>
      <w:r>
        <w:rPr>
          <w:rFonts w:hint="eastAsia" w:ascii="Times New Roman" w:hAnsi="Times New Roman" w:eastAsia="仿宋_GB2312"/>
          <w:sz w:val="32"/>
          <w:szCs w:val="40"/>
          <w:lang w:val="en"/>
        </w:rPr>
        <w:t>与国家危险废物环境风险防控技术中心合作交流，</w:t>
      </w:r>
      <w:r>
        <w:rPr>
          <w:rFonts w:hint="eastAsia" w:ascii="仿宋_GB2312" w:hAnsi="微软雅黑" w:eastAsia="仿宋_GB2312"/>
          <w:color w:val="000000"/>
          <w:sz w:val="32"/>
          <w:szCs w:val="32"/>
        </w:rPr>
        <w:t>承担国家</w:t>
      </w:r>
      <w:r>
        <w:rPr>
          <w:rFonts w:hint="eastAsia" w:eastAsia="仿宋_GB2312"/>
          <w:spacing w:val="14"/>
          <w:sz w:val="32"/>
          <w:szCs w:val="32"/>
        </w:rPr>
        <w:t>特殊危险废物处置类科研</w:t>
      </w:r>
      <w:r>
        <w:rPr>
          <w:rFonts w:hint="eastAsia" w:ascii="仿宋_GB2312" w:hAnsi="微软雅黑" w:eastAsia="仿宋_GB2312"/>
          <w:color w:val="000000"/>
          <w:sz w:val="32"/>
          <w:szCs w:val="32"/>
        </w:rPr>
        <w:t>项目，</w:t>
      </w:r>
      <w:r>
        <w:rPr>
          <w:rFonts w:ascii="Times New Roman" w:hAnsi="Times New Roman" w:eastAsia="仿宋_GB2312"/>
          <w:sz w:val="32"/>
          <w:szCs w:val="40"/>
          <w:lang w:val="en"/>
        </w:rPr>
        <w:t>联合攻关危险废物利用处置关键核心技术</w:t>
      </w:r>
      <w:r>
        <w:rPr>
          <w:rFonts w:hint="eastAsia" w:ascii="Times New Roman" w:hAnsi="Times New Roman" w:eastAsia="仿宋_GB2312"/>
          <w:sz w:val="32"/>
          <w:szCs w:val="40"/>
          <w:lang w:val="en"/>
        </w:rPr>
        <w:t>。</w:t>
      </w:r>
      <w:r>
        <w:rPr>
          <w:rFonts w:hint="eastAsia" w:ascii="仿宋_GB2312" w:hAnsi="微软雅黑" w:eastAsia="仿宋_GB2312"/>
          <w:color w:val="000000"/>
          <w:sz w:val="32"/>
          <w:szCs w:val="32"/>
        </w:rPr>
        <w:t>支持危险废物利用处置行业领航企业联合高校、科研院所和关联企业共建产业创新中心，组织开展“技术攻关+产业化应用”示范工程，</w:t>
      </w:r>
      <w:r>
        <w:rPr>
          <w:rFonts w:ascii="Times New Roman" w:hAnsi="Times New Roman" w:eastAsia="仿宋_GB2312"/>
          <w:sz w:val="32"/>
          <w:szCs w:val="40"/>
          <w:lang w:val="en"/>
        </w:rPr>
        <w:t>推动</w:t>
      </w:r>
      <w:r>
        <w:rPr>
          <w:rFonts w:hint="eastAsia" w:ascii="仿宋_GB2312" w:eastAsia="仿宋_GB2312"/>
          <w:sz w:val="32"/>
          <w:szCs w:val="32"/>
        </w:rPr>
        <w:t>危险废物环保科研项目</w:t>
      </w:r>
      <w:r>
        <w:rPr>
          <w:rFonts w:ascii="Times New Roman" w:hAnsi="Times New Roman" w:eastAsia="仿宋_GB2312"/>
          <w:sz w:val="32"/>
          <w:szCs w:val="40"/>
          <w:lang w:val="en"/>
        </w:rPr>
        <w:t>与</w:t>
      </w:r>
      <w:r>
        <w:rPr>
          <w:rFonts w:hint="eastAsia" w:ascii="Times New Roman" w:hAnsi="Times New Roman" w:eastAsia="仿宋_GB2312"/>
          <w:sz w:val="32"/>
          <w:szCs w:val="40"/>
          <w:lang w:val="en"/>
        </w:rPr>
        <w:t>京冀两地</w:t>
      </w:r>
      <w:r>
        <w:rPr>
          <w:rFonts w:ascii="Times New Roman" w:hAnsi="Times New Roman" w:eastAsia="仿宋_GB2312"/>
          <w:sz w:val="32"/>
          <w:szCs w:val="40"/>
          <w:lang w:val="en"/>
        </w:rPr>
        <w:t>共享与转化</w:t>
      </w:r>
      <w:r>
        <w:rPr>
          <w:rFonts w:hint="eastAsia" w:ascii="Times New Roman" w:hAnsi="Times New Roman" w:eastAsia="仿宋_GB2312"/>
          <w:sz w:val="32"/>
          <w:szCs w:val="40"/>
          <w:lang w:val="en"/>
        </w:rPr>
        <w:t>。</w:t>
      </w:r>
    </w:p>
    <w:p>
      <w:pPr>
        <w:pStyle w:val="5"/>
        <w:shd w:val="clear" w:color="auto" w:fill="FFFFFF"/>
        <w:spacing w:before="0" w:beforeAutospacing="0" w:after="0" w:afterAutospacing="0" w:line="45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三、健全动能转换机制</w:t>
      </w:r>
    </w:p>
    <w:p>
      <w:pPr>
        <w:pStyle w:val="5"/>
        <w:shd w:val="clear" w:color="auto" w:fill="FFFFFF"/>
        <w:spacing w:before="0" w:beforeAutospacing="0" w:after="0" w:afterAutospacing="0" w:line="450" w:lineRule="atLeast"/>
        <w:ind w:firstLine="636"/>
        <w:rPr>
          <w:rFonts w:eastAsia="仿宋_GB2312"/>
          <w:sz w:val="32"/>
          <w:szCs w:val="32"/>
        </w:rPr>
      </w:pPr>
      <w:r>
        <w:rPr>
          <w:rFonts w:hint="eastAsia" w:ascii="仿宋_GB2312" w:hAnsi="微软雅黑" w:eastAsia="仿宋_GB2312"/>
          <w:color w:val="000000"/>
          <w:sz w:val="32"/>
          <w:szCs w:val="32"/>
        </w:rPr>
        <w:t>持续优化促进危险废物利用处置行业绿色低碳发展政策。在环境风险可控的前提下，继续开展危险废物“点对点”定向利用豁免管理试点，支持我市工业企业创建“无废工厂”，支持大型企业集团内部共享危险废物利用处置设施</w:t>
      </w:r>
      <w:bookmarkStart w:id="0" w:name="_Hlk109138643"/>
      <w:r>
        <w:rPr>
          <w:rFonts w:hint="eastAsia" w:ascii="仿宋_GB2312" w:hAnsi="微软雅黑" w:eastAsia="仿宋_GB2312"/>
          <w:color w:val="000000"/>
          <w:sz w:val="32"/>
          <w:szCs w:val="32"/>
        </w:rPr>
        <w:t>。</w:t>
      </w:r>
      <w:r>
        <w:rPr>
          <w:rFonts w:eastAsia="仿宋_GB2312"/>
          <w:sz w:val="32"/>
          <w:szCs w:val="32"/>
        </w:rPr>
        <w:t>危险废物</w:t>
      </w:r>
      <w:r>
        <w:rPr>
          <w:rFonts w:hint="eastAsia" w:eastAsia="仿宋_GB2312"/>
          <w:sz w:val="32"/>
          <w:szCs w:val="32"/>
        </w:rPr>
        <w:t>收集</w:t>
      </w:r>
      <w:r>
        <w:rPr>
          <w:rFonts w:eastAsia="仿宋_GB2312"/>
          <w:sz w:val="32"/>
          <w:szCs w:val="32"/>
        </w:rPr>
        <w:t>能力过剩</w:t>
      </w:r>
      <w:r>
        <w:rPr>
          <w:rFonts w:hint="eastAsia" w:eastAsia="仿宋_GB2312"/>
          <w:sz w:val="32"/>
          <w:szCs w:val="32"/>
        </w:rPr>
        <w:t>的区域</w:t>
      </w:r>
      <w:r>
        <w:rPr>
          <w:rFonts w:eastAsia="仿宋_GB2312"/>
          <w:sz w:val="32"/>
          <w:szCs w:val="32"/>
        </w:rPr>
        <w:t>，</w:t>
      </w:r>
      <w:r>
        <w:rPr>
          <w:rFonts w:hint="eastAsia" w:eastAsia="仿宋_GB2312"/>
          <w:sz w:val="32"/>
          <w:szCs w:val="32"/>
        </w:rPr>
        <w:t>应科学评估本区域危险废物产生情况，守牢美丽天津建设安全底线</w:t>
      </w:r>
      <w:r>
        <w:rPr>
          <w:rFonts w:eastAsia="仿宋_GB2312"/>
          <w:sz w:val="32"/>
          <w:szCs w:val="32"/>
        </w:rPr>
        <w:t>，严防形成危险废物</w:t>
      </w:r>
      <w:r>
        <w:rPr>
          <w:rFonts w:hint="eastAsia" w:eastAsia="仿宋_GB2312"/>
          <w:sz w:val="32"/>
          <w:szCs w:val="32"/>
        </w:rPr>
        <w:t>收集</w:t>
      </w:r>
      <w:r>
        <w:rPr>
          <w:rFonts w:eastAsia="仿宋_GB2312"/>
          <w:sz w:val="32"/>
          <w:szCs w:val="32"/>
        </w:rPr>
        <w:t>洼地</w:t>
      </w:r>
      <w:bookmarkEnd w:id="0"/>
      <w:r>
        <w:rPr>
          <w:rFonts w:eastAsia="仿宋_GB2312"/>
          <w:sz w:val="32"/>
          <w:szCs w:val="32"/>
        </w:rPr>
        <w:t>。</w:t>
      </w:r>
    </w:p>
    <w:p>
      <w:pPr>
        <w:pStyle w:val="5"/>
        <w:shd w:val="clear" w:color="auto" w:fill="FFFFFF"/>
        <w:spacing w:before="0" w:beforeAutospacing="0" w:after="0" w:afterAutospacing="0" w:line="45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四、探索绿色低碳发展机制</w:t>
      </w:r>
    </w:p>
    <w:p>
      <w:pPr>
        <w:pStyle w:val="5"/>
        <w:shd w:val="clear" w:color="auto" w:fill="FFFFFF"/>
        <w:spacing w:before="0" w:beforeAutospacing="0" w:after="0" w:afterAutospacing="0" w:line="450" w:lineRule="atLeast"/>
        <w:ind w:right="225" w:rightChars="107"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支持我市危险废物经营单位、危险废物“点对点”定向利用豁免管理试点企业、集团内部共享危险废物利用处置设施企业开展低碳场景试点示范建设，重点研究和示范推广生活垃圾焚烧飞灰等危险废物利用处置和环境污染防治的减污降碳新技术、新工艺，在具备条件的危险废物经营单位探索建设碳捕集利用与封存（</w:t>
      </w:r>
      <w:r>
        <w:rPr>
          <w:rFonts w:ascii="仿宋_GB2312" w:hAnsi="微软雅黑" w:eastAsia="仿宋_GB2312"/>
          <w:color w:val="000000"/>
          <w:sz w:val="32"/>
          <w:szCs w:val="32"/>
        </w:rPr>
        <w:t>CCUS</w:t>
      </w:r>
      <w:r>
        <w:rPr>
          <w:rFonts w:hint="eastAsia" w:ascii="仿宋_GB2312" w:hAnsi="微软雅黑" w:eastAsia="仿宋_GB2312"/>
          <w:color w:val="000000"/>
          <w:sz w:val="32"/>
          <w:szCs w:val="32"/>
        </w:rPr>
        <w:t>）示范项目，通过市场化方式鼓励利用废弃油田等发展多样化低成本碳封存，拓展二氧化碳在固体废物资源再生领域应用场景。</w:t>
      </w:r>
    </w:p>
    <w:p>
      <w:pPr>
        <w:pStyle w:val="5"/>
        <w:shd w:val="clear" w:color="auto" w:fill="FFFFFF"/>
        <w:spacing w:before="0" w:beforeAutospacing="0" w:after="0" w:afterAutospacing="0" w:line="45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加大绿色金融支持</w:t>
      </w:r>
    </w:p>
    <w:p>
      <w:pPr>
        <w:pStyle w:val="5"/>
        <w:shd w:val="clear" w:color="auto" w:fill="FFFFFF"/>
        <w:spacing w:before="0" w:beforeAutospacing="0" w:after="0" w:afterAutospacing="0" w:line="450" w:lineRule="atLeast"/>
        <w:ind w:right="-57" w:rightChars="-27" w:firstLine="636"/>
        <w:rPr>
          <w:rFonts w:eastAsia="仿宋_GB2312"/>
          <w:sz w:val="32"/>
          <w:szCs w:val="32"/>
        </w:rPr>
      </w:pPr>
      <w:r>
        <w:rPr>
          <w:rFonts w:hint="eastAsia" w:eastAsia="仿宋_GB2312"/>
          <w:sz w:val="32"/>
          <w:szCs w:val="32"/>
        </w:rPr>
        <w:t>支持有条件的</w:t>
      </w:r>
      <w:r>
        <w:rPr>
          <w:rFonts w:eastAsia="仿宋_GB2312"/>
          <w:sz w:val="32"/>
          <w:szCs w:val="32"/>
        </w:rPr>
        <w:t>资管公司、投资基金、国有资本等积极参与</w:t>
      </w:r>
      <w:r>
        <w:rPr>
          <w:rFonts w:hint="eastAsia" w:ascii="仿宋_GB2312" w:hAnsi="仿宋" w:eastAsia="仿宋_GB2312"/>
          <w:color w:val="000000"/>
          <w:sz w:val="32"/>
          <w:szCs w:val="32"/>
        </w:rPr>
        <w:t>危险废物利用处置行业绿色低碳转型项目</w:t>
      </w:r>
      <w:r>
        <w:rPr>
          <w:rFonts w:eastAsia="仿宋_GB2312"/>
          <w:sz w:val="32"/>
          <w:szCs w:val="32"/>
        </w:rPr>
        <w:t>，搭建交流平台，</w:t>
      </w:r>
      <w:r>
        <w:rPr>
          <w:rFonts w:hint="eastAsia" w:ascii="仿宋_GB2312" w:hAnsi="微软雅黑" w:eastAsia="仿宋_GB2312"/>
          <w:color w:val="000000"/>
          <w:sz w:val="32"/>
          <w:szCs w:val="32"/>
        </w:rPr>
        <w:t>探索危险废物利用处置行业市场化改革路径。积极帮助危险废物经营单位对接金融机构和</w:t>
      </w:r>
      <w:r>
        <w:rPr>
          <w:rFonts w:hint="eastAsia" w:eastAsia="仿宋_GB2312"/>
          <w:sz w:val="32"/>
          <w:szCs w:val="32"/>
        </w:rPr>
        <w:t>融资租赁公司</w:t>
      </w:r>
      <w:r>
        <w:rPr>
          <w:rFonts w:hint="eastAsia" w:ascii="仿宋_GB2312" w:hAnsi="微软雅黑" w:eastAsia="仿宋_GB2312"/>
          <w:color w:val="000000"/>
          <w:sz w:val="32"/>
          <w:szCs w:val="32"/>
        </w:rPr>
        <w:t>，</w:t>
      </w:r>
      <w:r>
        <w:rPr>
          <w:rFonts w:eastAsia="仿宋_GB2312"/>
          <w:sz w:val="32"/>
          <w:szCs w:val="32"/>
        </w:rPr>
        <w:t>鼓励金融机构</w:t>
      </w:r>
      <w:r>
        <w:rPr>
          <w:rFonts w:hint="eastAsia" w:eastAsia="仿宋_GB2312"/>
          <w:sz w:val="32"/>
          <w:szCs w:val="32"/>
        </w:rPr>
        <w:t>通过再贷款、碳减排等中国人民银行支持工具，</w:t>
      </w:r>
      <w:r>
        <w:rPr>
          <w:rFonts w:eastAsia="仿宋_GB2312"/>
          <w:sz w:val="32"/>
          <w:szCs w:val="32"/>
        </w:rPr>
        <w:t>加大对</w:t>
      </w:r>
      <w:r>
        <w:rPr>
          <w:rFonts w:hint="eastAsia" w:eastAsia="仿宋_GB2312"/>
          <w:sz w:val="32"/>
          <w:szCs w:val="32"/>
        </w:rPr>
        <w:t>危险废物经营单位提升改造</w:t>
      </w:r>
      <w:r>
        <w:rPr>
          <w:rFonts w:eastAsia="仿宋_GB2312"/>
          <w:sz w:val="32"/>
          <w:szCs w:val="32"/>
        </w:rPr>
        <w:t>的绿色</w:t>
      </w:r>
      <w:r>
        <w:rPr>
          <w:rFonts w:hint="eastAsia" w:eastAsia="仿宋_GB2312"/>
          <w:sz w:val="32"/>
          <w:szCs w:val="32"/>
        </w:rPr>
        <w:t>金融服务</w:t>
      </w:r>
      <w:r>
        <w:rPr>
          <w:rFonts w:eastAsia="仿宋_GB2312"/>
          <w:sz w:val="32"/>
          <w:szCs w:val="32"/>
        </w:rPr>
        <w:t>支持力度</w:t>
      </w:r>
      <w:r>
        <w:rPr>
          <w:rFonts w:hint="eastAsia" w:eastAsia="仿宋_GB2312"/>
          <w:sz w:val="32"/>
          <w:szCs w:val="32"/>
        </w:rPr>
        <w:t>，</w:t>
      </w:r>
      <w:r>
        <w:rPr>
          <w:rFonts w:eastAsia="仿宋_GB2312"/>
          <w:sz w:val="32"/>
          <w:szCs w:val="32"/>
        </w:rPr>
        <w:t>支持符合条件的</w:t>
      </w:r>
      <w:r>
        <w:rPr>
          <w:rFonts w:hint="eastAsia" w:eastAsia="仿宋_GB2312"/>
          <w:sz w:val="32"/>
          <w:szCs w:val="32"/>
        </w:rPr>
        <w:t>危险废物经营单位</w:t>
      </w:r>
      <w:r>
        <w:rPr>
          <w:rFonts w:eastAsia="仿宋_GB2312"/>
          <w:sz w:val="32"/>
          <w:szCs w:val="32"/>
        </w:rPr>
        <w:t>发行绿色债券</w:t>
      </w:r>
      <w:r>
        <w:rPr>
          <w:rFonts w:hint="eastAsia" w:eastAsia="仿宋_GB2312"/>
          <w:sz w:val="32"/>
          <w:szCs w:val="32"/>
        </w:rPr>
        <w:t xml:space="preserve"> 。</w:t>
      </w:r>
    </w:p>
    <w:p>
      <w:pPr>
        <w:pStyle w:val="5"/>
        <w:shd w:val="clear" w:color="auto" w:fill="FFFFFF"/>
        <w:spacing w:before="0" w:beforeAutospacing="0" w:after="0" w:afterAutospacing="0" w:line="45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六、推动数字绿色赋能</w:t>
      </w:r>
    </w:p>
    <w:p>
      <w:pPr>
        <w:pStyle w:val="5"/>
        <w:shd w:val="clear" w:color="auto" w:fill="FFFFFF"/>
        <w:spacing w:before="0" w:beforeAutospacing="0" w:after="0" w:afterAutospacing="0" w:line="450" w:lineRule="atLeast"/>
        <w:ind w:firstLine="636"/>
        <w:rPr>
          <w:rFonts w:ascii="仿宋_GB2312" w:hAnsi="仿宋" w:eastAsia="仿宋_GB2312"/>
          <w:color w:val="000000"/>
          <w:sz w:val="32"/>
          <w:szCs w:val="32"/>
        </w:rPr>
      </w:pPr>
      <w:r>
        <w:rPr>
          <w:rFonts w:hint="eastAsia" w:eastAsia="仿宋_GB2312"/>
          <w:sz w:val="32"/>
          <w:szCs w:val="32"/>
        </w:rPr>
        <w:t>指导</w:t>
      </w:r>
      <w:r>
        <w:rPr>
          <w:rFonts w:eastAsia="仿宋_GB2312"/>
          <w:sz w:val="32"/>
          <w:szCs w:val="32"/>
        </w:rPr>
        <w:t>危险废物</w:t>
      </w:r>
      <w:r>
        <w:rPr>
          <w:rFonts w:hint="eastAsia" w:eastAsia="仿宋_GB2312"/>
          <w:sz w:val="32"/>
          <w:szCs w:val="32"/>
        </w:rPr>
        <w:t>经营单位</w:t>
      </w:r>
      <w:r>
        <w:rPr>
          <w:rFonts w:eastAsia="仿宋_GB2312"/>
          <w:sz w:val="32"/>
          <w:szCs w:val="32"/>
        </w:rPr>
        <w:t>自建信息化管理系统，</w:t>
      </w:r>
      <w:r>
        <w:rPr>
          <w:rFonts w:hint="eastAsia" w:eastAsia="仿宋_GB2312"/>
          <w:sz w:val="32"/>
          <w:szCs w:val="32"/>
        </w:rPr>
        <w:t>落实企业主体责任，加强</w:t>
      </w:r>
      <w:r>
        <w:rPr>
          <w:rFonts w:eastAsia="仿宋_GB2312"/>
          <w:sz w:val="32"/>
          <w:szCs w:val="32"/>
        </w:rPr>
        <w:t>对危险废物利用处置全过程</w:t>
      </w:r>
      <w:r>
        <w:rPr>
          <w:rFonts w:hint="eastAsia" w:eastAsia="仿宋_GB2312"/>
          <w:sz w:val="32"/>
          <w:szCs w:val="32"/>
        </w:rPr>
        <w:t>自我</w:t>
      </w:r>
      <w:r>
        <w:rPr>
          <w:rFonts w:eastAsia="仿宋_GB2312"/>
          <w:sz w:val="32"/>
          <w:szCs w:val="32"/>
        </w:rPr>
        <w:t>管理</w:t>
      </w:r>
      <w:r>
        <w:rPr>
          <w:rFonts w:hint="eastAsia" w:eastAsia="仿宋_GB2312"/>
          <w:sz w:val="32"/>
          <w:szCs w:val="32"/>
        </w:rPr>
        <w:t>。整合</w:t>
      </w:r>
      <w:r>
        <w:rPr>
          <w:rFonts w:eastAsia="仿宋_GB2312"/>
          <w:sz w:val="32"/>
          <w:szCs w:val="32"/>
        </w:rPr>
        <w:t>视频监控、电子标签等集成</w:t>
      </w:r>
      <w:r>
        <w:rPr>
          <w:rFonts w:hint="eastAsia" w:eastAsia="仿宋_GB2312"/>
          <w:sz w:val="32"/>
          <w:szCs w:val="32"/>
        </w:rPr>
        <w:t>信息化监管手段</w:t>
      </w:r>
      <w:r>
        <w:rPr>
          <w:rFonts w:eastAsia="仿宋_GB2312"/>
          <w:sz w:val="32"/>
          <w:szCs w:val="32"/>
        </w:rPr>
        <w:t>，</w:t>
      </w:r>
      <w:r>
        <w:rPr>
          <w:rFonts w:hint="eastAsia" w:eastAsia="仿宋_GB2312"/>
          <w:sz w:val="32"/>
          <w:szCs w:val="32"/>
        </w:rPr>
        <w:t>结合</w:t>
      </w:r>
      <w:r>
        <w:rPr>
          <w:rFonts w:eastAsia="仿宋_GB2312"/>
          <w:sz w:val="32"/>
          <w:szCs w:val="32"/>
        </w:rPr>
        <w:t>物联网、大数据、5G+等先进技术，</w:t>
      </w:r>
      <w:r>
        <w:rPr>
          <w:rFonts w:hint="eastAsia" w:ascii="仿宋_GB2312" w:hAnsi="仿宋" w:eastAsia="仿宋_GB2312"/>
          <w:color w:val="000000"/>
          <w:sz w:val="32"/>
          <w:szCs w:val="32"/>
        </w:rPr>
        <w:t>不断完善我市危险废物综合监管信息系统，加强对危险废物全过程跟踪管理，并积极推动与相关行政机关、司法机关实现互通共享。</w:t>
      </w:r>
    </w:p>
    <w:p>
      <w:pPr>
        <w:ind w:right="-57" w:rightChars="-27" w:firstLine="672"/>
        <w:jc w:val="left"/>
        <w:rPr>
          <w:rFonts w:ascii="仿宋_GB2312" w:hAnsi="微软雅黑" w:eastAsia="仿宋_GB2312"/>
          <w:color w:val="000000"/>
          <w:sz w:val="32"/>
          <w:szCs w:val="32"/>
        </w:rPr>
      </w:pPr>
    </w:p>
    <w:p>
      <w:pPr>
        <w:ind w:right="-57" w:rightChars="-27" w:firstLine="672"/>
        <w:jc w:val="left"/>
        <w:rPr>
          <w:rFonts w:ascii="仿宋_GB2312" w:hAnsi="微软雅黑" w:eastAsia="仿宋_GB2312"/>
          <w:color w:val="000000"/>
          <w:sz w:val="32"/>
          <w:szCs w:val="32"/>
        </w:rPr>
      </w:pPr>
      <w:r>
        <w:rPr>
          <w:rFonts w:hint="eastAsia" w:ascii="仿宋_GB2312" w:hAnsi="微软雅黑" w:eastAsia="仿宋_GB2312"/>
          <w:color w:val="000000"/>
          <w:sz w:val="32"/>
          <w:szCs w:val="32"/>
        </w:rPr>
        <w:t>附件：危险废物经营单位搬迁改造方案编制大纲</w:t>
      </w: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left"/>
        <w:rPr>
          <w:rFonts w:hint="eastAsia" w:ascii="Times New Roman" w:hAnsi="Times New Roman" w:eastAsia="仿宋_GB2312"/>
          <w:sz w:val="32"/>
          <w:szCs w:val="32"/>
        </w:rPr>
      </w:pPr>
    </w:p>
    <w:p>
      <w:pPr>
        <w:jc w:val="left"/>
        <w:rPr>
          <w:rFonts w:ascii="宋体" w:hAnsi="宋体" w:cs="宋体"/>
          <w:b/>
          <w:bCs/>
          <w:sz w:val="30"/>
          <w:szCs w:val="30"/>
        </w:rPr>
      </w:pPr>
      <w:r>
        <w:rPr>
          <w:rFonts w:hint="eastAsia" w:ascii="宋体" w:hAnsi="宋体" w:cs="宋体"/>
          <w:b/>
          <w:bCs/>
          <w:sz w:val="30"/>
          <w:szCs w:val="30"/>
        </w:rPr>
        <w:t>附件：</w:t>
      </w:r>
    </w:p>
    <w:p>
      <w:pPr>
        <w:ind w:firstLine="720" w:firstLineChars="200"/>
        <w:jc w:val="left"/>
        <w:rPr>
          <w:rFonts w:ascii="方正小标宋简体" w:hAnsi="方正仿宋_GB2312" w:eastAsia="方正小标宋简体" w:cs="方正仿宋_GB2312"/>
          <w:sz w:val="36"/>
          <w:szCs w:val="36"/>
        </w:rPr>
      </w:pPr>
      <w:r>
        <w:rPr>
          <w:rFonts w:hint="eastAsia" w:ascii="方正小标宋简体" w:hAnsi="方正仿宋_GB2312" w:eastAsia="方正小标宋简体" w:cs="方正仿宋_GB2312"/>
          <w:sz w:val="36"/>
          <w:szCs w:val="36"/>
        </w:rPr>
        <w:t>危险废物经营单位搬迁改造方案编制大纲</w:t>
      </w:r>
    </w:p>
    <w:p>
      <w:pPr>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r>
        <w:rPr>
          <w:rFonts w:ascii="方正仿宋_GB2312" w:hAnsi="方正仿宋_GB2312" w:eastAsia="方正仿宋_GB2312" w:cs="方正仿宋_GB2312"/>
          <w:sz w:val="30"/>
          <w:szCs w:val="30"/>
        </w:rPr>
        <w:t xml:space="preserve"> </w:t>
      </w:r>
    </w:p>
    <w:p>
      <w:pPr>
        <w:numPr>
          <w:ilvl w:val="0"/>
          <w:numId w:val="1"/>
        </w:num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项目概况</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1.1搬迁背景</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1.2基本情况</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1.3搬迁性质</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1.4新选址周围环境现状</w:t>
      </w:r>
    </w:p>
    <w:p>
      <w:pPr>
        <w:numPr>
          <w:ilvl w:val="0"/>
          <w:numId w:val="1"/>
        </w:num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与项目有关的原有污染情况</w:t>
      </w:r>
    </w:p>
    <w:p>
      <w:pPr>
        <w:numPr>
          <w:ilvl w:val="0"/>
          <w:numId w:val="1"/>
        </w:num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搬迁前后生产水平及减污降碳变化情况</w:t>
      </w:r>
    </w:p>
    <w:p>
      <w:pPr>
        <w:numPr>
          <w:ilvl w:val="0"/>
          <w:numId w:val="1"/>
        </w:num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搬迁前后污染防治措施情况</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4.1大气污染防治措施</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4.2水污染防治措施</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4.3噪声污染防治措施</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4.4固体废物处置措施</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4.5土壤、地下水等防腐防渗措施</w:t>
      </w:r>
    </w:p>
    <w:p>
      <w:pPr>
        <w:adjustRightInd w:val="0"/>
        <w:snapToGrid w:val="0"/>
        <w:spacing w:line="336" w:lineRule="auto"/>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4.6环境风险防范措施</w:t>
      </w:r>
    </w:p>
    <w:p>
      <w:pPr>
        <w:numPr>
          <w:ilvl w:val="0"/>
          <w:numId w:val="1"/>
        </w:num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对原址采取的环境管理措施</w:t>
      </w:r>
    </w:p>
    <w:p>
      <w:pPr>
        <w:numPr>
          <w:ilvl w:val="0"/>
          <w:numId w:val="1"/>
        </w:num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安全生产措施</w:t>
      </w:r>
    </w:p>
    <w:p>
      <w:p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7.结论</w:t>
      </w:r>
    </w:p>
    <w:p>
      <w:pPr>
        <w:adjustRightInd w:val="0"/>
        <w:snapToGrid w:val="0"/>
        <w:spacing w:line="336" w:lineRule="auto"/>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8.附件</w:t>
      </w:r>
    </w:p>
    <w:p>
      <w:pPr>
        <w:adjustRightInd w:val="0"/>
        <w:snapToGrid w:val="0"/>
        <w:spacing w:line="312" w:lineRule="auto"/>
        <w:ind w:firstLine="420"/>
        <w:rPr>
          <w:b/>
          <w:bCs/>
          <w:sz w:val="24"/>
        </w:rPr>
      </w:pPr>
    </w:p>
    <w:p>
      <w:pPr>
        <w:adjustRightInd w:val="0"/>
        <w:snapToGrid w:val="0"/>
        <w:spacing w:line="312" w:lineRule="auto"/>
        <w:ind w:firstLine="420"/>
        <w:rPr>
          <w:b/>
          <w:bCs/>
          <w:sz w:val="24"/>
        </w:rPr>
      </w:pPr>
    </w:p>
    <w:p>
      <w:pPr>
        <w:adjustRightInd w:val="0"/>
        <w:snapToGrid w:val="0"/>
        <w:spacing w:line="312" w:lineRule="auto"/>
        <w:ind w:firstLine="420"/>
        <w:rPr>
          <w:b/>
          <w:bCs/>
          <w:sz w:val="24"/>
        </w:rPr>
      </w:pPr>
    </w:p>
    <w:p>
      <w:pPr>
        <w:adjustRightInd w:val="0"/>
        <w:snapToGrid w:val="0"/>
        <w:spacing w:line="312" w:lineRule="auto"/>
        <w:ind w:firstLine="420"/>
        <w:rPr>
          <w:b/>
          <w:bCs/>
          <w:sz w:val="24"/>
        </w:rPr>
      </w:pP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1.项目概况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1.1搬迁背景</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说明企业搬迁背景情况和搬迁的主要原因。</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1.2基本情况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说明企业的基本情况，包括：企业搬迁后国民经济行业分类及代码、迁建前后企业地点、危险废物处理处置规模、危险废物的名称、类别及代码，以及资源化产品名称及产量等。迁建后的企业选址须符合规划要求。明确企业迁建是否需要绿色金融贷款支持。</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1.3搬迁性质</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明确企业是整体搬迁改造还是部分搬迁改造。</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1.4新选址周围环境现状</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说明企业周边主要环境敏感点等信息，主要包括自然保护区、风景名胜区、居住区、文化区和农村地区中人群较集中的区域。</w:t>
      </w: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2.与项目有关的原有污染情况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简述现有企业环境评价、竣工验收、排污许可手续等情况。说明现有企业是否有遗留的环境问题以及环境违法处罚记录，有遗留环境问题的，明确遗留的环境问题是否已经整改，并附相关整改完成材料。</w:t>
      </w: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3.生产水平及减污降碳变化情况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主要从生产工艺和设备、资源能源消耗、资源综合利用、产品特征指标、碳排放量、污染物排放量等方面说明企业搬迁前后生产水平及减污降碳变化情况。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同时明确生产工艺是否属于先进生产工艺（利用的工艺纳入最新版《国家工业资源综合利用先进适用工艺技术设备目录》、《“无废城市”建设试点先进适用技术》、《国家绿色低碳先进技术成果目录》、以及相关专利或标准中涉及的生产工艺等）。</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表1   生产水平及产排污变化情况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01"/>
        <w:gridCol w:w="992"/>
        <w:gridCol w:w="1492"/>
        <w:gridCol w:w="201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序号</w:t>
            </w:r>
          </w:p>
        </w:tc>
        <w:tc>
          <w:tcPr>
            <w:tcW w:w="3685" w:type="dxa"/>
            <w:gridSpan w:val="3"/>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名     称</w:t>
            </w:r>
          </w:p>
        </w:tc>
        <w:tc>
          <w:tcPr>
            <w:tcW w:w="2016"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迁建前</w:t>
            </w:r>
          </w:p>
        </w:tc>
        <w:tc>
          <w:tcPr>
            <w:tcW w:w="2115"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迁建后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1</w:t>
            </w:r>
          </w:p>
        </w:tc>
        <w:tc>
          <w:tcPr>
            <w:tcW w:w="1201"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生产工艺及设备</w:t>
            </w: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工艺类型</w:t>
            </w:r>
          </w:p>
        </w:tc>
        <w:tc>
          <w:tcPr>
            <w:tcW w:w="2016" w:type="dxa"/>
          </w:tcPr>
          <w:p>
            <w:pPr>
              <w:adjustRightInd w:val="0"/>
              <w:snapToGrid w:val="0"/>
              <w:spacing w:line="312" w:lineRule="auto"/>
              <w:jc w:val="center"/>
              <w:rPr>
                <w:rFonts w:ascii="仿宋_GB2312" w:eastAsia="仿宋_GB2312"/>
                <w:sz w:val="28"/>
                <w:szCs w:val="28"/>
              </w:rPr>
            </w:pPr>
          </w:p>
        </w:tc>
        <w:tc>
          <w:tcPr>
            <w:tcW w:w="2115"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vAlign w:val="center"/>
          </w:tcPr>
          <w:p>
            <w:pPr>
              <w:adjustRightInd w:val="0"/>
              <w:snapToGrid w:val="0"/>
              <w:spacing w:line="312" w:lineRule="auto"/>
              <w:jc w:val="center"/>
              <w:rPr>
                <w:rFonts w:ascii="仿宋_GB2312" w:eastAsia="仿宋_GB2312"/>
                <w:sz w:val="28"/>
                <w:szCs w:val="28"/>
              </w:rPr>
            </w:pP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生产设备</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vAlign w:val="center"/>
          </w:tcPr>
          <w:p>
            <w:pPr>
              <w:adjustRightInd w:val="0"/>
              <w:snapToGrid w:val="0"/>
              <w:spacing w:line="312" w:lineRule="auto"/>
              <w:jc w:val="center"/>
              <w:rPr>
                <w:rFonts w:ascii="仿宋_GB2312" w:eastAsia="仿宋_GB2312"/>
                <w:sz w:val="28"/>
                <w:szCs w:val="28"/>
              </w:rPr>
            </w:pP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是否属于先进生产工艺</w:t>
            </w:r>
          </w:p>
        </w:tc>
        <w:tc>
          <w:tcPr>
            <w:tcW w:w="2016"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是（）  否（）</w:t>
            </w:r>
          </w:p>
        </w:tc>
        <w:tc>
          <w:tcPr>
            <w:tcW w:w="2115"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2</w:t>
            </w:r>
          </w:p>
        </w:tc>
        <w:tc>
          <w:tcPr>
            <w:tcW w:w="1201"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资源能源消耗</w:t>
            </w: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用水量（m</w:t>
            </w:r>
            <w:r>
              <w:rPr>
                <w:rFonts w:hint="eastAsia" w:ascii="仿宋_GB2312" w:eastAsia="仿宋_GB2312"/>
                <w:sz w:val="28"/>
                <w:szCs w:val="28"/>
                <w:vertAlign w:val="superscript"/>
              </w:rPr>
              <w:t>3</w:t>
            </w:r>
            <w:r>
              <w:rPr>
                <w:rFonts w:hint="eastAsia" w:ascii="仿宋_GB2312" w:eastAsia="仿宋_GB2312"/>
                <w:sz w:val="28"/>
                <w:szCs w:val="28"/>
              </w:rPr>
              <w: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vAlign w:val="center"/>
          </w:tcPr>
          <w:p>
            <w:pPr>
              <w:adjustRightInd w:val="0"/>
              <w:snapToGrid w:val="0"/>
              <w:spacing w:line="312" w:lineRule="auto"/>
              <w:jc w:val="center"/>
              <w:rPr>
                <w:rFonts w:ascii="仿宋_GB2312" w:eastAsia="仿宋_GB2312"/>
                <w:sz w:val="28"/>
                <w:szCs w:val="28"/>
              </w:rPr>
            </w:pP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用电量（kW</w:t>
            </w:r>
            <w:r>
              <w:rPr>
                <w:rFonts w:hint="eastAsia" w:ascii="仿宋_GB2312" w:hAnsi="Cambria" w:eastAsia="仿宋_GB2312" w:cs="Courier New"/>
                <w:sz w:val="28"/>
                <w:szCs w:val="28"/>
              </w:rPr>
              <w:t>·</w:t>
            </w:r>
            <w:r>
              <w:rPr>
                <w:rFonts w:hint="eastAsia" w:ascii="仿宋_GB2312" w:eastAsia="仿宋_GB2312"/>
                <w:sz w:val="28"/>
                <w:szCs w:val="28"/>
              </w:rPr>
              <w:t>h/a）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vAlign w:val="center"/>
          </w:tcPr>
          <w:p>
            <w:pPr>
              <w:adjustRightInd w:val="0"/>
              <w:snapToGrid w:val="0"/>
              <w:spacing w:line="312" w:lineRule="auto"/>
              <w:jc w:val="center"/>
              <w:rPr>
                <w:rFonts w:ascii="仿宋_GB2312" w:eastAsia="仿宋_GB2312"/>
                <w:sz w:val="28"/>
                <w:szCs w:val="28"/>
              </w:rPr>
            </w:pP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燃气用量（m</w:t>
            </w:r>
            <w:r>
              <w:rPr>
                <w:rFonts w:hint="eastAsia" w:ascii="仿宋_GB2312" w:eastAsia="仿宋_GB2312"/>
                <w:sz w:val="28"/>
                <w:szCs w:val="28"/>
                <w:vertAlign w:val="superscript"/>
              </w:rPr>
              <w:t>3</w:t>
            </w:r>
            <w:r>
              <w:rPr>
                <w:rFonts w:hint="eastAsia" w:ascii="仿宋_GB2312" w:eastAsia="仿宋_GB2312"/>
                <w:sz w:val="28"/>
                <w:szCs w:val="28"/>
              </w:rPr>
              <w: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3</w:t>
            </w:r>
          </w:p>
        </w:tc>
        <w:tc>
          <w:tcPr>
            <w:tcW w:w="1201"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资源综合</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利用</w:t>
            </w: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水重复利用率（%）</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6"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4</w:t>
            </w:r>
          </w:p>
        </w:tc>
        <w:tc>
          <w:tcPr>
            <w:tcW w:w="1201"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产品特征</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指标</w:t>
            </w: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资源化产品回收率（%）</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6"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5</w:t>
            </w:r>
          </w:p>
        </w:tc>
        <w:tc>
          <w:tcPr>
            <w:tcW w:w="1201" w:type="dxa"/>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碳排放量</w:t>
            </w:r>
          </w:p>
        </w:tc>
        <w:tc>
          <w:tcPr>
            <w:tcW w:w="2484" w:type="dxa"/>
            <w:gridSpan w:val="2"/>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二氧化碳当量（t</w:t>
            </w:r>
            <w:r>
              <w:rPr>
                <w:rFonts w:hint="eastAsia" w:ascii="仿宋_GB2312" w:eastAsia="仿宋_GB2312"/>
                <w:sz w:val="28"/>
                <w:szCs w:val="28"/>
                <w:vertAlign w:val="subscript"/>
              </w:rPr>
              <w:t>CO2e</w:t>
            </w:r>
            <w:r>
              <w:rPr>
                <w:rFonts w:hint="eastAsia" w:ascii="仿宋_GB2312" w:eastAsia="仿宋_GB2312"/>
                <w:sz w:val="28"/>
                <w:szCs w:val="28"/>
              </w:rPr>
              <w: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6"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6</w:t>
            </w:r>
          </w:p>
        </w:tc>
        <w:tc>
          <w:tcPr>
            <w:tcW w:w="1201"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污染物</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排放量</w:t>
            </w:r>
          </w:p>
        </w:tc>
        <w:tc>
          <w:tcPr>
            <w:tcW w:w="2484"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废水产生量（t/a）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tcPr>
          <w:p>
            <w:pPr>
              <w:adjustRightInd w:val="0"/>
              <w:snapToGrid w:val="0"/>
              <w:spacing w:line="312" w:lineRule="auto"/>
              <w:jc w:val="center"/>
              <w:rPr>
                <w:rFonts w:ascii="仿宋_GB2312" w:eastAsia="仿宋_GB2312"/>
                <w:sz w:val="28"/>
                <w:szCs w:val="28"/>
              </w:rPr>
            </w:pPr>
          </w:p>
        </w:tc>
        <w:tc>
          <w:tcPr>
            <w:tcW w:w="992" w:type="dxa"/>
            <w:vMerge w:val="restart"/>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废水</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污染物</w:t>
            </w:r>
          </w:p>
        </w:tc>
        <w:tc>
          <w:tcPr>
            <w:tcW w:w="1492"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CODcr（t/a）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tcPr>
          <w:p>
            <w:pPr>
              <w:adjustRightInd w:val="0"/>
              <w:snapToGrid w:val="0"/>
              <w:spacing w:line="312" w:lineRule="auto"/>
              <w:jc w:val="center"/>
              <w:rPr>
                <w:rFonts w:ascii="仿宋_GB2312" w:eastAsia="仿宋_GB2312"/>
                <w:sz w:val="28"/>
                <w:szCs w:val="28"/>
              </w:rPr>
            </w:pPr>
          </w:p>
        </w:tc>
        <w:tc>
          <w:tcPr>
            <w:tcW w:w="992" w:type="dxa"/>
            <w:vMerge w:val="continue"/>
          </w:tcPr>
          <w:p>
            <w:pPr>
              <w:adjustRightInd w:val="0"/>
              <w:snapToGrid w:val="0"/>
              <w:spacing w:line="312" w:lineRule="auto"/>
              <w:jc w:val="center"/>
              <w:rPr>
                <w:rFonts w:ascii="仿宋_GB2312" w:eastAsia="仿宋_GB2312"/>
                <w:sz w:val="28"/>
                <w:szCs w:val="28"/>
              </w:rPr>
            </w:pPr>
          </w:p>
        </w:tc>
        <w:tc>
          <w:tcPr>
            <w:tcW w:w="1492"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氨氮（t/a）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tcPr>
          <w:p>
            <w:pPr>
              <w:adjustRightInd w:val="0"/>
              <w:snapToGrid w:val="0"/>
              <w:spacing w:line="312" w:lineRule="auto"/>
              <w:jc w:val="center"/>
              <w:rPr>
                <w:rFonts w:ascii="仿宋_GB2312" w:eastAsia="仿宋_GB2312"/>
                <w:sz w:val="28"/>
                <w:szCs w:val="28"/>
              </w:rPr>
            </w:pPr>
          </w:p>
        </w:tc>
        <w:tc>
          <w:tcPr>
            <w:tcW w:w="992"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废气</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污染物</w:t>
            </w:r>
          </w:p>
        </w:tc>
        <w:tc>
          <w:tcPr>
            <w:tcW w:w="1492"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挥发性有机物（t/a）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adjustRightInd w:val="0"/>
              <w:snapToGrid w:val="0"/>
              <w:spacing w:line="312" w:lineRule="auto"/>
              <w:jc w:val="center"/>
              <w:rPr>
                <w:rFonts w:ascii="仿宋_GB2312" w:eastAsia="仿宋_GB2312"/>
                <w:sz w:val="28"/>
                <w:szCs w:val="28"/>
              </w:rPr>
            </w:pPr>
          </w:p>
        </w:tc>
        <w:tc>
          <w:tcPr>
            <w:tcW w:w="1201" w:type="dxa"/>
            <w:vMerge w:val="continue"/>
          </w:tcPr>
          <w:p>
            <w:pPr>
              <w:adjustRightInd w:val="0"/>
              <w:snapToGrid w:val="0"/>
              <w:spacing w:line="312" w:lineRule="auto"/>
              <w:jc w:val="center"/>
              <w:rPr>
                <w:rFonts w:ascii="仿宋_GB2312" w:eastAsia="仿宋_GB2312"/>
                <w:sz w:val="28"/>
                <w:szCs w:val="28"/>
              </w:rPr>
            </w:pPr>
          </w:p>
        </w:tc>
        <w:tc>
          <w:tcPr>
            <w:tcW w:w="992" w:type="dxa"/>
            <w:vMerge w:val="continue"/>
          </w:tcPr>
          <w:p>
            <w:pPr>
              <w:adjustRightInd w:val="0"/>
              <w:snapToGrid w:val="0"/>
              <w:spacing w:line="312" w:lineRule="auto"/>
              <w:jc w:val="center"/>
              <w:rPr>
                <w:rFonts w:ascii="仿宋_GB2312" w:eastAsia="仿宋_GB2312"/>
                <w:sz w:val="28"/>
                <w:szCs w:val="28"/>
              </w:rPr>
            </w:pPr>
          </w:p>
        </w:tc>
        <w:tc>
          <w:tcPr>
            <w:tcW w:w="1492"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NOx（t/a）</w:t>
            </w:r>
          </w:p>
        </w:tc>
        <w:tc>
          <w:tcPr>
            <w:tcW w:w="2016" w:type="dxa"/>
            <w:vAlign w:val="center"/>
          </w:tcPr>
          <w:p>
            <w:pPr>
              <w:adjustRightInd w:val="0"/>
              <w:snapToGrid w:val="0"/>
              <w:spacing w:line="312" w:lineRule="auto"/>
              <w:jc w:val="center"/>
              <w:rPr>
                <w:rFonts w:ascii="仿宋_GB2312" w:eastAsia="仿宋_GB2312"/>
                <w:sz w:val="28"/>
                <w:szCs w:val="28"/>
              </w:rPr>
            </w:pPr>
          </w:p>
        </w:tc>
        <w:tc>
          <w:tcPr>
            <w:tcW w:w="2115" w:type="dxa"/>
            <w:vAlign w:val="center"/>
          </w:tcPr>
          <w:p>
            <w:pPr>
              <w:adjustRightInd w:val="0"/>
              <w:snapToGrid w:val="0"/>
              <w:spacing w:line="312" w:lineRule="auto"/>
              <w:jc w:val="center"/>
              <w:rPr>
                <w:rFonts w:ascii="仿宋_GB2312" w:eastAsia="仿宋_GB2312"/>
                <w:sz w:val="28"/>
                <w:szCs w:val="28"/>
              </w:rPr>
            </w:pPr>
          </w:p>
        </w:tc>
      </w:tr>
    </w:tbl>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4.搬迁前后污染防治措施情况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主要说明企业迁建前后大气、水、噪声等污染防治措施、固体废物的处置措施、土壤地下水防腐防渗措施、环境风险防范措施以及降碳措施等变化情况。</w:t>
      </w: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其防治措施可参照下表列出。</w:t>
      </w:r>
    </w:p>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表2  搬迁前后污染防治措施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96"/>
        <w:gridCol w:w="2333"/>
        <w:gridCol w:w="219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序号</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名  称</w:t>
            </w:r>
          </w:p>
        </w:tc>
        <w:tc>
          <w:tcPr>
            <w:tcW w:w="2205"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迁建前</w:t>
            </w:r>
          </w:p>
        </w:tc>
        <w:tc>
          <w:tcPr>
            <w:tcW w:w="2732"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迁建后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1</w:t>
            </w:r>
          </w:p>
        </w:tc>
        <w:tc>
          <w:tcPr>
            <w:tcW w:w="453" w:type="dxa"/>
            <w:vMerge w:val="restart"/>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大气</w:t>
            </w:r>
          </w:p>
        </w:tc>
        <w:tc>
          <w:tcPr>
            <w:tcW w:w="2344"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污染防治措施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Pr>
          <w:p>
            <w:pPr>
              <w:adjustRightInd w:val="0"/>
              <w:snapToGrid w:val="0"/>
              <w:spacing w:line="312" w:lineRule="auto"/>
              <w:jc w:val="center"/>
              <w:rPr>
                <w:rFonts w:ascii="仿宋_GB2312" w:eastAsia="仿宋_GB2312"/>
                <w:sz w:val="28"/>
                <w:szCs w:val="28"/>
              </w:rPr>
            </w:pPr>
          </w:p>
        </w:tc>
        <w:tc>
          <w:tcPr>
            <w:tcW w:w="453" w:type="dxa"/>
            <w:vMerge w:val="continue"/>
          </w:tcPr>
          <w:p>
            <w:pPr>
              <w:adjustRightInd w:val="0"/>
              <w:snapToGrid w:val="0"/>
              <w:spacing w:line="312" w:lineRule="auto"/>
              <w:jc w:val="center"/>
              <w:rPr>
                <w:rFonts w:ascii="仿宋_GB2312" w:eastAsia="仿宋_GB2312"/>
                <w:sz w:val="28"/>
                <w:szCs w:val="28"/>
              </w:rPr>
            </w:pPr>
          </w:p>
        </w:tc>
        <w:tc>
          <w:tcPr>
            <w:tcW w:w="2344"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治理设施去除效率（%）</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2</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水污染防治措施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3</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噪声污染防治措施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4</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固体废物处置措施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5</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土壤、地下水防腐防渗措施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6</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环境风险防范措施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7</w:t>
            </w:r>
          </w:p>
        </w:tc>
        <w:tc>
          <w:tcPr>
            <w:tcW w:w="2797" w:type="dxa"/>
            <w:gridSpan w:val="2"/>
          </w:tcPr>
          <w:p>
            <w:pPr>
              <w:adjustRightInd w:val="0"/>
              <w:snapToGrid w:val="0"/>
              <w:spacing w:line="312" w:lineRule="auto"/>
              <w:jc w:val="center"/>
              <w:rPr>
                <w:rFonts w:ascii="仿宋_GB2312" w:eastAsia="仿宋_GB2312"/>
                <w:sz w:val="28"/>
                <w:szCs w:val="28"/>
              </w:rPr>
            </w:pPr>
            <w:r>
              <w:rPr>
                <w:rFonts w:hint="eastAsia" w:ascii="仿宋_GB2312" w:eastAsia="仿宋_GB2312"/>
                <w:sz w:val="28"/>
                <w:szCs w:val="28"/>
              </w:rPr>
              <w:t>降碳措施</w:t>
            </w:r>
          </w:p>
        </w:tc>
        <w:tc>
          <w:tcPr>
            <w:tcW w:w="2205" w:type="dxa"/>
          </w:tcPr>
          <w:p>
            <w:pPr>
              <w:adjustRightInd w:val="0"/>
              <w:snapToGrid w:val="0"/>
              <w:spacing w:line="312" w:lineRule="auto"/>
              <w:jc w:val="center"/>
              <w:rPr>
                <w:rFonts w:ascii="仿宋_GB2312" w:eastAsia="仿宋_GB2312"/>
                <w:sz w:val="28"/>
                <w:szCs w:val="28"/>
              </w:rPr>
            </w:pPr>
          </w:p>
        </w:tc>
        <w:tc>
          <w:tcPr>
            <w:tcW w:w="2732" w:type="dxa"/>
          </w:tcPr>
          <w:p>
            <w:pPr>
              <w:adjustRightInd w:val="0"/>
              <w:snapToGrid w:val="0"/>
              <w:spacing w:line="312" w:lineRule="auto"/>
              <w:jc w:val="center"/>
              <w:rPr>
                <w:rFonts w:ascii="仿宋_GB2312" w:eastAsia="仿宋_GB2312"/>
                <w:sz w:val="28"/>
                <w:szCs w:val="28"/>
              </w:rPr>
            </w:pPr>
          </w:p>
        </w:tc>
      </w:tr>
    </w:tbl>
    <w:p>
      <w:pPr>
        <w:adjustRightInd w:val="0"/>
        <w:snapToGrid w:val="0"/>
        <w:spacing w:line="312" w:lineRule="auto"/>
        <w:rPr>
          <w:rFonts w:ascii="仿宋_GB2312" w:eastAsia="仿宋_GB2312"/>
          <w:sz w:val="28"/>
          <w:szCs w:val="28"/>
        </w:rPr>
      </w:pP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5.对原址采取的环境管理措施</w:t>
      </w:r>
    </w:p>
    <w:p>
      <w:pPr>
        <w:adjustRightInd w:val="0"/>
        <w:snapToGrid w:val="0"/>
        <w:spacing w:line="312" w:lineRule="auto"/>
        <w:ind w:firstLine="420"/>
        <w:rPr>
          <w:rFonts w:ascii="仿宋_GB2312" w:eastAsia="仿宋_GB2312"/>
          <w:sz w:val="28"/>
          <w:szCs w:val="28"/>
        </w:rPr>
      </w:pPr>
      <w:r>
        <w:rPr>
          <w:rFonts w:hint="eastAsia" w:ascii="仿宋_GB2312" w:eastAsia="仿宋_GB2312"/>
          <w:sz w:val="28"/>
          <w:szCs w:val="28"/>
        </w:rPr>
        <w:t>简要叙述依法对原经营场所和设施所采取的污染防治措施。</w:t>
      </w: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6.安全生产措施</w:t>
      </w:r>
    </w:p>
    <w:p>
      <w:pPr>
        <w:adjustRightInd w:val="0"/>
        <w:snapToGrid w:val="0"/>
        <w:spacing w:line="312" w:lineRule="auto"/>
        <w:ind w:firstLine="420"/>
        <w:rPr>
          <w:rFonts w:ascii="仿宋_GB2312" w:eastAsia="仿宋_GB2312"/>
          <w:sz w:val="28"/>
          <w:szCs w:val="28"/>
        </w:rPr>
      </w:pPr>
      <w:r>
        <w:rPr>
          <w:rFonts w:hint="eastAsia" w:ascii="仿宋_GB2312" w:eastAsia="仿宋_GB2312"/>
          <w:sz w:val="28"/>
          <w:szCs w:val="28"/>
        </w:rPr>
        <w:t>简要叙述企业安全生产标准化建设计划以及采取的安全管理措施等。</w:t>
      </w: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7.结论</w:t>
      </w:r>
    </w:p>
    <w:p>
      <w:pPr>
        <w:adjustRightInd w:val="0"/>
        <w:snapToGrid w:val="0"/>
        <w:spacing w:line="312" w:lineRule="auto"/>
        <w:ind w:firstLine="420"/>
        <w:rPr>
          <w:rFonts w:ascii="仿宋_GB2312" w:eastAsia="仿宋_GB2312"/>
          <w:sz w:val="28"/>
          <w:szCs w:val="28"/>
        </w:rPr>
      </w:pPr>
      <w:r>
        <w:rPr>
          <w:rFonts w:hint="eastAsia" w:ascii="仿宋_GB2312" w:eastAsia="仿宋_GB2312"/>
          <w:sz w:val="28"/>
          <w:szCs w:val="28"/>
        </w:rPr>
        <w:t>明确企业搬迁性质，说明搬迁前后生产水平和减污降碳变化情况，以及搬迁改造的必要性。</w:t>
      </w:r>
    </w:p>
    <w:p>
      <w:pPr>
        <w:adjustRightInd w:val="0"/>
        <w:snapToGrid w:val="0"/>
        <w:spacing w:line="312" w:lineRule="auto"/>
        <w:ind w:firstLine="420"/>
        <w:rPr>
          <w:rFonts w:ascii="仿宋_GB2312" w:eastAsia="仿宋_GB2312"/>
          <w:b/>
          <w:bCs/>
          <w:sz w:val="28"/>
          <w:szCs w:val="28"/>
        </w:rPr>
      </w:pPr>
      <w:r>
        <w:rPr>
          <w:rFonts w:hint="eastAsia" w:ascii="仿宋_GB2312" w:eastAsia="仿宋_GB2312"/>
          <w:b/>
          <w:bCs/>
          <w:sz w:val="28"/>
          <w:szCs w:val="28"/>
        </w:rPr>
        <w:t>8.相关附图、附件</w:t>
      </w:r>
    </w:p>
    <w:p>
      <w:r>
        <w:rPr>
          <w:rFonts w:hint="eastAsia" w:ascii="仿宋_GB2312" w:eastAsia="仿宋_GB2312"/>
          <w:sz w:val="28"/>
          <w:szCs w:val="28"/>
        </w:rPr>
        <w:t>附图主要为搬迁后的周围环境简图。相关附件包括企业现有环境影响评价批复文件、竣工环境保护验收意见、排污许可复印件，以及遗留环境问题整改完成材料等。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82A9B"/>
    <w:multiLevelType w:val="singleLevel"/>
    <w:tmpl w:val="3A882A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hZTM0NDRhM2FkZWZmOWI2MzQ5MjliNmQ2YTE0NTEifQ=="/>
  </w:docVars>
  <w:rsids>
    <w:rsidRoot w:val="00E44336"/>
    <w:rsid w:val="002C58D5"/>
    <w:rsid w:val="003A6601"/>
    <w:rsid w:val="0090538F"/>
    <w:rsid w:val="00E44336"/>
    <w:rsid w:val="00E9305B"/>
    <w:rsid w:val="603E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427</Words>
  <Characters>2439</Characters>
  <Lines>20</Lines>
  <Paragraphs>5</Paragraphs>
  <TotalTime>2</TotalTime>
  <ScaleCrop>false</ScaleCrop>
  <LinksUpToDate>false</LinksUpToDate>
  <CharactersWithSpaces>2861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2023-11-08T02:19:00Z</dcterms:created>
  <dc:creator>岳 王</dc:creator>
  <cp:lastModifiedBy>大熊</cp:lastModifiedBy>
  <dcterms:modified xsi:type="dcterms:W3CDTF">2023-11-17T08:05:12Z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D703F359E3184A6DA295D1AB7FE17047_13</vt:lpwstr>
  </property>
</Properties>
</file>