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cs="黑体"/>
          <w:bCs/>
          <w:sz w:val="32"/>
          <w:szCs w:val="32"/>
        </w:rPr>
      </w:pPr>
      <w:r>
        <w:rPr>
          <w:rFonts w:hint="eastAsia" w:ascii="黑体" w:hAnsi="黑体" w:eastAsia="黑体" w:cs="黑体"/>
          <w:sz w:val="32"/>
          <w:szCs w:val="32"/>
        </w:rPr>
        <w:t>京环发〔202</w:t>
      </w:r>
      <w:r>
        <w:rPr>
          <w:rFonts w:ascii="黑体" w:hAnsi="黑体" w:eastAsia="黑体" w:cs="黑体"/>
          <w:sz w:val="32"/>
          <w:szCs w:val="32"/>
        </w:rPr>
        <w:t>4</w:t>
      </w:r>
      <w:r>
        <w:rPr>
          <w:rFonts w:hint="eastAsia" w:ascii="黑体" w:hAnsi="黑体" w:eastAsia="黑体" w:cs="黑体"/>
          <w:sz w:val="32"/>
          <w:szCs w:val="32"/>
        </w:rPr>
        <w:t>〕</w:t>
      </w:r>
      <w:r>
        <w:rPr>
          <w:rFonts w:hint="eastAsia" w:ascii="黑体" w:hAnsi="黑体" w:eastAsia="黑体" w:cs="黑体"/>
          <w:sz w:val="32"/>
          <w:szCs w:val="32"/>
          <w:lang w:val="en-US" w:eastAsia="zh-CN"/>
        </w:rPr>
        <w:t>8</w:t>
      </w:r>
      <w:r>
        <w:rPr>
          <w:rFonts w:hint="eastAsia" w:ascii="黑体" w:hAnsi="黑体" w:eastAsia="黑体" w:cs="黑体"/>
          <w:sz w:val="32"/>
          <w:szCs w:val="32"/>
        </w:rPr>
        <w:t>号</w:t>
      </w:r>
      <w:r>
        <w:rPr>
          <w:rFonts w:hint="eastAsia" w:ascii="黑体" w:hAnsi="黑体" w:eastAsia="黑体"/>
          <w:sz w:val="32"/>
          <w:szCs w:val="32"/>
        </w:rPr>
        <w:t>附件</w:t>
      </w:r>
      <w:r>
        <w:rPr>
          <w:rFonts w:hint="eastAsia" w:ascii="黑体" w:hAnsi="宋体" w:eastAsia="黑体" w:cs="黑体"/>
          <w:bCs/>
          <w:sz w:val="32"/>
          <w:szCs w:val="32"/>
        </w:rPr>
        <w:t>4</w:t>
      </w:r>
    </w:p>
    <w:p>
      <w:pPr>
        <w:rPr>
          <w:rFonts w:ascii="黑体" w:hAnsi="宋体" w:eastAsia="黑体" w:cs="黑体"/>
          <w:bCs/>
          <w:sz w:val="28"/>
          <w:szCs w:val="28"/>
        </w:rPr>
      </w:pPr>
    </w:p>
    <w:p>
      <w:pPr>
        <w:spacing w:line="36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北京市重点碳排放单位配额核定方案</w:t>
      </w:r>
    </w:p>
    <w:p>
      <w:pPr>
        <w:jc w:val="center"/>
        <w:rPr>
          <w:rFonts w:ascii="仿宋_GB2312" w:hAnsi="宋体" w:eastAsia="仿宋_GB2312" w:cs="仿宋_GB2312"/>
          <w:bCs/>
          <w:sz w:val="32"/>
          <w:szCs w:val="32"/>
        </w:rPr>
      </w:pPr>
    </w:p>
    <w:p>
      <w:pPr>
        <w:spacing w:line="560" w:lineRule="exact"/>
        <w:ind w:firstLine="646"/>
        <w:rPr>
          <w:rFonts w:ascii="仿宋_GB2312" w:hAnsi="宋体" w:eastAsia="仿宋_GB2312" w:cs="仿宋_GB2312"/>
          <w:bCs/>
          <w:sz w:val="32"/>
          <w:szCs w:val="32"/>
        </w:rPr>
      </w:pPr>
      <w:r>
        <w:rPr>
          <w:rFonts w:hint="eastAsia" w:ascii="仿宋_GB2312" w:hAnsi="宋体" w:eastAsia="仿宋_GB2312" w:cs="仿宋_GB2312"/>
          <w:bCs/>
          <w:sz w:val="32"/>
          <w:szCs w:val="32"/>
        </w:rPr>
        <w:t>根据市人大常委会《关于北京市在严格控制碳排放总量前提下开展碳排放权交易试点工作的决定》、市政府《北京市碳排放权交易管理办法》（京政发〔20</w:t>
      </w:r>
      <w:r>
        <w:rPr>
          <w:rFonts w:ascii="仿宋_GB2312" w:hAnsi="宋体" w:eastAsia="仿宋_GB2312" w:cs="仿宋_GB2312"/>
          <w:bCs/>
          <w:sz w:val="32"/>
          <w:szCs w:val="32"/>
        </w:rPr>
        <w:t>24</w:t>
      </w:r>
      <w:r>
        <w:rPr>
          <w:rFonts w:hint="eastAsia" w:ascii="仿宋_GB2312" w:hAnsi="宋体" w:eastAsia="仿宋_GB2312" w:cs="仿宋_GB2312"/>
          <w:bCs/>
          <w:sz w:val="32"/>
          <w:szCs w:val="32"/>
        </w:rPr>
        <w:t>〕</w:t>
      </w:r>
      <w:r>
        <w:rPr>
          <w:rFonts w:ascii="仿宋_GB2312" w:hAnsi="宋体" w:eastAsia="仿宋_GB2312" w:cs="仿宋_GB2312"/>
          <w:bCs/>
          <w:sz w:val="32"/>
          <w:szCs w:val="32"/>
        </w:rPr>
        <w:t>6</w:t>
      </w:r>
      <w:r>
        <w:rPr>
          <w:rFonts w:hint="eastAsia" w:ascii="仿宋_GB2312" w:hAnsi="宋体" w:eastAsia="仿宋_GB2312" w:cs="仿宋_GB2312"/>
          <w:bCs/>
          <w:sz w:val="32"/>
          <w:szCs w:val="32"/>
        </w:rPr>
        <w:t>号）有关要求，为进一步做好重点碳排放单位配额管理工作，制定本方案。</w:t>
      </w:r>
    </w:p>
    <w:p>
      <w:pPr>
        <w:numPr>
          <w:ilvl w:val="0"/>
          <w:numId w:val="1"/>
        </w:numPr>
        <w:spacing w:line="560" w:lineRule="exact"/>
        <w:ind w:firstLine="646"/>
        <w:rPr>
          <w:rFonts w:ascii="黑体" w:hAnsi="黑体" w:eastAsia="黑体" w:cs="仿宋_GB2312"/>
          <w:bCs/>
          <w:sz w:val="32"/>
          <w:szCs w:val="32"/>
        </w:rPr>
      </w:pPr>
      <w:r>
        <w:rPr>
          <w:rFonts w:hint="eastAsia" w:ascii="黑体" w:hAnsi="黑体" w:eastAsia="黑体" w:cs="仿宋_GB2312"/>
          <w:bCs/>
          <w:sz w:val="32"/>
          <w:szCs w:val="32"/>
        </w:rPr>
        <w:t xml:space="preserve">配额总量 </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根据本市“十四五”时期碳排放稳中有降的目标，在坚持碳排放配额总量</w:t>
      </w:r>
      <w:r>
        <w:rPr>
          <w:rFonts w:hint="eastAsia" w:ascii="仿宋_GB2312" w:eastAsia="仿宋_GB2312"/>
          <w:sz w:val="32"/>
          <w:szCs w:val="32"/>
          <w:lang w:eastAsia="zh-CN"/>
        </w:rPr>
        <w:t>和强度双控</w:t>
      </w:r>
      <w:r>
        <w:rPr>
          <w:rFonts w:hint="eastAsia" w:ascii="仿宋_GB2312" w:eastAsia="仿宋_GB2312"/>
          <w:sz w:val="32"/>
          <w:szCs w:val="32"/>
        </w:rPr>
        <w:t>、促进减污降碳协同控制、平稳衔接全国碳交易市场的原则下，按配额核定方法，</w:t>
      </w:r>
      <w:r>
        <w:rPr>
          <w:rFonts w:hint="eastAsia" w:ascii="仿宋_GB2312" w:eastAsia="仿宋_GB2312"/>
          <w:sz w:val="32"/>
          <w:szCs w:val="32"/>
          <w:lang w:eastAsia="zh-CN"/>
        </w:rPr>
        <w:t>自下而上核算重点碳排放单位免费配额</w:t>
      </w:r>
      <w:r>
        <w:rPr>
          <w:rFonts w:hint="eastAsia" w:ascii="仿宋_GB2312" w:eastAsia="仿宋_GB2312"/>
          <w:sz w:val="32"/>
          <w:szCs w:val="32"/>
          <w:lang w:val="en-US" w:eastAsia="zh-CN"/>
        </w:rPr>
        <w:t>。用于配额调整、有偿发放和市场调节等的配额，不超过年度配额总量的5%。</w:t>
      </w:r>
    </w:p>
    <w:p>
      <w:pPr>
        <w:widowControl/>
        <w:ind w:firstLine="620" w:firstLineChars="200"/>
        <w:jc w:val="left"/>
      </w:pPr>
      <w:r>
        <w:rPr>
          <w:rFonts w:hint="eastAsia" w:ascii="黑体" w:hAnsi="宋体" w:eastAsia="黑体" w:cs="黑体"/>
          <w:kern w:val="0"/>
          <w:sz w:val="31"/>
          <w:szCs w:val="31"/>
          <w:lang w:bidi="ar"/>
        </w:rPr>
        <w:t>二</w:t>
      </w:r>
      <w:r>
        <w:rPr>
          <w:rFonts w:ascii="黑体" w:hAnsi="宋体" w:eastAsia="黑体" w:cs="黑体"/>
          <w:kern w:val="0"/>
          <w:sz w:val="31"/>
          <w:szCs w:val="31"/>
          <w:lang w:bidi="ar"/>
        </w:rPr>
        <w:t>、配额发放</w:t>
      </w:r>
      <w:r>
        <w:rPr>
          <w:rFonts w:hint="eastAsia" w:ascii="黑体" w:hAnsi="宋体" w:eastAsia="黑体" w:cs="黑体"/>
          <w:kern w:val="0"/>
          <w:sz w:val="31"/>
          <w:szCs w:val="31"/>
          <w:lang w:bidi="ar"/>
        </w:rPr>
        <w:t>方式及方法</w:t>
      </w:r>
      <w:r>
        <w:rPr>
          <w:rFonts w:ascii="黑体" w:hAnsi="宋体" w:eastAsia="黑体" w:cs="黑体"/>
          <w:kern w:val="0"/>
          <w:sz w:val="31"/>
          <w:szCs w:val="31"/>
          <w:lang w:bidi="ar"/>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本市碳市场配额分配采取免费发放和有偿发放两种方式，</w:t>
      </w:r>
      <w:r>
        <w:rPr>
          <w:rFonts w:hint="eastAsia" w:ascii="仿宋_GB2312" w:eastAsia="仿宋_GB2312"/>
          <w:sz w:val="32"/>
          <w:szCs w:val="32"/>
        </w:rPr>
        <w:t>免费分配为主、有偿分配为辅</w:t>
      </w:r>
      <w:r>
        <w:rPr>
          <w:rFonts w:hint="eastAsia" w:ascii="仿宋_GB2312" w:hAnsi="仿宋_GB2312" w:eastAsia="仿宋_GB2312" w:cs="仿宋_GB2312"/>
          <w:sz w:val="32"/>
          <w:szCs w:val="32"/>
        </w:rPr>
        <w:t>。</w:t>
      </w:r>
    </w:p>
    <w:p>
      <w:pPr>
        <w:widowControl/>
        <w:ind w:firstLine="620" w:firstLineChars="200"/>
        <w:jc w:val="left"/>
        <w:rPr>
          <w:rFonts w:ascii="楷体_GB2312" w:hAnsi="宋体" w:eastAsia="楷体_GB2312" w:cs="楷体_GB2312"/>
          <w:color w:val="000000"/>
          <w:kern w:val="0"/>
          <w:sz w:val="31"/>
          <w:szCs w:val="31"/>
          <w:lang w:bidi="ar"/>
        </w:rPr>
      </w:pPr>
      <w:r>
        <w:rPr>
          <w:rFonts w:hint="eastAsia" w:ascii="楷体_GB2312" w:hAnsi="宋体" w:eastAsia="楷体_GB2312" w:cs="楷体_GB2312"/>
          <w:color w:val="000000"/>
          <w:kern w:val="0"/>
          <w:sz w:val="31"/>
          <w:szCs w:val="31"/>
          <w:lang w:bidi="ar"/>
        </w:rPr>
        <w:t>（一）免费配额发放</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一是配额预发。对按要求完成上一年度清缴工作的重点碳排放单位，按照上年度核定配额的7</w:t>
      </w:r>
      <w:r>
        <w:rPr>
          <w:rFonts w:ascii="仿宋_GB2312" w:eastAsia="仿宋_GB2312"/>
          <w:sz w:val="32"/>
          <w:szCs w:val="32"/>
        </w:rPr>
        <w:t>0%</w:t>
      </w:r>
      <w:r>
        <w:rPr>
          <w:rFonts w:hint="eastAsia" w:ascii="仿宋_GB2312" w:eastAsia="仿宋_GB2312"/>
          <w:sz w:val="32"/>
          <w:szCs w:val="32"/>
        </w:rPr>
        <w:t>预发；新增重点排放单位不进行配额预发。</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二是配额核发。根据重点碳排放单位202</w:t>
      </w:r>
      <w:r>
        <w:rPr>
          <w:rFonts w:ascii="仿宋_GB2312" w:eastAsia="仿宋_GB2312"/>
          <w:sz w:val="32"/>
          <w:szCs w:val="32"/>
        </w:rPr>
        <w:t>3</w:t>
      </w:r>
      <w:r>
        <w:rPr>
          <w:rFonts w:hint="eastAsia" w:ascii="仿宋_GB2312" w:eastAsia="仿宋_GB2312"/>
          <w:sz w:val="32"/>
          <w:szCs w:val="32"/>
        </w:rPr>
        <w:t>年度实际活动水平及配额申请材料核定最终配额。预发配额低于其最终核定配额的补发剩余配额；预发配额多于其最终核定配额的进行配额核减，重点碳排放单位须配合核减工作。</w:t>
      </w:r>
    </w:p>
    <w:p>
      <w:pPr>
        <w:widowControl/>
        <w:ind w:firstLine="620" w:firstLineChars="200"/>
        <w:jc w:val="left"/>
      </w:pPr>
      <w:r>
        <w:rPr>
          <w:rFonts w:hint="eastAsia" w:ascii="楷体_GB2312" w:hAnsi="宋体" w:eastAsia="楷体_GB2312" w:cs="楷体_GB2312"/>
          <w:color w:val="000000"/>
          <w:kern w:val="0"/>
          <w:sz w:val="31"/>
          <w:szCs w:val="31"/>
          <w:lang w:bidi="ar"/>
        </w:rPr>
        <w:t xml:space="preserve">（二）有偿配额发放 </w:t>
      </w:r>
    </w:p>
    <w:p>
      <w:pPr>
        <w:widowControl/>
        <w:ind w:firstLine="620" w:firstLineChars="200"/>
        <w:jc w:val="left"/>
      </w:pPr>
      <w:r>
        <w:rPr>
          <w:rFonts w:hint="eastAsia" w:ascii="仿宋_GB2312" w:hAnsi="宋体" w:eastAsia="仿宋_GB2312" w:cs="仿宋_GB2312"/>
          <w:color w:val="000000"/>
          <w:kern w:val="0"/>
          <w:sz w:val="31"/>
          <w:szCs w:val="31"/>
          <w:lang w:bidi="ar"/>
        </w:rPr>
        <w:t xml:space="preserve">2023年度有偿发放配额采用不定期竞价发放的形式，具体事宜另行通知。 </w:t>
      </w:r>
    </w:p>
    <w:p>
      <w:pPr>
        <w:numPr>
          <w:ilvl w:val="255"/>
          <w:numId w:val="0"/>
        </w:num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三、免费发放配额核定方法</w:t>
      </w:r>
    </w:p>
    <w:p>
      <w:pPr>
        <w:spacing w:line="360" w:lineRule="auto"/>
        <w:ind w:firstLine="640" w:firstLineChars="200"/>
        <w:outlineLvl w:val="0"/>
        <w:rPr>
          <w:rFonts w:ascii="仿宋_GB2312" w:hAnsi="Calibri" w:eastAsia="仿宋_GB2312"/>
          <w:bCs/>
          <w:sz w:val="32"/>
          <w:szCs w:val="32"/>
        </w:rPr>
      </w:pPr>
      <w:r>
        <w:rPr>
          <w:rFonts w:hint="eastAsia" w:ascii="仿宋_GB2312" w:eastAsia="仿宋_GB2312"/>
          <w:bCs/>
          <w:sz w:val="32"/>
          <w:szCs w:val="32"/>
        </w:rPr>
        <w:t>免费发放的碳排放配额根据不同行业特征采取基准线法、历史总量法和历史强度法核定。其中，历史总量和历史强度法的基准年为2016-2018年，新增设施计入期为2019年1月1日后投入运行的</w:t>
      </w:r>
      <w:r>
        <w:rPr>
          <w:rFonts w:hint="eastAsia" w:ascii="仿宋_GB2312" w:hAnsi="Calibri" w:eastAsia="仿宋_GB2312"/>
          <w:bCs/>
          <w:sz w:val="32"/>
          <w:szCs w:val="32"/>
        </w:rPr>
        <w:t>。</w:t>
      </w:r>
    </w:p>
    <w:p>
      <w:pPr>
        <w:spacing w:line="360" w:lineRule="auto"/>
        <w:ind w:firstLine="640" w:firstLineChars="200"/>
        <w:outlineLvl w:val="0"/>
        <w:rPr>
          <w:rFonts w:hint="eastAsia" w:ascii="仿宋_GB2312" w:hAnsi="Calibri" w:eastAsia="仿宋_GB2312"/>
          <w:bCs/>
          <w:sz w:val="32"/>
          <w:szCs w:val="32"/>
        </w:rPr>
      </w:pPr>
      <w:r>
        <w:rPr>
          <w:rFonts w:hint="eastAsia" w:ascii="仿宋_GB2312" w:hAnsi="Calibri" w:eastAsia="仿宋_GB2312"/>
          <w:bCs/>
          <w:sz w:val="32"/>
          <w:szCs w:val="32"/>
        </w:rPr>
        <w:t>重点碳排放单位边界内含有数据中心的，若数据中心全年电力能源消耗量500万千瓦时及以上且能耗单独计量，2023年度数据中心部分配额可依申请按照基准线法核算，其他部分配额按照对应的行业方法学核算；2024年度起数据中心部分配额统一按照基准线法核算，其他部分其他部分配额按照对应的行业方法学核算。</w:t>
      </w:r>
    </w:p>
    <w:p>
      <w:pPr>
        <w:spacing w:line="360" w:lineRule="auto"/>
        <w:ind w:firstLine="645"/>
        <w:rPr>
          <w:rFonts w:ascii="楷体" w:hAnsi="楷体" w:eastAsia="楷体"/>
          <w:bCs/>
          <w:sz w:val="32"/>
          <w:szCs w:val="32"/>
        </w:rPr>
      </w:pPr>
      <w:r>
        <w:rPr>
          <w:rFonts w:hint="eastAsia" w:ascii="楷体" w:hAnsi="楷体" w:eastAsia="楷体"/>
          <w:bCs/>
          <w:sz w:val="32"/>
          <w:szCs w:val="32"/>
        </w:rPr>
        <w:t>（一）基准线法</w:t>
      </w:r>
    </w:p>
    <w:p>
      <w:pPr>
        <w:spacing w:line="360" w:lineRule="auto"/>
        <w:ind w:firstLine="645"/>
        <w:rPr>
          <w:rFonts w:ascii="楷体" w:hAnsi="楷体" w:eastAsia="楷体" w:cs="楷体"/>
          <w:bCs/>
          <w:sz w:val="32"/>
          <w:szCs w:val="32"/>
        </w:rPr>
      </w:pPr>
      <w:r>
        <w:rPr>
          <w:rFonts w:hint="eastAsia" w:ascii="楷体" w:hAnsi="楷体" w:eastAsia="楷体" w:cs="楷体"/>
          <w:bCs/>
          <w:sz w:val="32"/>
          <w:szCs w:val="32"/>
        </w:rPr>
        <w:t>1.火力发电行业（热电联产）配额核定方法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w:t>
      </w:r>
      <w:r>
        <w:rPr>
          <w:rFonts w:ascii="仿宋_GB2312" w:hAnsi="仿宋_GB2312" w:eastAsia="仿宋_GB2312" w:cs="仿宋_GB2312"/>
          <w:bCs/>
          <w:sz w:val="32"/>
          <w:szCs w:val="32"/>
        </w:rPr>
        <w:t>采用</w:t>
      </w:r>
      <w:r>
        <w:rPr>
          <w:rFonts w:hint="eastAsia" w:ascii="仿宋_GB2312" w:hAnsi="仿宋_GB2312" w:eastAsia="仿宋_GB2312" w:cs="仿宋_GB2312"/>
          <w:bCs/>
          <w:sz w:val="32"/>
          <w:szCs w:val="32"/>
        </w:rPr>
        <w:t>基准线法核定，包括</w:t>
      </w:r>
      <w:r>
        <w:rPr>
          <w:rFonts w:hint="eastAsia" w:ascii="仿宋_GB2312" w:eastAsia="仿宋_GB2312"/>
          <w:bCs/>
          <w:sz w:val="32"/>
          <w:szCs w:val="32"/>
        </w:rPr>
        <w:t>供电配额（A</w:t>
      </w:r>
      <w:r>
        <w:rPr>
          <w:rFonts w:hint="eastAsia" w:ascii="仿宋_GB2312" w:eastAsia="仿宋_GB2312"/>
          <w:bCs/>
          <w:sz w:val="32"/>
          <w:szCs w:val="32"/>
          <w:vertAlign w:val="subscript"/>
        </w:rPr>
        <w:t>e</w:t>
      </w:r>
      <w:r>
        <w:rPr>
          <w:rFonts w:hint="eastAsia" w:ascii="仿宋_GB2312" w:eastAsia="仿宋_GB2312"/>
          <w:bCs/>
          <w:sz w:val="32"/>
          <w:szCs w:val="32"/>
        </w:rPr>
        <w:t>）和供热配额（A</w:t>
      </w:r>
      <w:r>
        <w:rPr>
          <w:rFonts w:hint="eastAsia" w:ascii="仿宋_GB2312" w:eastAsia="仿宋_GB2312"/>
          <w:bCs/>
          <w:sz w:val="32"/>
          <w:szCs w:val="32"/>
          <w:vertAlign w:val="subscript"/>
        </w:rPr>
        <w:t>h</w:t>
      </w:r>
      <w:r>
        <w:rPr>
          <w:rFonts w:hint="eastAsia" w:ascii="仿宋_GB2312" w:eastAsia="仿宋_GB2312"/>
          <w:bCs/>
          <w:sz w:val="32"/>
          <w:szCs w:val="32"/>
        </w:rPr>
        <w:t>）两个部分，计量单位为吨。</w:t>
      </w:r>
    </w:p>
    <w:p>
      <w:pPr>
        <w:spacing w:line="360" w:lineRule="auto"/>
        <w:ind w:firstLine="645"/>
        <w:rPr>
          <w:rFonts w:ascii="仿宋_GB2312" w:eastAsia="仿宋_GB2312"/>
          <w:bCs/>
          <w:sz w:val="32"/>
          <w:szCs w:val="32"/>
        </w:rPr>
      </w:pPr>
      <w:r>
        <w:rPr>
          <w:rFonts w:hint="eastAsia" w:ascii="仿宋_GB2312" w:eastAsia="仿宋_GB2312"/>
          <w:bCs/>
          <w:sz w:val="32"/>
          <w:szCs w:val="32"/>
        </w:rPr>
        <w:t>计算公式为：T=A</w:t>
      </w:r>
      <w:r>
        <w:rPr>
          <w:rFonts w:hint="eastAsia" w:ascii="仿宋_GB2312" w:eastAsia="仿宋_GB2312"/>
          <w:bCs/>
          <w:sz w:val="32"/>
          <w:szCs w:val="32"/>
          <w:vertAlign w:val="subscript"/>
        </w:rPr>
        <w:t>e</w:t>
      </w:r>
      <w:r>
        <w:rPr>
          <w:rFonts w:hint="eastAsia" w:ascii="仿宋_GB2312" w:eastAsia="仿宋_GB2312"/>
          <w:bCs/>
          <w:sz w:val="32"/>
          <w:szCs w:val="32"/>
        </w:rPr>
        <w:t>+A</w:t>
      </w:r>
      <w:r>
        <w:rPr>
          <w:rFonts w:hint="eastAsia" w:ascii="仿宋_GB2312" w:eastAsia="仿宋_GB2312"/>
          <w:bCs/>
          <w:sz w:val="32"/>
          <w:szCs w:val="32"/>
          <w:vertAlign w:val="subscript"/>
        </w:rPr>
        <w:t>h</w:t>
      </w:r>
      <w:r>
        <w:rPr>
          <w:rFonts w:hint="eastAsia" w:ascii="仿宋_GB2312" w:eastAsia="仿宋_GB2312"/>
          <w:bCs/>
          <w:sz w:val="32"/>
          <w:szCs w:val="32"/>
        </w:rPr>
        <w:t>（1）</w:t>
      </w:r>
    </w:p>
    <w:p>
      <w:pPr>
        <w:spacing w:line="360" w:lineRule="auto"/>
        <w:ind w:firstLine="640" w:firstLineChars="200"/>
        <w:jc w:val="left"/>
        <w:rPr>
          <w:rFonts w:ascii="楷体_GB2312" w:eastAsia="楷体_GB2312"/>
          <w:bCs/>
          <w:sz w:val="32"/>
          <w:szCs w:val="32"/>
        </w:rPr>
      </w:pPr>
      <w:r>
        <w:rPr>
          <w:rFonts w:hint="eastAsia" w:ascii="楷体_GB2312" w:eastAsia="楷体_GB2312"/>
          <w:bCs/>
          <w:sz w:val="32"/>
          <w:szCs w:val="32"/>
        </w:rPr>
        <w:t>（1）机组供电二氧化碳排放配额（</w:t>
      </w:r>
      <w:r>
        <w:rPr>
          <w:rFonts w:hint="eastAsia" w:ascii="仿宋_GB2312" w:eastAsia="仿宋_GB2312"/>
          <w:bCs/>
          <w:sz w:val="32"/>
          <w:szCs w:val="32"/>
        </w:rPr>
        <w:t>A</w:t>
      </w:r>
      <w:r>
        <w:rPr>
          <w:rFonts w:hint="eastAsia" w:ascii="仿宋_GB2312" w:eastAsia="仿宋_GB2312"/>
          <w:bCs/>
          <w:sz w:val="32"/>
          <w:szCs w:val="32"/>
          <w:vertAlign w:val="subscript"/>
        </w:rPr>
        <w:t>e</w:t>
      </w:r>
      <w:r>
        <w:rPr>
          <w:rFonts w:hint="eastAsia" w:ascii="楷体_GB2312" w:eastAsia="楷体_GB2312"/>
          <w:bCs/>
          <w:sz w:val="32"/>
          <w:szCs w:val="32"/>
        </w:rPr>
        <w:t>）</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计算公式为：</w:t>
      </w:r>
      <w:r>
        <w:rPr>
          <w:rFonts w:ascii="仿宋_GB2312" w:eastAsia="仿宋_GB2312"/>
          <w:bCs/>
          <w:sz w:val="32"/>
          <w:szCs w:val="32"/>
        </w:rPr>
        <w:t>A</w:t>
      </w:r>
      <w:r>
        <w:rPr>
          <w:rFonts w:ascii="仿宋_GB2312" w:eastAsia="仿宋_GB2312"/>
          <w:bCs/>
          <w:sz w:val="32"/>
          <w:szCs w:val="32"/>
          <w:vertAlign w:val="subscript"/>
        </w:rPr>
        <w:t>e</w:t>
      </w:r>
      <w:r>
        <w:rPr>
          <w:rFonts w:ascii="仿宋_GB2312" w:eastAsia="仿宋_GB2312"/>
          <w:bCs/>
          <w:sz w:val="32"/>
          <w:szCs w:val="32"/>
        </w:rPr>
        <w:t>=Q</w:t>
      </w:r>
      <w:r>
        <w:rPr>
          <w:rFonts w:ascii="仿宋_GB2312" w:eastAsia="仿宋_GB2312"/>
          <w:bCs/>
          <w:sz w:val="32"/>
          <w:szCs w:val="32"/>
          <w:vertAlign w:val="subscript"/>
        </w:rPr>
        <w:t>e</w:t>
      </w:r>
      <w:r>
        <w:rPr>
          <w:rFonts w:hint="eastAsia" w:ascii="仿宋_GB2312" w:eastAsia="仿宋_GB2312"/>
          <w:bCs/>
          <w:sz w:val="32"/>
          <w:szCs w:val="32"/>
        </w:rPr>
        <w:t>×</w:t>
      </w:r>
      <w:r>
        <w:rPr>
          <w:rFonts w:ascii="仿宋_GB2312" w:eastAsia="仿宋_GB2312"/>
          <w:bCs/>
          <w:sz w:val="32"/>
          <w:szCs w:val="32"/>
        </w:rPr>
        <w:t>B</w:t>
      </w:r>
      <w:r>
        <w:rPr>
          <w:rFonts w:ascii="仿宋_GB2312" w:eastAsia="仿宋_GB2312"/>
          <w:bCs/>
          <w:sz w:val="32"/>
          <w:szCs w:val="32"/>
          <w:vertAlign w:val="subscript"/>
        </w:rPr>
        <w:t>e</w:t>
      </w:r>
      <w:r>
        <w:rPr>
          <w:rFonts w:hint="eastAsia" w:ascii="仿宋_GB2312" w:eastAsia="仿宋_GB2312"/>
          <w:bCs/>
          <w:sz w:val="32"/>
          <w:szCs w:val="32"/>
        </w:rPr>
        <w:t>×</w:t>
      </w:r>
      <w:r>
        <w:rPr>
          <w:rFonts w:ascii="仿宋_GB2312" w:eastAsia="仿宋_GB2312"/>
          <w:bCs/>
          <w:sz w:val="32"/>
          <w:szCs w:val="32"/>
        </w:rPr>
        <w:t>F</w:t>
      </w:r>
      <w:r>
        <w:rPr>
          <w:rFonts w:ascii="仿宋_GB2312" w:eastAsia="仿宋_GB2312"/>
          <w:bCs/>
          <w:sz w:val="32"/>
          <w:szCs w:val="32"/>
          <w:vertAlign w:val="subscript"/>
        </w:rPr>
        <w:t>r</w:t>
      </w:r>
      <w:r>
        <w:rPr>
          <w:rFonts w:hint="eastAsia" w:ascii="仿宋_GB2312" w:eastAsia="仿宋_GB2312"/>
          <w:bCs/>
          <w:sz w:val="32"/>
          <w:szCs w:val="32"/>
        </w:rPr>
        <w:t>（2）</w:t>
      </w:r>
    </w:p>
    <w:p>
      <w:pPr>
        <w:spacing w:line="360" w:lineRule="auto"/>
        <w:ind w:firstLine="645"/>
        <w:rPr>
          <w:rFonts w:ascii="仿宋_GB2312" w:eastAsia="仿宋_GB2312"/>
          <w:bCs/>
          <w:sz w:val="32"/>
          <w:szCs w:val="32"/>
        </w:rPr>
      </w:pPr>
      <w:r>
        <w:rPr>
          <w:rFonts w:hint="eastAsia" w:ascii="仿宋_GB2312" w:eastAsia="仿宋_GB2312"/>
          <w:bCs/>
          <w:sz w:val="32"/>
          <w:szCs w:val="32"/>
        </w:rPr>
        <w:t>Q</w:t>
      </w:r>
      <w:r>
        <w:rPr>
          <w:rFonts w:ascii="仿宋_GB2312" w:eastAsia="仿宋_GB2312"/>
          <w:bCs/>
          <w:sz w:val="32"/>
          <w:szCs w:val="32"/>
          <w:vertAlign w:val="subscript"/>
        </w:rPr>
        <w:t>e</w:t>
      </w:r>
      <w:r>
        <w:rPr>
          <w:rFonts w:hint="eastAsia" w:ascii="仿宋_GB2312" w:eastAsia="仿宋_GB2312"/>
          <w:bCs/>
          <w:sz w:val="32"/>
          <w:szCs w:val="32"/>
        </w:rPr>
        <w:t>为机组供电量，单位为MWh；B</w:t>
      </w:r>
      <w:r>
        <w:rPr>
          <w:rFonts w:ascii="仿宋_GB2312" w:eastAsia="仿宋_GB2312"/>
          <w:bCs/>
          <w:sz w:val="32"/>
          <w:szCs w:val="32"/>
          <w:vertAlign w:val="subscript"/>
        </w:rPr>
        <w:t>e</w:t>
      </w:r>
      <w:r>
        <w:rPr>
          <w:rFonts w:hint="eastAsia" w:ascii="仿宋_GB2312" w:eastAsia="仿宋_GB2312"/>
          <w:bCs/>
          <w:sz w:val="32"/>
          <w:szCs w:val="32"/>
        </w:rPr>
        <w:t>为机组供电二氧化碳排放基准；F</w:t>
      </w:r>
      <w:r>
        <w:rPr>
          <w:rFonts w:ascii="仿宋_GB2312" w:eastAsia="仿宋_GB2312"/>
          <w:bCs/>
          <w:sz w:val="32"/>
          <w:szCs w:val="32"/>
          <w:vertAlign w:val="subscript"/>
        </w:rPr>
        <w:t>r</w:t>
      </w:r>
      <w:r>
        <w:rPr>
          <w:rFonts w:hint="eastAsia" w:ascii="仿宋_GB2312" w:eastAsia="仿宋_GB2312"/>
          <w:bCs/>
          <w:sz w:val="32"/>
          <w:szCs w:val="32"/>
        </w:rPr>
        <w:t>为机组供热量修正系数，F</w:t>
      </w:r>
      <w:r>
        <w:rPr>
          <w:rFonts w:ascii="仿宋_GB2312" w:eastAsia="仿宋_GB2312"/>
          <w:bCs/>
          <w:sz w:val="32"/>
          <w:szCs w:val="32"/>
          <w:vertAlign w:val="subscript"/>
        </w:rPr>
        <w:t>r</w:t>
      </w:r>
      <w:r>
        <w:rPr>
          <w:rFonts w:hint="eastAsia" w:ascii="仿宋_GB2312" w:eastAsia="仿宋_GB2312"/>
          <w:bCs/>
          <w:sz w:val="32"/>
          <w:szCs w:val="32"/>
        </w:rPr>
        <w:t>=1-机组供热比调整系数×机组供热比</w:t>
      </w:r>
      <w:r>
        <w:rPr>
          <w:rFonts w:hint="eastAsia" w:ascii="仿宋_GB2312" w:hAnsi="仿宋_GB2312" w:eastAsia="仿宋_GB2312" w:cs="仿宋_GB2312"/>
          <w:bCs/>
          <w:sz w:val="32"/>
          <w:szCs w:val="32"/>
        </w:rPr>
        <w:t>。</w:t>
      </w:r>
    </w:p>
    <w:p>
      <w:pPr>
        <w:spacing w:line="360" w:lineRule="auto"/>
        <w:ind w:firstLine="640" w:firstLineChars="200"/>
        <w:rPr>
          <w:rFonts w:ascii="楷体_GB2312" w:eastAsia="楷体_GB2312"/>
          <w:bCs/>
          <w:sz w:val="32"/>
          <w:szCs w:val="32"/>
        </w:rPr>
      </w:pPr>
      <w:r>
        <w:rPr>
          <w:rFonts w:hint="eastAsia" w:ascii="楷体_GB2312" w:eastAsia="楷体_GB2312"/>
          <w:bCs/>
          <w:sz w:val="32"/>
          <w:szCs w:val="32"/>
        </w:rPr>
        <w:t>（2）机组供热二氧化碳配额（</w:t>
      </w:r>
      <w:r>
        <w:rPr>
          <w:rFonts w:hint="eastAsia" w:ascii="仿宋_GB2312" w:eastAsia="仿宋_GB2312"/>
          <w:bCs/>
          <w:sz w:val="32"/>
          <w:szCs w:val="32"/>
        </w:rPr>
        <w:t>A</w:t>
      </w:r>
      <w:r>
        <w:rPr>
          <w:rFonts w:hint="eastAsia" w:ascii="仿宋_GB2312" w:eastAsia="仿宋_GB2312"/>
          <w:bCs/>
          <w:sz w:val="32"/>
          <w:szCs w:val="32"/>
          <w:vertAlign w:val="subscript"/>
        </w:rPr>
        <w:t>h</w:t>
      </w:r>
      <w:r>
        <w:rPr>
          <w:rFonts w:hint="eastAsia" w:ascii="楷体_GB2312" w:eastAsia="楷体_GB2312"/>
          <w:bCs/>
          <w:sz w:val="32"/>
          <w:szCs w:val="32"/>
        </w:rPr>
        <w:t>）</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计算公式为：A</w:t>
      </w:r>
      <w:r>
        <w:rPr>
          <w:rFonts w:hint="eastAsia" w:ascii="仿宋_GB2312" w:eastAsia="仿宋_GB2312"/>
          <w:bCs/>
          <w:sz w:val="32"/>
          <w:szCs w:val="32"/>
          <w:vertAlign w:val="subscript"/>
        </w:rPr>
        <w:t>h</w:t>
      </w:r>
      <w:r>
        <w:rPr>
          <w:rFonts w:hint="eastAsia" w:ascii="仿宋_GB2312" w:eastAsia="仿宋_GB2312"/>
          <w:bCs/>
          <w:sz w:val="32"/>
          <w:szCs w:val="32"/>
        </w:rPr>
        <w:t>=Q</w:t>
      </w:r>
      <w:r>
        <w:rPr>
          <w:rFonts w:hint="eastAsia" w:ascii="仿宋_GB2312" w:eastAsia="仿宋_GB2312"/>
          <w:bCs/>
          <w:sz w:val="32"/>
          <w:szCs w:val="32"/>
          <w:vertAlign w:val="subscript"/>
        </w:rPr>
        <w:t>h</w:t>
      </w:r>
      <w:r>
        <w:rPr>
          <w:rFonts w:hint="eastAsia" w:ascii="仿宋_GB2312" w:eastAsia="仿宋_GB2312"/>
          <w:bCs/>
          <w:sz w:val="32"/>
          <w:szCs w:val="32"/>
        </w:rPr>
        <w:t>×B</w:t>
      </w:r>
      <w:r>
        <w:rPr>
          <w:rFonts w:hint="eastAsia" w:ascii="仿宋_GB2312" w:eastAsia="仿宋_GB2312"/>
          <w:bCs/>
          <w:sz w:val="32"/>
          <w:szCs w:val="32"/>
          <w:vertAlign w:val="subscript"/>
        </w:rPr>
        <w:t>h</w:t>
      </w:r>
      <w:r>
        <w:rPr>
          <w:rFonts w:hint="eastAsia" w:ascii="仿宋_GB2312" w:eastAsia="仿宋_GB2312"/>
          <w:bCs/>
          <w:sz w:val="32"/>
          <w:szCs w:val="32"/>
        </w:rPr>
        <w:t>（3）</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Q</w:t>
      </w:r>
      <w:r>
        <w:rPr>
          <w:rFonts w:hint="eastAsia" w:ascii="仿宋_GB2312" w:eastAsia="仿宋_GB2312"/>
          <w:bCs/>
          <w:sz w:val="32"/>
          <w:szCs w:val="32"/>
          <w:vertAlign w:val="subscript"/>
        </w:rPr>
        <w:t>h</w:t>
      </w:r>
      <w:r>
        <w:rPr>
          <w:rFonts w:hint="eastAsia" w:ascii="仿宋_GB2312" w:eastAsia="仿宋_GB2312"/>
          <w:bCs/>
          <w:sz w:val="32"/>
          <w:szCs w:val="32"/>
        </w:rPr>
        <w:t>为机组供热量，单位为GJ；B</w:t>
      </w:r>
      <w:r>
        <w:rPr>
          <w:rFonts w:hint="eastAsia" w:ascii="仿宋_GB2312" w:eastAsia="仿宋_GB2312"/>
          <w:bCs/>
          <w:sz w:val="32"/>
          <w:szCs w:val="32"/>
          <w:vertAlign w:val="subscript"/>
        </w:rPr>
        <w:t>h</w:t>
      </w:r>
      <w:r>
        <w:rPr>
          <w:rFonts w:hint="eastAsia" w:ascii="仿宋_GB2312" w:eastAsia="仿宋_GB2312"/>
          <w:bCs/>
          <w:sz w:val="32"/>
          <w:szCs w:val="32"/>
        </w:rPr>
        <w:t>为机组供热二氧化碳排放基准。</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机组供电量排放基准值、机组供热比调整</w:t>
      </w:r>
      <w:bookmarkStart w:id="4" w:name="_GoBack"/>
      <w:bookmarkEnd w:id="4"/>
      <w:r>
        <w:rPr>
          <w:rFonts w:hint="eastAsia" w:ascii="仿宋_GB2312" w:hAnsi="仿宋_GB2312" w:eastAsia="仿宋_GB2312" w:cs="仿宋_GB2312"/>
          <w:bCs/>
          <w:sz w:val="32"/>
          <w:szCs w:val="32"/>
        </w:rPr>
        <w:t>系数和机组供热排放基准值，详见附件1。</w:t>
      </w:r>
    </w:p>
    <w:p>
      <w:pPr>
        <w:spacing w:line="360" w:lineRule="auto"/>
        <w:ind w:firstLine="645"/>
        <w:rPr>
          <w:rFonts w:ascii="楷体" w:hAnsi="楷体" w:eastAsia="楷体"/>
          <w:bCs/>
          <w:sz w:val="32"/>
          <w:szCs w:val="32"/>
        </w:rPr>
      </w:pPr>
      <w:r>
        <w:rPr>
          <w:rFonts w:hint="eastAsia" w:ascii="楷体" w:hAnsi="楷体" w:eastAsia="楷体"/>
          <w:bCs/>
          <w:sz w:val="32"/>
          <w:szCs w:val="32"/>
        </w:rPr>
        <w:t>2</w:t>
      </w:r>
      <w:r>
        <w:rPr>
          <w:rFonts w:ascii="楷体" w:hAnsi="楷体" w:eastAsia="楷体"/>
          <w:bCs/>
          <w:sz w:val="32"/>
          <w:szCs w:val="32"/>
        </w:rPr>
        <w:t>.</w:t>
      </w:r>
      <w:r>
        <w:rPr>
          <w:rFonts w:hint="eastAsia" w:ascii="楷体" w:hAnsi="楷体" w:eastAsia="楷体"/>
          <w:bCs/>
          <w:sz w:val="32"/>
          <w:szCs w:val="32"/>
        </w:rPr>
        <w:t>水泥制造行业配额核定方法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二氧化碳配额总量（T）采用基准线法核定，包括熟料生产配额（A</w:t>
      </w:r>
      <w:r>
        <w:rPr>
          <w:rFonts w:hint="eastAsia" w:ascii="仿宋_GB2312" w:eastAsia="仿宋_GB2312"/>
          <w:bCs/>
          <w:sz w:val="32"/>
          <w:szCs w:val="32"/>
          <w:vertAlign w:val="subscript"/>
        </w:rPr>
        <w:t>C</w:t>
      </w:r>
      <w:r>
        <w:rPr>
          <w:rFonts w:hint="eastAsia" w:ascii="仿宋_GB2312" w:eastAsia="仿宋_GB2312"/>
          <w:bCs/>
          <w:sz w:val="32"/>
          <w:szCs w:val="32"/>
        </w:rPr>
        <w:t>）和废弃物协同处置配额（A</w:t>
      </w:r>
      <w:r>
        <w:rPr>
          <w:rFonts w:hint="eastAsia" w:ascii="仿宋_GB2312" w:eastAsia="仿宋_GB2312"/>
          <w:bCs/>
          <w:sz w:val="32"/>
          <w:szCs w:val="32"/>
          <w:vertAlign w:val="subscript"/>
        </w:rPr>
        <w:t>w</w:t>
      </w:r>
      <w:r>
        <w:rPr>
          <w:rFonts w:hint="eastAsia" w:ascii="仿宋_GB2312" w:eastAsia="仿宋_GB2312"/>
          <w:bCs/>
          <w:sz w:val="32"/>
          <w:szCs w:val="32"/>
        </w:rPr>
        <w:t>）两部分，计量单位为吨。</w:t>
      </w:r>
    </w:p>
    <w:p>
      <w:pPr>
        <w:spacing w:line="360" w:lineRule="auto"/>
        <w:ind w:firstLine="645"/>
        <w:rPr>
          <w:rFonts w:ascii="仿宋_GB2312" w:eastAsia="仿宋_GB2312"/>
          <w:bCs/>
          <w:sz w:val="32"/>
          <w:szCs w:val="32"/>
        </w:rPr>
      </w:pPr>
      <w:r>
        <w:rPr>
          <w:rFonts w:hint="eastAsia" w:ascii="仿宋_GB2312" w:eastAsia="仿宋_GB2312"/>
          <w:bCs/>
          <w:sz w:val="32"/>
          <w:szCs w:val="32"/>
        </w:rPr>
        <w:t>计算公式为：T =A</w:t>
      </w:r>
      <w:r>
        <w:rPr>
          <w:rFonts w:hint="eastAsia" w:ascii="仿宋_GB2312" w:eastAsia="仿宋_GB2312"/>
          <w:bCs/>
          <w:sz w:val="32"/>
          <w:szCs w:val="32"/>
          <w:vertAlign w:val="subscript"/>
        </w:rPr>
        <w:t>C</w:t>
      </w:r>
      <w:r>
        <w:rPr>
          <w:rFonts w:ascii="仿宋_GB2312" w:eastAsia="仿宋_GB2312"/>
          <w:bCs/>
          <w:sz w:val="32"/>
          <w:szCs w:val="32"/>
        </w:rPr>
        <w:t>+</w:t>
      </w:r>
      <w:r>
        <w:rPr>
          <w:rFonts w:hint="eastAsia" w:ascii="仿宋_GB2312" w:eastAsia="仿宋_GB2312"/>
          <w:bCs/>
          <w:sz w:val="32"/>
          <w:szCs w:val="32"/>
        </w:rPr>
        <w:t>A</w:t>
      </w:r>
      <w:r>
        <w:rPr>
          <w:rFonts w:hint="eastAsia" w:ascii="仿宋_GB2312" w:eastAsia="仿宋_GB2312"/>
          <w:bCs/>
          <w:sz w:val="32"/>
          <w:szCs w:val="32"/>
          <w:vertAlign w:val="subscript"/>
        </w:rPr>
        <w:t>W</w:t>
      </w:r>
      <w:r>
        <w:rPr>
          <w:rFonts w:hint="eastAsia" w:ascii="仿宋_GB2312" w:eastAsia="仿宋_GB2312"/>
          <w:bCs/>
          <w:sz w:val="32"/>
          <w:szCs w:val="32"/>
        </w:rPr>
        <w:t>（4）</w:t>
      </w:r>
    </w:p>
    <w:p>
      <w:pPr>
        <w:spacing w:line="360" w:lineRule="auto"/>
        <w:ind w:firstLine="645"/>
        <w:rPr>
          <w:rFonts w:ascii="仿宋_GB2312" w:eastAsia="仿宋_GB2312"/>
          <w:bCs/>
          <w:sz w:val="32"/>
          <w:szCs w:val="32"/>
        </w:rPr>
      </w:pPr>
      <w:r>
        <w:rPr>
          <w:rFonts w:hint="eastAsia" w:ascii="仿宋_GB2312" w:eastAsia="仿宋_GB2312"/>
          <w:bCs/>
          <w:sz w:val="32"/>
          <w:szCs w:val="32"/>
        </w:rPr>
        <w:t>其中：A</w:t>
      </w:r>
      <w:r>
        <w:rPr>
          <w:rFonts w:hint="eastAsia" w:ascii="仿宋_GB2312" w:eastAsia="仿宋_GB2312"/>
          <w:bCs/>
          <w:sz w:val="32"/>
          <w:szCs w:val="32"/>
          <w:vertAlign w:val="subscript"/>
        </w:rPr>
        <w:t>C</w:t>
      </w:r>
      <w:r>
        <w:rPr>
          <w:rFonts w:hint="eastAsia" w:ascii="仿宋_GB2312" w:eastAsia="仿宋_GB2312"/>
          <w:bCs/>
          <w:sz w:val="32"/>
          <w:szCs w:val="32"/>
        </w:rPr>
        <w:t xml:space="preserve"> =Q</w:t>
      </w:r>
      <w:r>
        <w:rPr>
          <w:rFonts w:ascii="仿宋_GB2312" w:eastAsia="仿宋_GB2312"/>
          <w:bCs/>
          <w:sz w:val="32"/>
          <w:szCs w:val="32"/>
          <w:vertAlign w:val="subscript"/>
        </w:rPr>
        <w:t>c</w:t>
      </w:r>
      <w:r>
        <w:rPr>
          <w:rFonts w:hint="eastAsia" w:ascii="仿宋_GB2312" w:eastAsia="仿宋_GB2312"/>
          <w:bCs/>
          <w:sz w:val="32"/>
          <w:szCs w:val="32"/>
        </w:rPr>
        <w:t>×B</w:t>
      </w:r>
      <w:r>
        <w:rPr>
          <w:rFonts w:ascii="仿宋_GB2312" w:eastAsia="仿宋_GB2312"/>
          <w:bCs/>
          <w:sz w:val="32"/>
          <w:szCs w:val="32"/>
          <w:vertAlign w:val="subscript"/>
        </w:rPr>
        <w:t>c</w:t>
      </w:r>
      <w:r>
        <w:rPr>
          <w:rFonts w:hint="eastAsia" w:ascii="仿宋_GB2312" w:eastAsia="仿宋_GB2312"/>
          <w:bCs/>
          <w:sz w:val="32"/>
          <w:szCs w:val="32"/>
        </w:rPr>
        <w:t>（5）</w:t>
      </w:r>
    </w:p>
    <w:p>
      <w:pPr>
        <w:spacing w:line="360" w:lineRule="auto"/>
        <w:ind w:firstLine="1600" w:firstLineChars="500"/>
        <w:rPr>
          <w:rFonts w:ascii="仿宋_GB2312" w:eastAsia="仿宋_GB2312"/>
          <w:bCs/>
          <w:sz w:val="32"/>
          <w:szCs w:val="32"/>
        </w:rPr>
      </w:pPr>
      <w:r>
        <w:rPr>
          <w:rFonts w:hint="eastAsia" w:ascii="仿宋_GB2312" w:eastAsia="仿宋_GB2312"/>
          <w:bCs/>
          <w:sz w:val="32"/>
          <w:szCs w:val="32"/>
        </w:rPr>
        <w:t>A</w:t>
      </w:r>
      <w:r>
        <w:rPr>
          <w:rFonts w:hint="eastAsia" w:ascii="仿宋_GB2312" w:eastAsia="仿宋_GB2312"/>
          <w:bCs/>
          <w:sz w:val="32"/>
          <w:szCs w:val="32"/>
          <w:vertAlign w:val="subscript"/>
        </w:rPr>
        <w:t>W</w:t>
      </w:r>
      <w:r>
        <w:rPr>
          <w:rFonts w:hint="eastAsia" w:ascii="仿宋_GB2312" w:eastAsia="仿宋_GB2312"/>
          <w:bCs/>
          <w:sz w:val="32"/>
          <w:szCs w:val="32"/>
        </w:rPr>
        <w:t xml:space="preserve"> =Q</w:t>
      </w:r>
      <w:r>
        <w:rPr>
          <w:rFonts w:ascii="仿宋_GB2312" w:eastAsia="仿宋_GB2312"/>
          <w:bCs/>
          <w:sz w:val="32"/>
          <w:szCs w:val="32"/>
          <w:vertAlign w:val="subscript"/>
        </w:rPr>
        <w:t>w</w:t>
      </w:r>
      <w:r>
        <w:rPr>
          <w:rFonts w:hint="eastAsia" w:ascii="仿宋_GB2312" w:eastAsia="仿宋_GB2312"/>
          <w:bCs/>
          <w:sz w:val="32"/>
          <w:szCs w:val="32"/>
        </w:rPr>
        <w:t>×B</w:t>
      </w:r>
      <w:r>
        <w:rPr>
          <w:rFonts w:ascii="仿宋_GB2312" w:eastAsia="仿宋_GB2312"/>
          <w:bCs/>
          <w:sz w:val="32"/>
          <w:szCs w:val="32"/>
          <w:vertAlign w:val="subscript"/>
        </w:rPr>
        <w:t>w</w:t>
      </w:r>
      <w:r>
        <w:rPr>
          <w:rFonts w:hint="eastAsia" w:ascii="仿宋_GB2312" w:eastAsia="仿宋_GB2312"/>
          <w:bCs/>
          <w:sz w:val="32"/>
          <w:szCs w:val="32"/>
        </w:rPr>
        <w:t xml:space="preserve"> （6）</w:t>
      </w:r>
    </w:p>
    <w:p>
      <w:pPr>
        <w:spacing w:line="360" w:lineRule="auto"/>
        <w:ind w:firstLine="645"/>
        <w:rPr>
          <w:rFonts w:ascii="楷体" w:hAnsi="楷体" w:eastAsia="楷体"/>
          <w:bCs/>
          <w:sz w:val="32"/>
          <w:szCs w:val="32"/>
        </w:rPr>
      </w:pPr>
      <w:r>
        <w:rPr>
          <w:rFonts w:hint="eastAsia" w:ascii="仿宋_GB2312" w:eastAsia="仿宋_GB2312"/>
          <w:bCs/>
          <w:sz w:val="32"/>
          <w:szCs w:val="32"/>
        </w:rPr>
        <w:t>Q</w:t>
      </w:r>
      <w:r>
        <w:rPr>
          <w:rFonts w:ascii="仿宋_GB2312" w:eastAsia="仿宋_GB2312"/>
          <w:bCs/>
          <w:sz w:val="32"/>
          <w:szCs w:val="32"/>
          <w:vertAlign w:val="subscript"/>
        </w:rPr>
        <w:t>c</w:t>
      </w:r>
      <w:r>
        <w:rPr>
          <w:rFonts w:hint="eastAsia" w:ascii="仿宋_GB2312" w:eastAsia="仿宋_GB2312"/>
          <w:bCs/>
          <w:sz w:val="32"/>
          <w:szCs w:val="32"/>
        </w:rPr>
        <w:t>和 Q</w:t>
      </w:r>
      <w:r>
        <w:rPr>
          <w:rFonts w:ascii="仿宋_GB2312" w:eastAsia="仿宋_GB2312"/>
          <w:bCs/>
          <w:sz w:val="32"/>
          <w:szCs w:val="32"/>
          <w:vertAlign w:val="subscript"/>
        </w:rPr>
        <w:t>w</w:t>
      </w:r>
      <w:r>
        <w:rPr>
          <w:rFonts w:hint="eastAsia" w:ascii="仿宋_GB2312" w:eastAsia="仿宋_GB2312"/>
          <w:bCs/>
          <w:sz w:val="32"/>
          <w:szCs w:val="32"/>
        </w:rPr>
        <w:t>为水泥制造企业活动水平，分别为熟料生产量（吨）和废弃物协同处置量（吨）。B</w:t>
      </w:r>
      <w:r>
        <w:rPr>
          <w:rFonts w:ascii="仿宋_GB2312" w:eastAsia="仿宋_GB2312"/>
          <w:bCs/>
          <w:sz w:val="32"/>
          <w:szCs w:val="32"/>
          <w:vertAlign w:val="subscript"/>
        </w:rPr>
        <w:t>c</w:t>
      </w:r>
      <w:r>
        <w:rPr>
          <w:rFonts w:hint="eastAsia" w:ascii="仿宋_GB2312" w:eastAsia="仿宋_GB2312"/>
          <w:bCs/>
          <w:sz w:val="32"/>
          <w:szCs w:val="32"/>
        </w:rPr>
        <w:t>和B</w:t>
      </w:r>
      <w:r>
        <w:rPr>
          <w:rFonts w:ascii="仿宋_GB2312" w:eastAsia="仿宋_GB2312"/>
          <w:bCs/>
          <w:sz w:val="32"/>
          <w:szCs w:val="32"/>
          <w:vertAlign w:val="subscript"/>
        </w:rPr>
        <w:t>w</w:t>
      </w:r>
      <w:r>
        <w:rPr>
          <w:rFonts w:hint="eastAsia" w:ascii="仿宋_GB2312" w:eastAsia="仿宋_GB2312"/>
          <w:bCs/>
          <w:sz w:val="32"/>
          <w:szCs w:val="32"/>
        </w:rPr>
        <w:t>分别为熟料生产和废弃物协同处置二氧化碳排放基准值，详见附件1。</w:t>
      </w:r>
    </w:p>
    <w:p>
      <w:pPr>
        <w:spacing w:line="360" w:lineRule="auto"/>
        <w:ind w:firstLine="645"/>
        <w:rPr>
          <w:rFonts w:ascii="楷体" w:hAnsi="楷体" w:eastAsia="楷体"/>
          <w:bCs/>
          <w:sz w:val="32"/>
          <w:szCs w:val="32"/>
        </w:rPr>
      </w:pPr>
      <w:r>
        <w:rPr>
          <w:rFonts w:ascii="楷体" w:hAnsi="楷体" w:eastAsia="楷体"/>
          <w:bCs/>
          <w:sz w:val="32"/>
          <w:szCs w:val="32"/>
        </w:rPr>
        <w:t>3.</w:t>
      </w:r>
      <w:r>
        <w:rPr>
          <w:rFonts w:hint="eastAsia" w:ascii="楷体" w:hAnsi="楷体" w:eastAsia="楷体"/>
          <w:bCs/>
          <w:sz w:val="32"/>
          <w:szCs w:val="32"/>
        </w:rPr>
        <w:t>热力生产和供应(含发电企业中纯供热设施) 、其他发电、电力供应行业，数据中心重点、交通运输行业（出租车客运）配额核定方法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二氧化碳配额总量（T）采用基准线法核定，计量单位为吨。</w:t>
      </w:r>
    </w:p>
    <w:p>
      <w:pPr>
        <w:spacing w:line="360" w:lineRule="auto"/>
        <w:ind w:firstLine="645"/>
        <w:rPr>
          <w:rFonts w:ascii="仿宋_GB2312" w:eastAsia="仿宋_GB2312"/>
          <w:bCs/>
          <w:sz w:val="32"/>
          <w:szCs w:val="32"/>
        </w:rPr>
      </w:pPr>
      <w:r>
        <w:rPr>
          <w:rFonts w:hint="eastAsia" w:ascii="仿宋_GB2312" w:eastAsia="仿宋_GB2312"/>
          <w:bCs/>
          <w:sz w:val="32"/>
          <w:szCs w:val="32"/>
        </w:rPr>
        <w:t>计算公式为：T =Q×B（7）</w:t>
      </w:r>
    </w:p>
    <w:p>
      <w:pPr>
        <w:spacing w:line="360" w:lineRule="auto"/>
        <w:ind w:firstLine="645"/>
        <w:rPr>
          <w:rFonts w:ascii="仿宋_GB2312" w:eastAsia="仿宋_GB2312"/>
          <w:bCs/>
          <w:sz w:val="32"/>
          <w:szCs w:val="32"/>
        </w:rPr>
      </w:pPr>
      <w:r>
        <w:rPr>
          <w:rFonts w:hint="eastAsia" w:ascii="仿宋_GB2312" w:eastAsia="仿宋_GB2312"/>
          <w:bCs/>
          <w:sz w:val="32"/>
          <w:szCs w:val="32"/>
        </w:rPr>
        <w:t>热力生产和供应行业Q为企业自产热源供热量（GJ）；数据中心Q为IT设备耗电量（MWh）；其他发电Q为其他发电企业供电量（MWh）；电力供应Q为电网企业供电量（MWh）；</w:t>
      </w:r>
      <w:r>
        <w:rPr>
          <w:rFonts w:hint="eastAsia" w:ascii="楷体" w:hAnsi="楷体" w:eastAsia="楷体"/>
          <w:bCs/>
          <w:sz w:val="32"/>
          <w:szCs w:val="32"/>
        </w:rPr>
        <w:t>交通运输行业（出租车客运）</w:t>
      </w:r>
      <w:r>
        <w:rPr>
          <w:rFonts w:hint="eastAsia" w:ascii="仿宋_GB2312" w:eastAsia="仿宋_GB2312"/>
          <w:bCs/>
          <w:sz w:val="32"/>
          <w:szCs w:val="32"/>
        </w:rPr>
        <w:t>Q为运营里程数（100km）。B为上述各行业碳排放基准，详见附件1。</w:t>
      </w:r>
    </w:p>
    <w:p>
      <w:pPr>
        <w:spacing w:line="360" w:lineRule="auto"/>
        <w:ind w:firstLine="645"/>
        <w:rPr>
          <w:rFonts w:ascii="楷体" w:hAnsi="楷体" w:eastAsia="楷体"/>
          <w:bCs/>
          <w:sz w:val="32"/>
          <w:szCs w:val="32"/>
        </w:rPr>
      </w:pPr>
      <w:r>
        <w:rPr>
          <w:rFonts w:hint="eastAsia" w:ascii="楷体" w:hAnsi="楷体" w:eastAsia="楷体"/>
          <w:bCs/>
          <w:sz w:val="32"/>
          <w:szCs w:val="32"/>
        </w:rPr>
        <w:t>（二）历史总量法</w:t>
      </w:r>
    </w:p>
    <w:p>
      <w:pPr>
        <w:spacing w:line="360" w:lineRule="auto"/>
        <w:ind w:firstLine="645"/>
        <w:rPr>
          <w:rFonts w:ascii="仿宋_GB2312" w:eastAsia="仿宋_GB2312"/>
          <w:bCs/>
          <w:sz w:val="32"/>
          <w:szCs w:val="32"/>
        </w:rPr>
      </w:pPr>
      <w:r>
        <w:rPr>
          <w:rFonts w:hint="eastAsia" w:ascii="仿宋_GB2312" w:hAnsi="楷体" w:eastAsia="仿宋_GB2312"/>
          <w:bCs/>
          <w:sz w:val="32"/>
          <w:szCs w:val="32"/>
        </w:rPr>
        <w:t>石化、其他服务业（数据中心重点单位除外）、其他行业（水的生产和供应除外）配额核定方法，</w:t>
      </w:r>
      <w:r>
        <w:rPr>
          <w:rFonts w:hint="eastAsia" w:ascii="仿宋_GB2312" w:eastAsia="仿宋_GB2312"/>
          <w:bCs/>
          <w:sz w:val="32"/>
          <w:szCs w:val="32"/>
        </w:rPr>
        <w:t>二氧化碳配额总量（T）采用历史排放总量法核定，包括既有设施配额（A）、新增设施配额（N）、配额调整量（△）三部分，计量单位为吨。</w:t>
      </w:r>
    </w:p>
    <w:p>
      <w:pPr>
        <w:spacing w:line="360" w:lineRule="auto"/>
        <w:ind w:firstLine="645"/>
        <w:rPr>
          <w:rFonts w:ascii="仿宋_GB2312" w:eastAsia="仿宋_GB2312"/>
          <w:bCs/>
          <w:sz w:val="32"/>
          <w:szCs w:val="32"/>
        </w:rPr>
      </w:pPr>
      <w:r>
        <w:rPr>
          <w:rFonts w:hint="eastAsia" w:ascii="仿宋_GB2312" w:eastAsia="仿宋_GB2312"/>
          <w:bCs/>
          <w:sz w:val="32"/>
          <w:szCs w:val="32"/>
        </w:rPr>
        <w:t>计算公式为：T = A + N + △（8）</w:t>
      </w:r>
    </w:p>
    <w:p>
      <w:pPr>
        <w:spacing w:line="360" w:lineRule="auto"/>
        <w:ind w:firstLine="640" w:firstLineChars="200"/>
        <w:outlineLvl w:val="0"/>
        <w:rPr>
          <w:rFonts w:ascii="楷体_GB2312" w:eastAsia="楷体_GB2312"/>
          <w:bCs/>
          <w:sz w:val="32"/>
          <w:szCs w:val="32"/>
        </w:rPr>
      </w:pPr>
      <w:r>
        <w:rPr>
          <w:rFonts w:hint="eastAsia" w:ascii="楷体_GB2312" w:eastAsia="楷体_GB2312"/>
          <w:bCs/>
          <w:sz w:val="32"/>
          <w:szCs w:val="32"/>
        </w:rPr>
        <w:t>1</w:t>
      </w:r>
      <w:r>
        <w:rPr>
          <w:rFonts w:ascii="楷体_GB2312" w:eastAsia="楷体_GB2312"/>
          <w:bCs/>
          <w:sz w:val="32"/>
          <w:szCs w:val="32"/>
        </w:rPr>
        <w:t>.</w:t>
      </w:r>
      <w:r>
        <w:rPr>
          <w:rFonts w:hint="eastAsia" w:ascii="楷体_GB2312" w:eastAsia="楷体_GB2312"/>
          <w:bCs/>
          <w:sz w:val="32"/>
          <w:szCs w:val="32"/>
        </w:rPr>
        <w:t>既有设施二氧化碳配额（A）</w:t>
      </w:r>
    </w:p>
    <w:p>
      <w:pPr>
        <w:tabs>
          <w:tab w:val="left" w:pos="7088"/>
          <w:tab w:val="left" w:pos="7230"/>
        </w:tabs>
        <w:spacing w:line="360" w:lineRule="auto"/>
        <w:ind w:firstLine="640" w:firstLineChars="200"/>
        <w:jc w:val="left"/>
        <w:outlineLvl w:val="0"/>
        <w:rPr>
          <w:rFonts w:ascii="仿宋_GB2312" w:eastAsia="仿宋_GB2312"/>
          <w:bCs/>
          <w:sz w:val="32"/>
          <w:szCs w:val="32"/>
        </w:rPr>
      </w:pPr>
      <w:r>
        <w:rPr>
          <w:rFonts w:hint="eastAsia" w:ascii="仿宋_GB2312" w:eastAsia="仿宋_GB2312"/>
          <w:bCs/>
          <w:sz w:val="32"/>
          <w:szCs w:val="32"/>
        </w:rPr>
        <w:t>计算公式为：A=E×f（9）</w:t>
      </w:r>
    </w:p>
    <w:p>
      <w:pPr>
        <w:spacing w:line="360" w:lineRule="auto"/>
        <w:ind w:firstLine="640" w:firstLineChars="200"/>
        <w:jc w:val="left"/>
        <w:outlineLvl w:val="0"/>
        <w:rPr>
          <w:rFonts w:ascii="仿宋_GB2312" w:eastAsia="仿宋_GB2312"/>
          <w:bCs/>
          <w:sz w:val="32"/>
          <w:szCs w:val="32"/>
        </w:rPr>
      </w:pPr>
      <w:r>
        <w:rPr>
          <w:rFonts w:hint="eastAsia" w:ascii="仿宋_GB2312" w:eastAsia="仿宋_GB2312"/>
          <w:bCs/>
          <w:sz w:val="32"/>
          <w:szCs w:val="32"/>
        </w:rPr>
        <w:t>E为历史基准年排放量，单位为吨二氧化碳；f为控排系数，详见附件2。</w:t>
      </w:r>
    </w:p>
    <w:p>
      <w:pPr>
        <w:spacing w:line="360" w:lineRule="auto"/>
        <w:ind w:firstLine="640" w:firstLineChars="200"/>
        <w:outlineLvl w:val="0"/>
        <w:rPr>
          <w:rFonts w:ascii="楷体_GB2312" w:eastAsia="楷体_GB2312"/>
          <w:bCs/>
          <w:sz w:val="32"/>
          <w:szCs w:val="32"/>
        </w:rPr>
      </w:pPr>
      <w:r>
        <w:rPr>
          <w:rFonts w:hint="eastAsia" w:ascii="楷体_GB2312" w:eastAsia="楷体_GB2312"/>
          <w:bCs/>
          <w:sz w:val="32"/>
          <w:szCs w:val="32"/>
        </w:rPr>
        <w:t>2</w:t>
      </w:r>
      <w:r>
        <w:rPr>
          <w:rFonts w:ascii="楷体_GB2312" w:eastAsia="楷体_GB2312"/>
          <w:bCs/>
          <w:sz w:val="32"/>
          <w:szCs w:val="32"/>
        </w:rPr>
        <w:t>.</w:t>
      </w:r>
      <w:r>
        <w:rPr>
          <w:rFonts w:hint="eastAsia" w:ascii="楷体_GB2312" w:eastAsia="楷体_GB2312"/>
          <w:bCs/>
          <w:sz w:val="32"/>
          <w:szCs w:val="32"/>
        </w:rPr>
        <w:t>新增设施二氧化碳配额（N）</w:t>
      </w:r>
    </w:p>
    <w:p>
      <w:pPr>
        <w:spacing w:line="360" w:lineRule="auto"/>
        <w:ind w:firstLine="640" w:firstLineChars="200"/>
        <w:outlineLvl w:val="0"/>
        <w:rPr>
          <w:rFonts w:ascii="楷体_GB2312" w:eastAsia="楷体_GB2312"/>
          <w:bCs/>
          <w:sz w:val="32"/>
          <w:szCs w:val="32"/>
        </w:rPr>
      </w:pPr>
      <w:r>
        <w:rPr>
          <w:rFonts w:hint="eastAsia" w:ascii="仿宋_GB2312" w:hAnsi="宋体" w:eastAsia="仿宋_GB2312" w:cs="仿宋_GB2312"/>
          <w:bCs/>
          <w:sz w:val="32"/>
          <w:szCs w:val="32"/>
        </w:rPr>
        <w:t>满足新增设施的重点碳排</w:t>
      </w:r>
      <w:r>
        <w:rPr>
          <w:rFonts w:ascii="仿宋_GB2312" w:hAnsi="宋体" w:eastAsia="仿宋_GB2312" w:cs="仿宋_GB2312"/>
          <w:bCs/>
          <w:sz w:val="32"/>
          <w:szCs w:val="32"/>
        </w:rPr>
        <w:t>单位</w:t>
      </w:r>
      <w:r>
        <w:rPr>
          <w:rFonts w:hint="eastAsia" w:ascii="仿宋_GB2312" w:hAnsi="宋体" w:eastAsia="仿宋_GB2312" w:cs="仿宋_GB2312"/>
          <w:bCs/>
          <w:sz w:val="32"/>
          <w:szCs w:val="32"/>
        </w:rPr>
        <w:t>，须按相关要求提出新增设施配额</w:t>
      </w:r>
      <w:r>
        <w:rPr>
          <w:rFonts w:ascii="仿宋_GB2312" w:hAnsi="宋体" w:eastAsia="仿宋_GB2312" w:cs="仿宋_GB2312"/>
          <w:bCs/>
          <w:sz w:val="32"/>
          <w:szCs w:val="32"/>
        </w:rPr>
        <w:t>申请，</w:t>
      </w:r>
      <w:r>
        <w:rPr>
          <w:rFonts w:hint="eastAsia" w:ascii="仿宋_GB2312" w:hAnsi="宋体" w:eastAsia="仿宋_GB2312" w:cs="仿宋_GB2312"/>
          <w:bCs/>
          <w:sz w:val="32"/>
          <w:szCs w:val="32"/>
        </w:rPr>
        <w:t>市生态环境局进行复核，</w:t>
      </w:r>
      <w:r>
        <w:rPr>
          <w:rFonts w:ascii="仿宋_GB2312" w:hAnsi="宋体" w:eastAsia="仿宋_GB2312" w:cs="仿宋_GB2312"/>
          <w:bCs/>
          <w:sz w:val="32"/>
          <w:szCs w:val="32"/>
        </w:rPr>
        <w:t>根据</w:t>
      </w:r>
      <w:r>
        <w:rPr>
          <w:rFonts w:hint="eastAsia" w:ascii="仿宋_GB2312" w:hAnsi="宋体" w:eastAsia="仿宋_GB2312" w:cs="仿宋_GB2312"/>
          <w:bCs/>
          <w:sz w:val="32"/>
          <w:szCs w:val="32"/>
        </w:rPr>
        <w:t>核查</w:t>
      </w:r>
      <w:r>
        <w:rPr>
          <w:rFonts w:ascii="仿宋_GB2312" w:hAnsi="宋体" w:eastAsia="仿宋_GB2312" w:cs="仿宋_GB2312"/>
          <w:bCs/>
          <w:sz w:val="32"/>
          <w:szCs w:val="32"/>
        </w:rPr>
        <w:t>和</w:t>
      </w:r>
      <w:r>
        <w:rPr>
          <w:rFonts w:hint="eastAsia" w:ascii="仿宋_GB2312" w:hAnsi="宋体" w:eastAsia="仿宋_GB2312" w:cs="仿宋_GB2312"/>
          <w:bCs/>
          <w:sz w:val="32"/>
          <w:szCs w:val="32"/>
        </w:rPr>
        <w:t>抽查结果，对满足条件的重点碳排放</w:t>
      </w:r>
      <w:r>
        <w:rPr>
          <w:rFonts w:ascii="仿宋_GB2312" w:hAnsi="宋体" w:eastAsia="仿宋_GB2312" w:cs="仿宋_GB2312"/>
          <w:bCs/>
          <w:sz w:val="32"/>
          <w:szCs w:val="32"/>
        </w:rPr>
        <w:t>单位</w:t>
      </w:r>
      <w:r>
        <w:rPr>
          <w:rFonts w:hint="eastAsia" w:ascii="仿宋_GB2312" w:hAnsi="宋体" w:eastAsia="仿宋_GB2312" w:cs="仿宋_GB2312"/>
          <w:bCs/>
          <w:sz w:val="32"/>
          <w:szCs w:val="32"/>
        </w:rPr>
        <w:t>按相关规定核发配额。详见附件</w:t>
      </w:r>
      <w:r>
        <w:rPr>
          <w:rFonts w:ascii="仿宋_GB2312" w:hAnsi="宋体" w:eastAsia="仿宋_GB2312" w:cs="仿宋_GB2312"/>
          <w:bCs/>
          <w:sz w:val="32"/>
          <w:szCs w:val="32"/>
        </w:rPr>
        <w:t>3</w:t>
      </w:r>
      <w:r>
        <w:rPr>
          <w:rFonts w:hint="eastAsia" w:ascii="仿宋_GB2312" w:hAnsi="宋体" w:eastAsia="仿宋_GB2312" w:cs="仿宋_GB2312"/>
          <w:bCs/>
          <w:sz w:val="32"/>
          <w:szCs w:val="32"/>
        </w:rPr>
        <w:t>。</w:t>
      </w:r>
    </w:p>
    <w:p>
      <w:pPr>
        <w:spacing w:line="360" w:lineRule="auto"/>
        <w:ind w:firstLine="640" w:firstLineChars="200"/>
        <w:jc w:val="left"/>
        <w:outlineLvl w:val="0"/>
        <w:rPr>
          <w:rFonts w:ascii="仿宋_GB2312" w:hAnsi="宋体" w:eastAsia="仿宋_GB2312" w:cs="仿宋_GB2312"/>
          <w:bCs/>
          <w:sz w:val="32"/>
          <w:szCs w:val="32"/>
        </w:rPr>
      </w:pPr>
      <w:r>
        <w:rPr>
          <w:rFonts w:hint="eastAsia" w:ascii="仿宋_GB2312" w:hAnsi="宋体" w:eastAsia="仿宋_GB2312" w:cs="仿宋_GB2312"/>
          <w:bCs/>
          <w:sz w:val="32"/>
          <w:szCs w:val="32"/>
        </w:rPr>
        <w:t>（1）</w:t>
      </w:r>
      <w:r>
        <w:rPr>
          <w:rFonts w:ascii="仿宋_GB2312" w:hAnsi="宋体" w:eastAsia="仿宋_GB2312" w:cs="仿宋_GB2312"/>
          <w:bCs/>
          <w:sz w:val="32"/>
          <w:szCs w:val="32"/>
        </w:rPr>
        <w:t>石化、其他行业</w:t>
      </w:r>
      <w:r>
        <w:rPr>
          <w:rFonts w:hint="eastAsia" w:ascii="仿宋_GB2312" w:hAnsi="宋体" w:eastAsia="仿宋_GB2312" w:cs="仿宋_GB2312"/>
          <w:bCs/>
          <w:sz w:val="32"/>
          <w:szCs w:val="32"/>
        </w:rPr>
        <w:t>(水的生产和供应除外)，按照两档核算新增设施二氧化碳配额，计算方法如下：</w:t>
      </w:r>
    </w:p>
    <w:p>
      <w:pPr>
        <w:spacing w:line="360" w:lineRule="auto"/>
        <w:ind w:firstLine="640" w:firstLineChars="200"/>
        <w:jc w:val="left"/>
        <w:outlineLvl w:val="0"/>
        <w:rPr>
          <w:rFonts w:ascii="仿宋_GB2312" w:hAnsi="宋体" w:eastAsia="仿宋_GB2312" w:cs="仿宋_GB2312"/>
          <w:bCs/>
          <w:sz w:val="32"/>
          <w:szCs w:val="32"/>
        </w:rPr>
      </w:pPr>
      <w:r>
        <w:rPr>
          <w:rFonts w:hint="eastAsia" w:ascii="仿宋_GB2312" w:hAnsi="宋体" w:eastAsia="仿宋_GB2312" w:cs="仿宋_GB2312"/>
          <w:bCs/>
          <w:sz w:val="32"/>
          <w:szCs w:val="32"/>
        </w:rPr>
        <w:t>一是2018年度碳排放量</w:t>
      </w:r>
      <w:r>
        <w:rPr>
          <w:rFonts w:hint="eastAsia" w:ascii="仿宋_GB2312" w:hAnsi="仿宋_GB2312" w:eastAsia="仿宋_GB2312" w:cs="仿宋_GB2312"/>
          <w:bCs/>
          <w:sz w:val="32"/>
          <w:szCs w:val="32"/>
        </w:rPr>
        <w:t>大于1万吨（含）</w:t>
      </w:r>
      <w:r>
        <w:rPr>
          <w:rFonts w:hint="eastAsia" w:ascii="仿宋_GB2312" w:hAnsi="宋体" w:eastAsia="仿宋_GB2312" w:cs="仿宋_GB2312"/>
          <w:bCs/>
          <w:sz w:val="32"/>
          <w:szCs w:val="32"/>
        </w:rPr>
        <w:t>的单位，新增设施配额计算公式为：</w:t>
      </w:r>
    </w:p>
    <w:p>
      <w:pPr>
        <w:adjustRightInd w:val="0"/>
        <w:snapToGrid w:val="0"/>
        <w:spacing w:line="360" w:lineRule="auto"/>
        <w:ind w:firstLine="707" w:firstLineChars="337"/>
        <w:outlineLvl w:val="0"/>
        <w:rPr>
          <w:rFonts w:ascii="仿宋_GB2312" w:hAnsi="宋体" w:eastAsia="仿宋_GB2312" w:cs="仿宋_GB2312"/>
          <w:bCs/>
          <w:sz w:val="32"/>
          <w:szCs w:val="32"/>
        </w:rPr>
      </w:pPr>
      <w:r>
        <w:rPr>
          <w:bCs/>
          <w:position w:val="-24"/>
        </w:rPr>
        <w:object>
          <v:shape id="_x0000_i1025" o:spt="75" type="#_x0000_t75" style="height:32.25pt;width:337.6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r>
        <w:rPr>
          <w:rFonts w:hint="eastAsia" w:ascii="仿宋_GB2312" w:eastAsia="仿宋_GB2312"/>
          <w:bCs/>
          <w:sz w:val="32"/>
          <w:szCs w:val="32"/>
        </w:rPr>
        <w:t>（10）</w:t>
      </w:r>
    </w:p>
    <w:p>
      <w:pPr>
        <w:spacing w:line="360" w:lineRule="auto"/>
        <w:ind w:firstLine="640" w:firstLineChars="200"/>
        <w:outlineLvl w:val="0"/>
        <w:rPr>
          <w:bCs/>
        </w:rPr>
      </w:pPr>
      <w:r>
        <w:rPr>
          <w:rFonts w:hint="eastAsia" w:ascii="仿宋_GB2312" w:eastAsia="仿宋_GB2312"/>
          <w:bCs/>
          <w:sz w:val="32"/>
          <w:szCs w:val="32"/>
        </w:rPr>
        <w:t>二是2018年度碳排放量</w:t>
      </w:r>
      <w:r>
        <w:rPr>
          <w:rFonts w:hint="eastAsia" w:ascii="仿宋_GB2312" w:hAnsi="仿宋_GB2312" w:eastAsia="仿宋_GB2312" w:cs="仿宋_GB2312"/>
          <w:bCs/>
          <w:sz w:val="32"/>
          <w:szCs w:val="32"/>
        </w:rPr>
        <w:t>不足1万吨</w:t>
      </w:r>
      <w:r>
        <w:rPr>
          <w:rFonts w:hint="eastAsia" w:ascii="仿宋_GB2312" w:hAnsi="宋体" w:eastAsia="仿宋_GB2312" w:cs="仿宋_GB2312"/>
          <w:bCs/>
          <w:sz w:val="32"/>
          <w:szCs w:val="32"/>
        </w:rPr>
        <w:t>的单位，新增设施配额计算公式为：</w:t>
      </w:r>
    </w:p>
    <w:p>
      <w:pPr>
        <w:spacing w:line="360" w:lineRule="auto"/>
        <w:ind w:firstLine="707" w:firstLineChars="337"/>
        <w:outlineLvl w:val="0"/>
        <w:rPr>
          <w:rFonts w:ascii="仿宋_GB2312" w:hAnsi="宋体" w:eastAsia="仿宋_GB2312" w:cs="仿宋_GB2312"/>
          <w:bCs/>
          <w:sz w:val="32"/>
          <w:szCs w:val="32"/>
        </w:rPr>
      </w:pPr>
      <w:r>
        <w:rPr>
          <w:bCs/>
          <w:position w:val="-24"/>
        </w:rPr>
        <w:object>
          <v:shape id="_x0000_i1026" o:spt="75" type="#_x0000_t75" style="height:32.25pt;width:342.8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7">
            <o:LockedField>false</o:LockedField>
          </o:OLEObject>
        </w:object>
      </w:r>
      <w:r>
        <w:rPr>
          <w:rFonts w:hint="eastAsia" w:ascii="仿宋_GB2312" w:hAnsi="宋体" w:eastAsia="仿宋_GB2312" w:cs="仿宋_GB2312"/>
          <w:bCs/>
          <w:sz w:val="32"/>
          <w:szCs w:val="32"/>
        </w:rPr>
        <w:t>（11）</w:t>
      </w:r>
    </w:p>
    <w:p>
      <w:pPr>
        <w:spacing w:line="360" w:lineRule="auto"/>
        <w:ind w:firstLine="640" w:firstLineChars="200"/>
        <w:jc w:val="left"/>
        <w:outlineLvl w:val="0"/>
        <w:rPr>
          <w:rFonts w:ascii="仿宋_GB2312" w:hAnsi="宋体" w:eastAsia="仿宋_GB2312" w:cs="仿宋_GB2312"/>
          <w:bCs/>
          <w:sz w:val="32"/>
          <w:szCs w:val="32"/>
        </w:rPr>
      </w:pPr>
      <w:r>
        <w:rPr>
          <w:rFonts w:hint="eastAsia" w:ascii="仿宋_GB2312" w:hAnsi="宋体" w:eastAsia="仿宋_GB2312" w:cs="仿宋_GB2312"/>
          <w:bCs/>
          <w:sz w:val="32"/>
          <w:szCs w:val="32"/>
        </w:rPr>
        <w:t>（2）其他</w:t>
      </w:r>
      <w:r>
        <w:rPr>
          <w:rFonts w:ascii="仿宋_GB2312" w:hAnsi="宋体" w:eastAsia="仿宋_GB2312" w:cs="仿宋_GB2312"/>
          <w:bCs/>
          <w:sz w:val="32"/>
          <w:szCs w:val="32"/>
        </w:rPr>
        <w:t>服务行业</w:t>
      </w:r>
      <w:r>
        <w:rPr>
          <w:rFonts w:hint="eastAsia" w:ascii="仿宋_GB2312" w:hAnsi="宋体" w:eastAsia="仿宋_GB2312" w:cs="仿宋_GB2312"/>
          <w:bCs/>
          <w:sz w:val="32"/>
          <w:szCs w:val="32"/>
        </w:rPr>
        <w:t>(</w:t>
      </w:r>
      <w:r>
        <w:rPr>
          <w:rFonts w:hint="eastAsia" w:ascii="仿宋_GB2312" w:hAnsi="楷体" w:eastAsia="仿宋_GB2312"/>
          <w:bCs/>
          <w:sz w:val="32"/>
          <w:szCs w:val="32"/>
        </w:rPr>
        <w:t>数据中心重点单位除外</w:t>
      </w:r>
      <w:r>
        <w:rPr>
          <w:rFonts w:hint="eastAsia" w:ascii="仿宋_GB2312" w:hAnsi="宋体" w:eastAsia="仿宋_GB2312" w:cs="仿宋_GB2312"/>
          <w:bCs/>
          <w:sz w:val="32"/>
          <w:szCs w:val="32"/>
        </w:rPr>
        <w:t>)和交通固定源，新增设施配额计算公式为：</w:t>
      </w:r>
    </w:p>
    <w:p>
      <w:pPr>
        <w:adjustRightInd w:val="0"/>
        <w:snapToGrid w:val="0"/>
        <w:spacing w:line="360" w:lineRule="auto"/>
        <w:ind w:firstLine="1078" w:firstLineChars="337"/>
        <w:jc w:val="center"/>
        <w:outlineLvl w:val="0"/>
        <w:rPr>
          <w:rFonts w:ascii="仿宋_GB2312" w:hAnsi="宋体" w:eastAsia="仿宋_GB2312" w:cs="仿宋_GB2312"/>
          <w:bCs/>
          <w:sz w:val="32"/>
          <w:szCs w:val="32"/>
        </w:rPr>
      </w:pPr>
      <w:r>
        <w:rPr>
          <w:rFonts w:hint="eastAsia" w:ascii="仿宋_GB2312" w:eastAsia="仿宋_GB2312"/>
          <w:bCs/>
          <w:sz w:val="32"/>
          <w:szCs w:val="32"/>
        </w:rPr>
        <w:t>N=Q</w:t>
      </w:r>
      <w:r>
        <w:rPr>
          <w:rFonts w:hint="eastAsia" w:ascii="仿宋_GB2312" w:eastAsia="仿宋_GB2312"/>
          <w:bCs/>
          <w:sz w:val="32"/>
          <w:szCs w:val="32"/>
          <w:vertAlign w:val="subscript"/>
        </w:rPr>
        <w:t>N</w:t>
      </w:r>
      <w:r>
        <w:rPr>
          <w:rFonts w:ascii="仿宋_GB2312" w:eastAsia="仿宋_GB2312"/>
          <w:bCs/>
          <w:sz w:val="32"/>
          <w:szCs w:val="32"/>
        </w:rPr>
        <w:t>*B</w:t>
      </w:r>
      <w:r>
        <w:rPr>
          <w:rFonts w:hint="eastAsia" w:ascii="仿宋_GB2312" w:eastAsia="仿宋_GB2312"/>
          <w:bCs/>
          <w:sz w:val="32"/>
          <w:szCs w:val="32"/>
        </w:rPr>
        <w:t>（1</w:t>
      </w:r>
      <w:r>
        <w:rPr>
          <w:rFonts w:ascii="仿宋_GB2312" w:eastAsia="仿宋_GB2312"/>
          <w:bCs/>
          <w:sz w:val="32"/>
          <w:szCs w:val="32"/>
        </w:rPr>
        <w:t>2</w:t>
      </w:r>
      <w:r>
        <w:rPr>
          <w:rFonts w:hint="eastAsia" w:ascii="仿宋_GB2312" w:eastAsia="仿宋_GB2312"/>
          <w:bCs/>
          <w:sz w:val="32"/>
          <w:szCs w:val="32"/>
        </w:rPr>
        <w:t>）</w:t>
      </w:r>
    </w:p>
    <w:p>
      <w:pPr>
        <w:spacing w:line="360" w:lineRule="auto"/>
        <w:ind w:firstLine="640" w:firstLineChars="200"/>
        <w:outlineLvl w:val="0"/>
        <w:rPr>
          <w:rFonts w:ascii="仿宋_GB2312" w:eastAsia="仿宋_GB2312"/>
          <w:bCs/>
          <w:sz w:val="32"/>
          <w:szCs w:val="32"/>
        </w:rPr>
      </w:pPr>
      <w:r>
        <w:rPr>
          <w:rFonts w:hint="eastAsia" w:ascii="仿宋_GB2312" w:eastAsia="仿宋_GB2312"/>
          <w:bCs/>
          <w:sz w:val="32"/>
          <w:szCs w:val="32"/>
        </w:rPr>
        <w:t>Q</w:t>
      </w:r>
      <w:r>
        <w:rPr>
          <w:rFonts w:hint="eastAsia" w:ascii="仿宋_GB2312" w:eastAsia="仿宋_GB2312"/>
          <w:bCs/>
          <w:sz w:val="32"/>
          <w:szCs w:val="32"/>
          <w:vertAlign w:val="subscript"/>
        </w:rPr>
        <w:t>N</w:t>
      </w:r>
      <w:r>
        <w:rPr>
          <w:rFonts w:hint="eastAsia" w:ascii="仿宋_GB2312" w:eastAsia="仿宋_GB2312"/>
          <w:bCs/>
          <w:sz w:val="32"/>
          <w:szCs w:val="32"/>
        </w:rPr>
        <w:t>为新增设施活动水平，包括主要产品的产量、产值、建筑面积等；Q</w:t>
      </w:r>
      <w:r>
        <w:rPr>
          <w:rFonts w:hint="eastAsia" w:ascii="仿宋_GB2312" w:eastAsia="仿宋_GB2312"/>
          <w:bCs/>
          <w:sz w:val="32"/>
          <w:szCs w:val="32"/>
          <w:vertAlign w:val="subscript"/>
        </w:rPr>
        <w:t>2018</w:t>
      </w:r>
      <w:r>
        <w:rPr>
          <w:rFonts w:hint="eastAsia" w:ascii="仿宋_GB2312" w:eastAsia="仿宋_GB2312"/>
          <w:bCs/>
          <w:sz w:val="32"/>
          <w:szCs w:val="32"/>
        </w:rPr>
        <w:t>为重点碳排放单位2018年度活动水平；E</w:t>
      </w:r>
      <w:r>
        <w:rPr>
          <w:rFonts w:hint="eastAsia" w:ascii="仿宋_GB2312" w:eastAsia="仿宋_GB2312"/>
          <w:bCs/>
          <w:sz w:val="32"/>
          <w:szCs w:val="32"/>
          <w:vertAlign w:val="subscript"/>
        </w:rPr>
        <w:t>2018</w:t>
      </w:r>
      <w:r>
        <w:rPr>
          <w:rFonts w:hint="eastAsia" w:ascii="仿宋_GB2312" w:eastAsia="仿宋_GB2312"/>
          <w:bCs/>
          <w:sz w:val="32"/>
          <w:szCs w:val="32"/>
        </w:rPr>
        <w:t>为重点碳排放单位2018年度排放量，单位为吨二氧化碳；B为重点碳排放单位所属行业的二氧化碳排放强度先进值。先进值详见</w:t>
      </w:r>
      <w:r>
        <w:rPr>
          <w:rFonts w:hint="eastAsia" w:ascii="仿宋_GB2312" w:hAnsi="仿宋_GB2312" w:eastAsia="仿宋_GB2312" w:cs="仿宋_GB2312"/>
          <w:bCs/>
          <w:sz w:val="32"/>
          <w:szCs w:val="32"/>
        </w:rPr>
        <w:t>《关于发布行业碳排放强度先进值的通知》（京发改〔</w:t>
      </w:r>
      <w:r>
        <w:rPr>
          <w:rFonts w:ascii="仿宋_GB2312" w:hAnsi="仿宋_GB2312" w:eastAsia="仿宋_GB2312" w:cs="仿宋_GB2312"/>
          <w:bCs/>
          <w:sz w:val="32"/>
          <w:szCs w:val="32"/>
        </w:rPr>
        <w:t>2014〕905号）、《关于发布本市第二批行业碳排放强度先进值的通知》（</w:t>
      </w:r>
      <w:r>
        <w:rPr>
          <w:rFonts w:hint="eastAsia" w:ascii="仿宋_GB2312" w:hAnsi="仿宋_GB2312" w:eastAsia="仿宋_GB2312" w:cs="仿宋_GB2312"/>
          <w:bCs/>
          <w:sz w:val="32"/>
          <w:szCs w:val="32"/>
        </w:rPr>
        <w:t>京发改〔</w:t>
      </w:r>
      <w:r>
        <w:rPr>
          <w:rFonts w:ascii="仿宋_GB2312" w:hAnsi="仿宋_GB2312" w:eastAsia="仿宋_GB2312" w:cs="仿宋_GB2312"/>
          <w:bCs/>
          <w:sz w:val="32"/>
          <w:szCs w:val="32"/>
        </w:rPr>
        <w:t>2015〕739号）、《关于发布本市第三批行业碳排放强度先进值的通知》（</w:t>
      </w:r>
      <w:r>
        <w:rPr>
          <w:rFonts w:hint="eastAsia" w:ascii="仿宋_GB2312" w:hAnsi="仿宋_GB2312" w:eastAsia="仿宋_GB2312" w:cs="仿宋_GB2312"/>
          <w:bCs/>
          <w:sz w:val="32"/>
          <w:szCs w:val="32"/>
        </w:rPr>
        <w:t>京发改〔</w:t>
      </w:r>
      <w:r>
        <w:rPr>
          <w:rFonts w:ascii="仿宋_GB2312" w:hAnsi="仿宋_GB2312" w:eastAsia="仿宋_GB2312" w:cs="仿宋_GB2312"/>
          <w:bCs/>
          <w:sz w:val="32"/>
          <w:szCs w:val="32"/>
        </w:rPr>
        <w:t>2016〕715号）等文件</w:t>
      </w:r>
      <w:r>
        <w:rPr>
          <w:rFonts w:hint="eastAsia" w:ascii="仿宋_GB2312" w:hAnsi="仿宋_GB2312" w:eastAsia="仿宋_GB2312" w:cs="仿宋_GB2312"/>
          <w:bCs/>
          <w:sz w:val="32"/>
          <w:szCs w:val="32"/>
        </w:rPr>
        <w:t>，其中新增</w:t>
      </w:r>
      <w:r>
        <w:rPr>
          <w:rFonts w:hint="eastAsia" w:ascii="仿宋_GB2312" w:eastAsia="仿宋_GB2312"/>
          <w:bCs/>
          <w:sz w:val="32"/>
          <w:szCs w:val="32"/>
        </w:rPr>
        <w:t>数据中心和电信业务先进值按照0.785tCO</w:t>
      </w:r>
      <w:r>
        <w:rPr>
          <w:rFonts w:hint="eastAsia" w:ascii="仿宋_GB2312" w:eastAsia="仿宋_GB2312"/>
          <w:bCs/>
          <w:sz w:val="32"/>
          <w:szCs w:val="32"/>
          <w:vertAlign w:val="subscript"/>
        </w:rPr>
        <w:t>2</w:t>
      </w:r>
      <w:r>
        <w:rPr>
          <w:rFonts w:hint="eastAsia" w:ascii="仿宋_GB2312" w:eastAsia="仿宋_GB2312"/>
          <w:bCs/>
          <w:sz w:val="32"/>
          <w:szCs w:val="32"/>
        </w:rPr>
        <w:t>/IT设备MWh和0.42tCO</w:t>
      </w:r>
      <w:r>
        <w:rPr>
          <w:rFonts w:hint="eastAsia" w:ascii="仿宋_GB2312" w:eastAsia="仿宋_GB2312"/>
          <w:bCs/>
          <w:sz w:val="32"/>
          <w:szCs w:val="32"/>
          <w:vertAlign w:val="subscript"/>
        </w:rPr>
        <w:t>2</w:t>
      </w:r>
      <w:r>
        <w:rPr>
          <w:rFonts w:hint="eastAsia" w:ascii="仿宋_GB2312" w:eastAsia="仿宋_GB2312"/>
          <w:bCs/>
          <w:sz w:val="32"/>
          <w:szCs w:val="32"/>
        </w:rPr>
        <w:t>/万元执行。</w:t>
      </w:r>
    </w:p>
    <w:p>
      <w:pPr>
        <w:spacing w:line="360" w:lineRule="auto"/>
        <w:ind w:firstLine="640" w:firstLineChars="200"/>
        <w:outlineLvl w:val="0"/>
        <w:rPr>
          <w:rFonts w:ascii="黑体" w:eastAsia="黑体"/>
          <w:bCs/>
          <w:sz w:val="32"/>
          <w:szCs w:val="32"/>
        </w:rPr>
      </w:pPr>
      <w:r>
        <w:rPr>
          <w:rFonts w:hint="eastAsia" w:ascii="楷体_GB2312" w:eastAsia="楷体_GB2312"/>
          <w:bCs/>
          <w:sz w:val="32"/>
          <w:szCs w:val="32"/>
        </w:rPr>
        <w:t>3</w:t>
      </w:r>
      <w:r>
        <w:rPr>
          <w:rFonts w:ascii="楷体_GB2312" w:eastAsia="楷体_GB2312"/>
          <w:bCs/>
          <w:sz w:val="32"/>
          <w:szCs w:val="32"/>
        </w:rPr>
        <w:t>.</w:t>
      </w:r>
      <w:r>
        <w:rPr>
          <w:rFonts w:hint="eastAsia" w:ascii="楷体_GB2312" w:eastAsia="楷体_GB2312"/>
          <w:bCs/>
          <w:sz w:val="32"/>
          <w:szCs w:val="32"/>
        </w:rPr>
        <w:t>二氧化碳配额调整</w:t>
      </w:r>
      <w:r>
        <w:rPr>
          <w:rFonts w:ascii="楷体_GB2312" w:eastAsia="楷体_GB2312"/>
          <w:bCs/>
          <w:sz w:val="32"/>
          <w:szCs w:val="32"/>
        </w:rPr>
        <w:t>量</w:t>
      </w:r>
      <w:r>
        <w:rPr>
          <w:rFonts w:hint="eastAsia" w:ascii="楷体_GB2312" w:eastAsia="楷体_GB2312"/>
          <w:bCs/>
          <w:sz w:val="32"/>
          <w:szCs w:val="32"/>
        </w:rPr>
        <w:t>（</w:t>
      </w:r>
      <w:r>
        <w:rPr>
          <w:rFonts w:hint="eastAsia" w:ascii="仿宋_GB2312" w:eastAsia="仿宋_GB2312"/>
          <w:bCs/>
          <w:sz w:val="32"/>
          <w:szCs w:val="32"/>
        </w:rPr>
        <w:t>△</w:t>
      </w:r>
      <w:r>
        <w:rPr>
          <w:rFonts w:hint="eastAsia" w:ascii="楷体_GB2312" w:eastAsia="楷体_GB2312"/>
          <w:bCs/>
          <w:sz w:val="32"/>
          <w:szCs w:val="32"/>
        </w:rPr>
        <w:t>）</w:t>
      </w:r>
      <w:r>
        <w:rPr>
          <w:rFonts w:ascii="楷体_GB2312" w:eastAsia="楷体_GB2312"/>
          <w:bCs/>
          <w:sz w:val="32"/>
          <w:szCs w:val="32"/>
        </w:rPr>
        <w:t>的</w:t>
      </w:r>
      <w:r>
        <w:rPr>
          <w:rFonts w:hint="eastAsia" w:ascii="楷体_GB2312" w:eastAsia="楷体_GB2312"/>
          <w:bCs/>
          <w:sz w:val="32"/>
          <w:szCs w:val="32"/>
        </w:rPr>
        <w:t>核定</w:t>
      </w:r>
    </w:p>
    <w:p>
      <w:pPr>
        <w:spacing w:line="360" w:lineRule="auto"/>
        <w:ind w:firstLine="645"/>
        <w:rPr>
          <w:rFonts w:ascii="仿宋_GB2312" w:eastAsia="仿宋_GB2312"/>
          <w:bCs/>
          <w:sz w:val="32"/>
          <w:szCs w:val="32"/>
        </w:rPr>
      </w:pPr>
      <w:r>
        <w:rPr>
          <w:rFonts w:hint="eastAsia" w:ascii="仿宋_GB2312" w:eastAsia="仿宋_GB2312"/>
          <w:bCs/>
          <w:sz w:val="32"/>
          <w:szCs w:val="32"/>
        </w:rPr>
        <w:t>一是</w:t>
      </w:r>
      <w:r>
        <w:rPr>
          <w:rFonts w:hint="eastAsia" w:ascii="仿宋_GB2312" w:hAnsi="仿宋_GB2312" w:eastAsia="仿宋_GB2312" w:cs="仿宋_GB2312"/>
          <w:bCs/>
          <w:sz w:val="32"/>
          <w:szCs w:val="32"/>
        </w:rPr>
        <w:t>履约年度已停产的重点</w:t>
      </w:r>
      <w:r>
        <w:rPr>
          <w:rFonts w:ascii="仿宋_GB2312" w:hAnsi="仿宋_GB2312" w:eastAsia="仿宋_GB2312" w:cs="仿宋_GB2312"/>
          <w:bCs/>
          <w:sz w:val="32"/>
          <w:szCs w:val="32"/>
        </w:rPr>
        <w:t>碳排放单位</w:t>
      </w:r>
      <w:r>
        <w:rPr>
          <w:rFonts w:hint="eastAsia" w:ascii="仿宋_GB2312" w:hAnsi="仿宋_GB2312" w:eastAsia="仿宋_GB2312" w:cs="仿宋_GB2312"/>
          <w:bCs/>
          <w:sz w:val="32"/>
          <w:szCs w:val="32"/>
        </w:rPr>
        <w:t>或</w:t>
      </w:r>
      <w:r>
        <w:rPr>
          <w:rFonts w:ascii="仿宋_GB2312" w:hAnsi="仿宋_GB2312" w:eastAsia="仿宋_GB2312" w:cs="仿宋_GB2312"/>
          <w:bCs/>
          <w:sz w:val="32"/>
          <w:szCs w:val="32"/>
        </w:rPr>
        <w:t>已</w:t>
      </w:r>
      <w:r>
        <w:rPr>
          <w:rFonts w:hint="eastAsia" w:ascii="仿宋_GB2312" w:hAnsi="仿宋_GB2312" w:eastAsia="仿宋_GB2312" w:cs="仿宋_GB2312"/>
          <w:bCs/>
          <w:sz w:val="32"/>
          <w:szCs w:val="32"/>
        </w:rPr>
        <w:t>停产</w:t>
      </w:r>
      <w:r>
        <w:rPr>
          <w:rFonts w:ascii="仿宋_GB2312" w:hAnsi="仿宋_GB2312" w:eastAsia="仿宋_GB2312" w:cs="仿宋_GB2312"/>
          <w:bCs/>
          <w:sz w:val="32"/>
          <w:szCs w:val="32"/>
        </w:rPr>
        <w:t>的生产线</w:t>
      </w:r>
      <w:r>
        <w:rPr>
          <w:rFonts w:hint="eastAsia" w:ascii="仿宋_GB2312" w:hAnsi="仿宋_GB2312" w:eastAsia="仿宋_GB2312" w:cs="仿宋_GB2312"/>
          <w:bCs/>
          <w:sz w:val="32"/>
          <w:szCs w:val="32"/>
        </w:rPr>
        <w:t>，不再核发其配额。二是</w:t>
      </w:r>
      <w:r>
        <w:rPr>
          <w:rFonts w:hint="eastAsia" w:ascii="仿宋_GB2312" w:eastAsia="仿宋_GB2312"/>
          <w:bCs/>
          <w:sz w:val="32"/>
          <w:szCs w:val="32"/>
        </w:rPr>
        <w:t>履约年度既有设施相比历史基准年发生重大变化的重点碳排放</w:t>
      </w:r>
      <w:r>
        <w:rPr>
          <w:rFonts w:ascii="仿宋_GB2312" w:eastAsia="仿宋_GB2312"/>
          <w:bCs/>
          <w:sz w:val="32"/>
          <w:szCs w:val="32"/>
        </w:rPr>
        <w:t>单位</w:t>
      </w:r>
      <w:r>
        <w:rPr>
          <w:rFonts w:hint="eastAsia" w:ascii="仿宋_GB2312" w:eastAsia="仿宋_GB2312"/>
          <w:bCs/>
          <w:sz w:val="32"/>
          <w:szCs w:val="32"/>
        </w:rPr>
        <w:t>，应调整该既有设施在基准年排放量的基础上核发配额(详见附件4)。</w:t>
      </w:r>
    </w:p>
    <w:p>
      <w:pPr>
        <w:spacing w:line="360" w:lineRule="auto"/>
        <w:ind w:firstLine="645"/>
        <w:rPr>
          <w:rFonts w:ascii="楷体" w:hAnsi="楷体" w:eastAsia="楷体"/>
          <w:bCs/>
          <w:sz w:val="32"/>
          <w:szCs w:val="32"/>
        </w:rPr>
      </w:pPr>
      <w:r>
        <w:rPr>
          <w:rFonts w:hint="eastAsia" w:ascii="楷体" w:hAnsi="楷体" w:eastAsia="楷体"/>
          <w:bCs/>
          <w:sz w:val="32"/>
          <w:szCs w:val="32"/>
        </w:rPr>
        <w:t>（三）历史强度法</w:t>
      </w:r>
    </w:p>
    <w:p>
      <w:pPr>
        <w:spacing w:line="360" w:lineRule="auto"/>
        <w:ind w:firstLine="645"/>
        <w:rPr>
          <w:rFonts w:ascii="仿宋_GB2312" w:hAnsi="楷体" w:eastAsia="仿宋_GB2312"/>
          <w:bCs/>
          <w:sz w:val="32"/>
          <w:szCs w:val="32"/>
        </w:rPr>
      </w:pPr>
      <w:r>
        <w:rPr>
          <w:rFonts w:hint="eastAsia" w:ascii="仿宋_GB2312" w:hAnsi="楷体" w:eastAsia="仿宋_GB2312"/>
          <w:bCs/>
          <w:sz w:val="32"/>
          <w:szCs w:val="32"/>
        </w:rPr>
        <w:t>其他行业中水的生产和供应配额核定方法。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二氧化碳配额总量（T）采用历史排放强度法核定，计量单位为吨。</w:t>
      </w:r>
    </w:p>
    <w:p>
      <w:pPr>
        <w:ind w:firstLine="566" w:firstLineChars="177"/>
        <w:rPr>
          <w:rFonts w:ascii="仿宋_GB2312" w:eastAsia="仿宋_GB2312"/>
          <w:bCs/>
          <w:sz w:val="32"/>
          <w:szCs w:val="32"/>
        </w:rPr>
      </w:pPr>
      <w:r>
        <w:rPr>
          <w:rFonts w:hint="eastAsia" w:ascii="仿宋_GB2312" w:eastAsia="仿宋_GB2312"/>
          <w:bCs/>
          <w:sz w:val="32"/>
          <w:szCs w:val="32"/>
        </w:rPr>
        <w:t>计算公式为：T=</w:t>
      </w:r>
      <w:r>
        <w:rPr>
          <w:rFonts w:ascii="仿宋_GB2312" w:eastAsia="仿宋_GB2312"/>
          <w:bCs/>
          <w:sz w:val="32"/>
          <w:szCs w:val="32"/>
        </w:rPr>
        <w:t xml:space="preserve"> Q</w:t>
      </w:r>
      <w:r>
        <w:rPr>
          <w:rFonts w:hint="eastAsia" w:ascii="仿宋_GB2312" w:eastAsia="仿宋_GB2312"/>
          <w:bCs/>
          <w:sz w:val="32"/>
          <w:szCs w:val="32"/>
          <w:vertAlign w:val="subscript"/>
        </w:rPr>
        <w:t>A</w:t>
      </w:r>
      <w:r>
        <w:rPr>
          <w:rFonts w:ascii="仿宋_GB2312" w:eastAsia="仿宋_GB2312"/>
          <w:bCs/>
          <w:sz w:val="32"/>
          <w:szCs w:val="32"/>
        </w:rPr>
        <w:t>×I×f</w:t>
      </w:r>
      <w:r>
        <w:rPr>
          <w:rFonts w:hint="eastAsia" w:ascii="仿宋_GB2312" w:eastAsia="仿宋_GB2312"/>
          <w:bCs/>
          <w:sz w:val="32"/>
          <w:szCs w:val="32"/>
        </w:rPr>
        <w:t>+△（13）</w:t>
      </w:r>
    </w:p>
    <w:p>
      <w:pPr>
        <w:ind w:firstLine="645"/>
        <w:rPr>
          <w:rFonts w:ascii="仿宋_GB2312" w:eastAsia="仿宋_GB2312"/>
          <w:bCs/>
          <w:sz w:val="32"/>
          <w:szCs w:val="32"/>
        </w:rPr>
      </w:pPr>
      <w:r>
        <w:rPr>
          <w:rFonts w:ascii="仿宋_GB2312" w:eastAsia="仿宋_GB2312"/>
          <w:bCs/>
          <w:sz w:val="32"/>
          <w:szCs w:val="32"/>
        </w:rPr>
        <w:t>Q</w:t>
      </w:r>
      <w:r>
        <w:rPr>
          <w:rFonts w:hint="eastAsia" w:ascii="仿宋_GB2312" w:eastAsia="仿宋_GB2312"/>
          <w:bCs/>
          <w:sz w:val="32"/>
          <w:szCs w:val="32"/>
          <w:vertAlign w:val="subscript"/>
        </w:rPr>
        <w:t>A</w:t>
      </w:r>
      <w:r>
        <w:rPr>
          <w:rFonts w:hint="eastAsia" w:ascii="仿宋_GB2312" w:eastAsia="仿宋_GB2312"/>
          <w:bCs/>
          <w:sz w:val="32"/>
          <w:szCs w:val="32"/>
        </w:rPr>
        <w:t>为履约年度所有设施排放对应的活动水平，如供水量、排水量等；I为历史基准年排放强度；f为控排系数，△为</w:t>
      </w:r>
      <w:r>
        <w:rPr>
          <w:rFonts w:ascii="仿宋_GB2312" w:eastAsia="仿宋_GB2312"/>
          <w:bCs/>
          <w:sz w:val="32"/>
          <w:szCs w:val="32"/>
        </w:rPr>
        <w:t>配额调整量，</w:t>
      </w:r>
      <w:r>
        <w:rPr>
          <w:rFonts w:hint="eastAsia" w:ascii="仿宋_GB2312" w:eastAsia="仿宋_GB2312"/>
          <w:bCs/>
          <w:sz w:val="32"/>
          <w:szCs w:val="32"/>
        </w:rPr>
        <w:t>同历史总量法的配额调整量。</w:t>
      </w:r>
    </w:p>
    <w:p>
      <w:pPr>
        <w:spacing w:line="360" w:lineRule="auto"/>
        <w:ind w:firstLine="645"/>
        <w:rPr>
          <w:rFonts w:ascii="楷体" w:hAnsi="楷体" w:eastAsia="楷体"/>
          <w:bCs/>
          <w:sz w:val="32"/>
          <w:szCs w:val="32"/>
        </w:rPr>
      </w:pPr>
      <w:r>
        <w:rPr>
          <w:rFonts w:hint="eastAsia" w:ascii="楷体" w:hAnsi="楷体" w:eastAsia="楷体"/>
          <w:bCs/>
          <w:sz w:val="32"/>
          <w:szCs w:val="32"/>
        </w:rPr>
        <w:t>（四）组合方法</w:t>
      </w:r>
    </w:p>
    <w:p>
      <w:pPr>
        <w:spacing w:line="360" w:lineRule="auto"/>
        <w:ind w:firstLine="645"/>
        <w:rPr>
          <w:rFonts w:ascii="仿宋_GB2312" w:hAnsi="楷体" w:eastAsia="仿宋_GB2312"/>
          <w:bCs/>
          <w:sz w:val="32"/>
          <w:szCs w:val="32"/>
        </w:rPr>
      </w:pPr>
      <w:r>
        <w:rPr>
          <w:rFonts w:hint="eastAsia" w:ascii="仿宋_GB2312" w:hAnsi="楷体" w:eastAsia="仿宋_GB2312"/>
          <w:bCs/>
          <w:sz w:val="32"/>
          <w:szCs w:val="32"/>
        </w:rPr>
        <w:t>交通运输行业（公共汽车及城市轨道）配额核定方法。</w:t>
      </w:r>
    </w:p>
    <w:p>
      <w:pPr>
        <w:spacing w:line="360" w:lineRule="auto"/>
        <w:ind w:firstLine="645"/>
        <w:rPr>
          <w:rFonts w:ascii="仿宋_GB2312" w:eastAsia="仿宋_GB2312"/>
          <w:bCs/>
          <w:sz w:val="32"/>
          <w:szCs w:val="32"/>
        </w:rPr>
      </w:pPr>
      <w:r>
        <w:rPr>
          <w:rFonts w:hint="eastAsia" w:ascii="仿宋_GB2312" w:eastAsia="仿宋_GB2312"/>
          <w:bCs/>
          <w:sz w:val="32"/>
          <w:szCs w:val="32"/>
        </w:rPr>
        <w:t>二氧化碳配额总量（T）包括固定设施配额（T</w:t>
      </w:r>
      <w:r>
        <w:rPr>
          <w:rFonts w:hint="eastAsia" w:ascii="仿宋_GB2312" w:eastAsia="仿宋_GB2312"/>
          <w:bCs/>
          <w:sz w:val="32"/>
          <w:szCs w:val="32"/>
          <w:vertAlign w:val="subscript"/>
        </w:rPr>
        <w:t>s</w:t>
      </w:r>
      <w:r>
        <w:rPr>
          <w:rFonts w:hint="eastAsia" w:ascii="仿宋_GB2312" w:eastAsia="仿宋_GB2312"/>
          <w:bCs/>
          <w:sz w:val="32"/>
          <w:szCs w:val="32"/>
        </w:rPr>
        <w:t>）和移动设施配额（T</w:t>
      </w:r>
      <w:r>
        <w:rPr>
          <w:rFonts w:hint="eastAsia" w:ascii="仿宋_GB2312" w:eastAsia="仿宋_GB2312"/>
          <w:bCs/>
          <w:sz w:val="32"/>
          <w:szCs w:val="32"/>
          <w:vertAlign w:val="subscript"/>
        </w:rPr>
        <w:t>m</w:t>
      </w:r>
      <w:r>
        <w:rPr>
          <w:rFonts w:hint="eastAsia" w:ascii="仿宋_GB2312" w:eastAsia="仿宋_GB2312"/>
          <w:bCs/>
          <w:sz w:val="32"/>
          <w:szCs w:val="32"/>
        </w:rPr>
        <w:t>）两部分，计量单位为吨。</w:t>
      </w:r>
    </w:p>
    <w:p>
      <w:pPr>
        <w:tabs>
          <w:tab w:val="left" w:pos="6946"/>
          <w:tab w:val="left" w:pos="7088"/>
        </w:tabs>
        <w:spacing w:line="360" w:lineRule="auto"/>
        <w:ind w:firstLine="640" w:firstLineChars="200"/>
        <w:jc w:val="left"/>
        <w:rPr>
          <w:rFonts w:ascii="仿宋_GB2312" w:eastAsia="仿宋_GB2312"/>
          <w:bCs/>
          <w:sz w:val="32"/>
          <w:szCs w:val="32"/>
        </w:rPr>
      </w:pPr>
      <w:r>
        <w:rPr>
          <w:rFonts w:hint="eastAsia" w:ascii="仿宋_GB2312" w:eastAsia="仿宋_GB2312"/>
          <w:bCs/>
          <w:sz w:val="32"/>
          <w:szCs w:val="32"/>
        </w:rPr>
        <w:t>计算公式为：T = T</w:t>
      </w:r>
      <w:r>
        <w:rPr>
          <w:rFonts w:hint="eastAsia" w:ascii="仿宋_GB2312" w:eastAsia="仿宋_GB2312"/>
          <w:bCs/>
          <w:sz w:val="32"/>
          <w:szCs w:val="32"/>
          <w:vertAlign w:val="subscript"/>
        </w:rPr>
        <w:t>s</w:t>
      </w:r>
      <w:r>
        <w:rPr>
          <w:rFonts w:hint="eastAsia" w:ascii="仿宋_GB2312" w:eastAsia="仿宋_GB2312"/>
          <w:bCs/>
          <w:sz w:val="32"/>
          <w:szCs w:val="32"/>
        </w:rPr>
        <w:t xml:space="preserve"> + T</w:t>
      </w:r>
      <w:r>
        <w:rPr>
          <w:rFonts w:hint="eastAsia" w:ascii="仿宋_GB2312" w:eastAsia="仿宋_GB2312"/>
          <w:bCs/>
          <w:sz w:val="32"/>
          <w:szCs w:val="32"/>
          <w:vertAlign w:val="subscript"/>
        </w:rPr>
        <w:t>m</w:t>
      </w:r>
      <w:r>
        <w:rPr>
          <w:rFonts w:hint="eastAsia" w:ascii="仿宋_GB2312" w:eastAsia="仿宋_GB2312"/>
          <w:bCs/>
          <w:sz w:val="32"/>
          <w:szCs w:val="32"/>
        </w:rPr>
        <w:t>=T</w:t>
      </w:r>
      <w:r>
        <w:rPr>
          <w:rFonts w:hint="eastAsia" w:ascii="仿宋_GB2312" w:eastAsia="仿宋_GB2312"/>
          <w:bCs/>
          <w:sz w:val="32"/>
          <w:szCs w:val="32"/>
          <w:vertAlign w:val="subscript"/>
        </w:rPr>
        <w:t>s</w:t>
      </w:r>
      <w:r>
        <w:rPr>
          <w:rFonts w:hint="eastAsia" w:ascii="仿宋_GB2312" w:eastAsia="仿宋_GB2312"/>
          <w:bCs/>
          <w:sz w:val="32"/>
          <w:szCs w:val="32"/>
        </w:rPr>
        <w:t xml:space="preserve"> +Q</w:t>
      </w:r>
      <w:r>
        <w:rPr>
          <w:rFonts w:hint="eastAsia" w:ascii="仿宋_GB2312" w:eastAsia="仿宋_GB2312"/>
          <w:bCs/>
          <w:sz w:val="32"/>
          <w:szCs w:val="32"/>
          <w:vertAlign w:val="subscript"/>
        </w:rPr>
        <w:t>m</w:t>
      </w:r>
      <w:r>
        <w:rPr>
          <w:rFonts w:hint="eastAsia" w:ascii="仿宋_GB2312" w:eastAsia="仿宋_GB2312"/>
          <w:bCs/>
          <w:sz w:val="32"/>
          <w:szCs w:val="32"/>
        </w:rPr>
        <w:t>×I</w:t>
      </w:r>
      <w:r>
        <w:rPr>
          <w:rFonts w:hint="eastAsia" w:ascii="仿宋_GB2312" w:eastAsia="仿宋_GB2312"/>
          <w:bCs/>
          <w:sz w:val="32"/>
          <w:szCs w:val="32"/>
          <w:vertAlign w:val="subscript"/>
        </w:rPr>
        <w:t>m</w:t>
      </w:r>
      <w:r>
        <w:rPr>
          <w:rFonts w:hint="eastAsia" w:ascii="仿宋_GB2312" w:eastAsia="仿宋_GB2312"/>
          <w:bCs/>
          <w:sz w:val="32"/>
          <w:szCs w:val="32"/>
        </w:rPr>
        <w:t>×f</w:t>
      </w:r>
      <w:r>
        <w:rPr>
          <w:rFonts w:hint="eastAsia" w:ascii="仿宋_GB2312" w:eastAsia="仿宋_GB2312"/>
          <w:bCs/>
          <w:sz w:val="32"/>
          <w:szCs w:val="32"/>
          <w:vertAlign w:val="subscript"/>
        </w:rPr>
        <w:t xml:space="preserve">m  </w:t>
      </w:r>
      <w:r>
        <w:rPr>
          <w:rFonts w:hint="eastAsia" w:ascii="仿宋_GB2312" w:eastAsia="仿宋_GB2312"/>
          <w:bCs/>
          <w:sz w:val="32"/>
          <w:szCs w:val="32"/>
        </w:rPr>
        <w:t>（14）</w:t>
      </w:r>
    </w:p>
    <w:p>
      <w:pPr>
        <w:spacing w:line="360" w:lineRule="auto"/>
        <w:ind w:firstLine="645"/>
        <w:rPr>
          <w:rFonts w:ascii="仿宋_GB2312" w:eastAsia="仿宋_GB2312"/>
          <w:bCs/>
          <w:sz w:val="32"/>
          <w:szCs w:val="32"/>
        </w:rPr>
      </w:pPr>
      <w:r>
        <w:rPr>
          <w:rFonts w:hint="eastAsia" w:ascii="仿宋_GB2312" w:eastAsia="仿宋_GB2312"/>
          <w:bCs/>
          <w:sz w:val="32"/>
          <w:szCs w:val="32"/>
        </w:rPr>
        <w:t>固定设施二氧化碳配额（T</w:t>
      </w:r>
      <w:r>
        <w:rPr>
          <w:rFonts w:hint="eastAsia" w:ascii="仿宋_GB2312" w:eastAsia="仿宋_GB2312"/>
          <w:bCs/>
          <w:sz w:val="32"/>
          <w:szCs w:val="32"/>
          <w:vertAlign w:val="subscript"/>
        </w:rPr>
        <w:t>s</w:t>
      </w:r>
      <w:r>
        <w:rPr>
          <w:rFonts w:hint="eastAsia" w:ascii="仿宋_GB2312" w:eastAsia="仿宋_GB2312"/>
          <w:bCs/>
          <w:sz w:val="32"/>
          <w:szCs w:val="32"/>
        </w:rPr>
        <w:t>）计算方法同本章“（二）历史总量法”；Q</w:t>
      </w:r>
      <w:r>
        <w:rPr>
          <w:rFonts w:hint="eastAsia" w:ascii="仿宋_GB2312" w:eastAsia="仿宋_GB2312"/>
          <w:bCs/>
          <w:sz w:val="32"/>
          <w:szCs w:val="32"/>
          <w:vertAlign w:val="subscript"/>
        </w:rPr>
        <w:t>m</w:t>
      </w:r>
      <w:r>
        <w:rPr>
          <w:rFonts w:hint="eastAsia" w:ascii="仿宋_GB2312" w:eastAsia="仿宋_GB2312"/>
          <w:bCs/>
          <w:sz w:val="32"/>
          <w:szCs w:val="32"/>
        </w:rPr>
        <w:t>为履约年度运输总周转量或运输总里程；I</w:t>
      </w:r>
      <w:r>
        <w:rPr>
          <w:rFonts w:hint="eastAsia" w:ascii="仿宋_GB2312" w:eastAsia="仿宋_GB2312"/>
          <w:bCs/>
          <w:sz w:val="32"/>
          <w:szCs w:val="32"/>
          <w:vertAlign w:val="subscript"/>
        </w:rPr>
        <w:t>m</w:t>
      </w:r>
      <w:r>
        <w:rPr>
          <w:rFonts w:hint="eastAsia" w:ascii="仿宋_GB2312" w:eastAsia="仿宋_GB2312"/>
          <w:bCs/>
          <w:sz w:val="32"/>
          <w:szCs w:val="32"/>
        </w:rPr>
        <w:t>为历史基准年排放强度；f</w:t>
      </w:r>
      <w:r>
        <w:rPr>
          <w:rFonts w:hint="eastAsia" w:ascii="仿宋_GB2312" w:eastAsia="仿宋_GB2312"/>
          <w:bCs/>
          <w:sz w:val="32"/>
          <w:szCs w:val="32"/>
          <w:vertAlign w:val="subscript"/>
        </w:rPr>
        <w:t>m</w:t>
      </w:r>
      <w:r>
        <w:rPr>
          <w:rFonts w:hint="eastAsia" w:ascii="仿宋_GB2312" w:eastAsia="仿宋_GB2312"/>
          <w:bCs/>
          <w:sz w:val="32"/>
          <w:szCs w:val="32"/>
        </w:rPr>
        <w:t>为控排系数，详见附件1。</w:t>
      </w:r>
    </w:p>
    <w:p>
      <w:pPr>
        <w:widowControl/>
        <w:ind w:firstLine="640" w:firstLineChars="200"/>
        <w:jc w:val="left"/>
        <w:rPr>
          <w:rFonts w:ascii="黑体" w:hAnsi="宋体" w:eastAsia="黑体" w:cs="黑体"/>
          <w:kern w:val="0"/>
          <w:sz w:val="31"/>
          <w:szCs w:val="31"/>
          <w:lang w:bidi="ar"/>
        </w:rPr>
      </w:pPr>
      <w:r>
        <w:rPr>
          <w:rFonts w:hint="eastAsia" w:ascii="楷体" w:hAnsi="楷体" w:eastAsia="楷体"/>
          <w:bCs/>
          <w:sz w:val="32"/>
          <w:szCs w:val="32"/>
          <w:lang w:bidi="ar"/>
        </w:rPr>
        <w:t>（五）设置配额富余和亏缺上限</w:t>
      </w:r>
    </w:p>
    <w:p>
      <w:pPr>
        <w:spacing w:line="360" w:lineRule="auto"/>
        <w:ind w:firstLine="640" w:firstLineChars="200"/>
        <w:rPr>
          <w:rFonts w:ascii="仿宋_GB2312" w:eastAsia="仿宋_GB2312"/>
          <w:bCs/>
          <w:sz w:val="32"/>
          <w:szCs w:val="32"/>
        </w:rPr>
      </w:pPr>
      <w:r>
        <w:rPr>
          <w:rFonts w:hint="eastAsia" w:ascii="仿宋_GB2312" w:hAnsi="宋体" w:eastAsia="仿宋_GB2312"/>
          <w:sz w:val="32"/>
          <w:szCs w:val="32"/>
        </w:rPr>
        <w:t>为避免出现过量配额富缺情况，并助企纾困，设置配额富余和亏缺上限值，免费发放的配额富余和亏缺上限值为排放量的20%。</w:t>
      </w:r>
      <w:r>
        <w:rPr>
          <w:rFonts w:hint="eastAsia" w:ascii="仿宋_GB2312" w:hAnsi="仿宋_GB2312" w:eastAsia="仿宋_GB2312" w:cs="仿宋_GB2312"/>
          <w:bCs/>
          <w:sz w:val="32"/>
          <w:szCs w:val="32"/>
        </w:rPr>
        <w:t>重点碳排放</w:t>
      </w:r>
      <w:r>
        <w:rPr>
          <w:rFonts w:ascii="仿宋_GB2312" w:hAnsi="仿宋_GB2312" w:eastAsia="仿宋_GB2312" w:cs="仿宋_GB2312"/>
          <w:bCs/>
          <w:sz w:val="32"/>
          <w:szCs w:val="32"/>
        </w:rPr>
        <w:t>单位</w:t>
      </w:r>
      <w:r>
        <w:rPr>
          <w:rFonts w:hint="eastAsia" w:ascii="仿宋_GB2312" w:hAnsi="仿宋_GB2312" w:eastAsia="仿宋_GB2312" w:cs="仿宋_GB2312"/>
          <w:bCs/>
          <w:sz w:val="32"/>
          <w:szCs w:val="32"/>
        </w:rPr>
        <w:t>须按相关要求提出申请，市生态环境局进行复核，根据核查和抽查结果，对满足条件的重点碳排放单位按相关规定核发配额 (详见附件4)。</w:t>
      </w:r>
    </w:p>
    <w:p>
      <w:pPr>
        <w:spacing w:line="360" w:lineRule="auto"/>
        <w:ind w:firstLine="0" w:firstLineChars="0"/>
        <w:rPr>
          <w:rFonts w:hint="eastAsia" w:ascii="仿宋_GB2312" w:hAnsi="仿宋_GB2312" w:eastAsia="仿宋_GB2312" w:cs="仿宋_GB2312"/>
          <w:bCs/>
          <w:sz w:val="32"/>
          <w:szCs w:val="32"/>
        </w:rPr>
      </w:pPr>
      <w:bookmarkStart w:id="0" w:name="_Toc348107902"/>
      <w:bookmarkEnd w:id="0"/>
      <w:bookmarkStart w:id="1" w:name="_Toc348108042"/>
      <w:bookmarkEnd w:id="1"/>
      <w:bookmarkStart w:id="2" w:name="_Toc348107962"/>
      <w:bookmarkEnd w:id="2"/>
      <w:bookmarkStart w:id="3" w:name="_Toc348107989"/>
      <w:bookmarkEnd w:id="3"/>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附件：1.配额核算基准值</w:t>
      </w:r>
    </w:p>
    <w:p>
      <w:pPr>
        <w:spacing w:line="360" w:lineRule="auto"/>
        <w:ind w:firstLine="1440" w:firstLineChars="45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2.2</w:t>
      </w:r>
      <w:r>
        <w:rPr>
          <w:rFonts w:ascii="仿宋_GB2312" w:hAnsi="仿宋_GB2312" w:eastAsia="仿宋_GB2312" w:cs="仿宋_GB2312"/>
          <w:bCs/>
          <w:sz w:val="32"/>
          <w:szCs w:val="32"/>
        </w:rPr>
        <w:t>0</w:t>
      </w:r>
      <w:r>
        <w:rPr>
          <w:rFonts w:hint="eastAsia" w:ascii="仿宋_GB2312" w:hAnsi="仿宋_GB2312" w:eastAsia="仿宋_GB2312" w:cs="仿宋_GB2312"/>
          <w:bCs/>
          <w:sz w:val="32"/>
          <w:szCs w:val="32"/>
        </w:rPr>
        <w:t>2</w:t>
      </w:r>
      <w:r>
        <w:rPr>
          <w:rFonts w:ascii="仿宋_GB2312" w:hAnsi="仿宋_GB2312" w:eastAsia="仿宋_GB2312" w:cs="仿宋_GB2312"/>
          <w:bCs/>
          <w:sz w:val="32"/>
          <w:szCs w:val="32"/>
        </w:rPr>
        <w:t>1-2023</w:t>
      </w:r>
      <w:r>
        <w:rPr>
          <w:rFonts w:hint="eastAsia" w:ascii="仿宋_GB2312" w:hAnsi="仿宋_GB2312" w:eastAsia="仿宋_GB2312" w:cs="仿宋_GB2312"/>
          <w:bCs/>
          <w:sz w:val="32"/>
          <w:szCs w:val="32"/>
        </w:rPr>
        <w:t>年度控排系数表</w:t>
      </w:r>
    </w:p>
    <w:p>
      <w:pPr>
        <w:spacing w:line="360" w:lineRule="auto"/>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3.新增设施配额调整申请材料及相关要求</w:t>
      </w:r>
    </w:p>
    <w:p>
      <w:pPr>
        <w:spacing w:line="360" w:lineRule="auto"/>
        <w:ind w:firstLine="1600" w:firstLineChars="5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4.配额调整申请材料及相关要求</w:t>
      </w:r>
    </w:p>
    <w:p>
      <w:pPr>
        <w:widowControl/>
        <w:jc w:val="left"/>
        <w:rPr>
          <w:rFonts w:ascii="黑体" w:hAnsi="黑体" w:eastAsia="黑体" w:cs="仿宋_GB2312"/>
          <w:bCs/>
          <w:sz w:val="28"/>
          <w:szCs w:val="28"/>
        </w:rPr>
      </w:pPr>
      <w:r>
        <w:rPr>
          <w:rFonts w:hint="eastAsia" w:ascii="黑体" w:hAnsi="黑体" w:eastAsia="黑体" w:cs="仿宋_GB2312"/>
          <w:bCs/>
          <w:sz w:val="32"/>
          <w:szCs w:val="32"/>
        </w:rPr>
        <w:t>附件1</w:t>
      </w:r>
    </w:p>
    <w:p>
      <w:pPr>
        <w:spacing w:line="360" w:lineRule="auto"/>
        <w:jc w:val="center"/>
        <w:rPr>
          <w:rFonts w:ascii="方正小标宋简体" w:hAnsi="宋体" w:eastAsia="方正小标宋简体"/>
          <w:bCs/>
          <w:sz w:val="36"/>
          <w:szCs w:val="36"/>
        </w:rPr>
      </w:pPr>
      <w:r>
        <w:rPr>
          <w:rFonts w:hint="eastAsia" w:ascii="方正小标宋简体" w:hAnsi="宋体" w:eastAsia="方正小标宋简体"/>
          <w:bCs/>
          <w:sz w:val="44"/>
          <w:szCs w:val="44"/>
        </w:rPr>
        <w:t>配额核算基准值</w:t>
      </w:r>
    </w:p>
    <w:tbl>
      <w:tblPr>
        <w:tblStyle w:val="8"/>
        <w:tblW w:w="92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734"/>
        <w:gridCol w:w="1710"/>
        <w:gridCol w:w="2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245" w:type="dxa"/>
            <w:gridSpan w:val="4"/>
            <w:vAlign w:val="center"/>
          </w:tcPr>
          <w:p>
            <w:pPr>
              <w:widowControl/>
              <w:jc w:val="left"/>
              <w:rPr>
                <w:rFonts w:ascii="黑体" w:hAnsi="黑体" w:eastAsia="黑体" w:cs="宋体"/>
                <w:bCs/>
                <w:kern w:val="0"/>
                <w:sz w:val="28"/>
                <w:szCs w:val="28"/>
              </w:rPr>
            </w:pPr>
            <w:r>
              <w:rPr>
                <w:rFonts w:hint="eastAsia" w:ascii="黑体" w:hAnsi="黑体" w:eastAsia="黑体" w:cs="宋体"/>
                <w:bCs/>
                <w:kern w:val="0"/>
                <w:sz w:val="28"/>
                <w:szCs w:val="28"/>
              </w:rPr>
              <w:t>一、火力发电</w:t>
            </w:r>
            <w:r>
              <w:rPr>
                <w:rFonts w:hint="eastAsia" w:ascii="黑体" w:hAnsi="黑体" w:eastAsia="黑体" w:cs="宋体"/>
                <w:bCs/>
                <w:kern w:val="0"/>
                <w:sz w:val="28"/>
                <w:szCs w:val="28"/>
                <w:lang w:eastAsia="zh-CN"/>
              </w:rPr>
              <w:t>行</w:t>
            </w:r>
            <w:r>
              <w:rPr>
                <w:rFonts w:hint="eastAsia" w:ascii="黑体" w:hAnsi="黑体" w:eastAsia="黑体" w:cs="宋体"/>
                <w:bCs/>
                <w:kern w:val="0"/>
                <w:sz w:val="28"/>
                <w:szCs w:val="28"/>
              </w:rPr>
              <w:t>业（热电联产）基准值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908" w:type="dxa"/>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机组类型</w:t>
            </w:r>
          </w:p>
        </w:tc>
        <w:tc>
          <w:tcPr>
            <w:tcW w:w="2734" w:type="dxa"/>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机组供电二氧化碳排放基准（tCO</w:t>
            </w:r>
            <w:r>
              <w:rPr>
                <w:rFonts w:hint="eastAsia" w:ascii="仿宋_GB2312" w:hAnsi="等线" w:eastAsia="仿宋_GB2312" w:cs="宋体"/>
                <w:bCs/>
                <w:kern w:val="0"/>
                <w:sz w:val="28"/>
                <w:szCs w:val="28"/>
                <w:vertAlign w:val="subscript"/>
              </w:rPr>
              <w:t>2</w:t>
            </w:r>
            <w:r>
              <w:rPr>
                <w:rFonts w:hint="eastAsia" w:ascii="仿宋_GB2312" w:hAnsi="等线" w:eastAsia="仿宋_GB2312" w:cs="宋体"/>
                <w:bCs/>
                <w:kern w:val="0"/>
                <w:sz w:val="28"/>
                <w:szCs w:val="28"/>
              </w:rPr>
              <w:t>/MWh）</w:t>
            </w:r>
          </w:p>
        </w:tc>
        <w:tc>
          <w:tcPr>
            <w:tcW w:w="1710" w:type="dxa"/>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机组供热比调整系数</w:t>
            </w:r>
          </w:p>
        </w:tc>
        <w:tc>
          <w:tcPr>
            <w:tcW w:w="2893" w:type="dxa"/>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机组供热二氧化碳排放基准（tCO</w:t>
            </w:r>
            <w:r>
              <w:rPr>
                <w:rFonts w:hint="eastAsia" w:ascii="仿宋_GB2312" w:hAnsi="等线" w:eastAsia="仿宋_GB2312" w:cs="宋体"/>
                <w:bCs/>
                <w:kern w:val="0"/>
                <w:sz w:val="28"/>
                <w:szCs w:val="28"/>
                <w:vertAlign w:val="subscript"/>
              </w:rPr>
              <w:t>2</w:t>
            </w:r>
            <w:r>
              <w:rPr>
                <w:rFonts w:hint="eastAsia" w:ascii="仿宋_GB2312" w:hAnsi="等线" w:eastAsia="仿宋_GB2312" w:cs="宋体"/>
                <w:bCs/>
                <w:kern w:val="0"/>
                <w:sz w:val="28"/>
                <w:szCs w:val="28"/>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908" w:type="dxa"/>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其他机组</w:t>
            </w:r>
          </w:p>
        </w:tc>
        <w:tc>
          <w:tcPr>
            <w:tcW w:w="2734" w:type="dxa"/>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0.4341</w:t>
            </w:r>
          </w:p>
        </w:tc>
        <w:tc>
          <w:tcPr>
            <w:tcW w:w="1710" w:type="dxa"/>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0.6</w:t>
            </w:r>
          </w:p>
        </w:tc>
        <w:tc>
          <w:tcPr>
            <w:tcW w:w="2893" w:type="dxa"/>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0.0528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trPr>
        <w:tc>
          <w:tcPr>
            <w:tcW w:w="9245" w:type="dxa"/>
            <w:gridSpan w:val="4"/>
            <w:vAlign w:val="center"/>
          </w:tcPr>
          <w:p>
            <w:pPr>
              <w:widowControl/>
              <w:rPr>
                <w:rFonts w:ascii="仿宋_GB2312" w:hAnsi="黑体" w:eastAsia="仿宋_GB2312" w:cs="宋体"/>
                <w:bCs/>
                <w:kern w:val="0"/>
                <w:sz w:val="28"/>
                <w:szCs w:val="28"/>
              </w:rPr>
            </w:pPr>
            <w:r>
              <w:rPr>
                <w:rFonts w:hint="eastAsia" w:ascii="黑体" w:hAnsi="黑体" w:eastAsia="黑体" w:cs="宋体"/>
                <w:bCs/>
                <w:kern w:val="0"/>
                <w:sz w:val="28"/>
                <w:szCs w:val="28"/>
              </w:rPr>
              <w:t>二、水</w:t>
            </w:r>
            <w:r>
              <w:rPr>
                <w:rFonts w:hint="eastAsia" w:ascii="黑体" w:hAnsi="黑体" w:eastAsia="黑体" w:cs="宋体"/>
                <w:bCs/>
                <w:kern w:val="0"/>
                <w:sz w:val="28"/>
                <w:szCs w:val="28"/>
                <w:lang w:eastAsia="zh-CN"/>
              </w:rPr>
              <w:t>泥制造行</w:t>
            </w:r>
            <w:r>
              <w:rPr>
                <w:rFonts w:hint="eastAsia" w:ascii="黑体" w:hAnsi="黑体" w:eastAsia="黑体" w:cs="宋体"/>
                <w:bCs/>
                <w:kern w:val="0"/>
                <w:sz w:val="28"/>
                <w:szCs w:val="28"/>
              </w:rPr>
              <w:t>业基准值：</w:t>
            </w:r>
            <w:r>
              <w:rPr>
                <w:rFonts w:ascii="仿宋_GB2312" w:hAnsi="黑体" w:eastAsia="仿宋_GB2312" w:cs="宋体"/>
                <w:bCs/>
                <w:kern w:val="0"/>
                <w:sz w:val="28"/>
                <w:szCs w:val="28"/>
              </w:rPr>
              <w:t>0.86tCO</w:t>
            </w:r>
            <w:r>
              <w:rPr>
                <w:rFonts w:ascii="仿宋_GB2312" w:hAnsi="黑体" w:eastAsia="仿宋_GB2312" w:cs="宋体"/>
                <w:bCs/>
                <w:kern w:val="0"/>
                <w:sz w:val="28"/>
                <w:szCs w:val="28"/>
                <w:vertAlign w:val="subscript"/>
              </w:rPr>
              <w:t>2</w:t>
            </w:r>
            <w:r>
              <w:rPr>
                <w:rFonts w:ascii="仿宋_GB2312" w:hAnsi="黑体" w:eastAsia="仿宋_GB2312" w:cs="宋体"/>
                <w:bCs/>
                <w:kern w:val="0"/>
                <w:sz w:val="28"/>
                <w:szCs w:val="28"/>
              </w:rPr>
              <w:t>/t熟料</w:t>
            </w:r>
          </w:p>
          <w:p>
            <w:pPr>
              <w:widowControl/>
              <w:rPr>
                <w:rFonts w:ascii="仿宋_GB2312" w:hAnsi="黑体" w:eastAsia="仿宋_GB2312" w:cs="宋体"/>
                <w:bCs/>
                <w:kern w:val="0"/>
                <w:sz w:val="28"/>
                <w:szCs w:val="28"/>
              </w:rPr>
            </w:pPr>
            <w:r>
              <w:rPr>
                <w:rFonts w:hint="eastAsia" w:ascii="仿宋_GB2312" w:hAnsi="黑体" w:eastAsia="仿宋_GB2312" w:cs="宋体"/>
                <w:bCs/>
                <w:kern w:val="0"/>
                <w:sz w:val="28"/>
                <w:szCs w:val="28"/>
              </w:rPr>
              <w:t>协同处置废弃物预处置（</w:t>
            </w:r>
            <w:r>
              <w:rPr>
                <w:rFonts w:ascii="仿宋_GB2312" w:hAnsi="黑体" w:eastAsia="仿宋_GB2312" w:cs="宋体"/>
                <w:bCs/>
                <w:kern w:val="0"/>
                <w:sz w:val="28"/>
                <w:szCs w:val="28"/>
              </w:rPr>
              <w:t>a</w:t>
            </w:r>
            <w:r>
              <w:rPr>
                <w:rFonts w:hint="eastAsia" w:ascii="仿宋_GB2312" w:hAnsi="黑体" w:eastAsia="仿宋_GB2312" w:cs="宋体"/>
                <w:bCs/>
                <w:kern w:val="0"/>
                <w:sz w:val="28"/>
                <w:szCs w:val="28"/>
              </w:rPr>
              <w:t>类）基准值：</w:t>
            </w:r>
            <w:r>
              <w:rPr>
                <w:rFonts w:ascii="仿宋_GB2312" w:hAnsi="黑体" w:eastAsia="仿宋_GB2312" w:cs="宋体"/>
                <w:bCs/>
                <w:kern w:val="0"/>
                <w:sz w:val="28"/>
                <w:szCs w:val="28"/>
              </w:rPr>
              <w:t>0.3tCO</w:t>
            </w:r>
            <w:r>
              <w:rPr>
                <w:rFonts w:ascii="仿宋_GB2312" w:hAnsi="黑体" w:eastAsia="仿宋_GB2312" w:cs="宋体"/>
                <w:bCs/>
                <w:kern w:val="0"/>
                <w:sz w:val="28"/>
                <w:szCs w:val="28"/>
                <w:vertAlign w:val="subscript"/>
              </w:rPr>
              <w:t>2</w:t>
            </w:r>
            <w:r>
              <w:rPr>
                <w:rFonts w:ascii="仿宋_GB2312" w:hAnsi="黑体" w:eastAsia="仿宋_GB2312" w:cs="宋体"/>
                <w:bCs/>
                <w:kern w:val="0"/>
                <w:sz w:val="28"/>
                <w:szCs w:val="28"/>
              </w:rPr>
              <w:t>/t</w:t>
            </w:r>
            <w:r>
              <w:rPr>
                <w:rFonts w:hint="eastAsia" w:ascii="仿宋_GB2312" w:hAnsi="黑体" w:eastAsia="仿宋_GB2312" w:cs="宋体"/>
                <w:bCs/>
                <w:kern w:val="0"/>
                <w:sz w:val="28"/>
                <w:szCs w:val="28"/>
              </w:rPr>
              <w:t>废弃物</w:t>
            </w:r>
          </w:p>
          <w:p>
            <w:pPr>
              <w:widowControl/>
              <w:rPr>
                <w:rFonts w:ascii="仿宋_GB2312" w:hAnsi="黑体" w:eastAsia="仿宋_GB2312" w:cs="宋体"/>
                <w:bCs/>
                <w:kern w:val="0"/>
                <w:sz w:val="28"/>
                <w:szCs w:val="28"/>
              </w:rPr>
            </w:pPr>
            <w:r>
              <w:rPr>
                <w:rFonts w:hint="eastAsia" w:ascii="仿宋_GB2312" w:hAnsi="黑体" w:eastAsia="仿宋_GB2312" w:cs="宋体"/>
                <w:bCs/>
                <w:kern w:val="0"/>
                <w:sz w:val="28"/>
                <w:szCs w:val="28"/>
              </w:rPr>
              <w:t>协同处置废弃物预处置（</w:t>
            </w:r>
            <w:r>
              <w:rPr>
                <w:rFonts w:ascii="仿宋_GB2312" w:hAnsi="黑体" w:eastAsia="仿宋_GB2312" w:cs="宋体"/>
                <w:bCs/>
                <w:kern w:val="0"/>
                <w:sz w:val="28"/>
                <w:szCs w:val="28"/>
              </w:rPr>
              <w:t>b类）基准值：0.1tCO</w:t>
            </w:r>
            <w:r>
              <w:rPr>
                <w:rFonts w:ascii="仿宋_GB2312" w:hAnsi="黑体" w:eastAsia="仿宋_GB2312" w:cs="宋体"/>
                <w:bCs/>
                <w:kern w:val="0"/>
                <w:sz w:val="28"/>
                <w:szCs w:val="28"/>
                <w:vertAlign w:val="subscript"/>
              </w:rPr>
              <w:t>2</w:t>
            </w:r>
            <w:r>
              <w:rPr>
                <w:rFonts w:ascii="仿宋_GB2312" w:hAnsi="黑体" w:eastAsia="仿宋_GB2312" w:cs="宋体"/>
                <w:bCs/>
                <w:kern w:val="0"/>
                <w:sz w:val="28"/>
                <w:szCs w:val="28"/>
              </w:rPr>
              <w:t>/t</w:t>
            </w:r>
            <w:r>
              <w:rPr>
                <w:rFonts w:hint="eastAsia" w:ascii="仿宋_GB2312" w:hAnsi="黑体" w:eastAsia="仿宋_GB2312" w:cs="宋体"/>
                <w:bCs/>
                <w:kern w:val="0"/>
                <w:sz w:val="28"/>
                <w:szCs w:val="28"/>
              </w:rPr>
              <w:t>废弃物</w:t>
            </w:r>
          </w:p>
          <w:p>
            <w:pPr>
              <w:widowControl/>
              <w:rPr>
                <w:rFonts w:ascii="黑体" w:hAnsi="黑体" w:eastAsia="黑体" w:cs="宋体"/>
                <w:bCs/>
                <w:kern w:val="0"/>
                <w:sz w:val="28"/>
                <w:szCs w:val="28"/>
              </w:rPr>
            </w:pPr>
            <w:r>
              <w:rPr>
                <w:rFonts w:ascii="仿宋_GB2312" w:hAnsi="黑体" w:eastAsia="仿宋_GB2312" w:cs="宋体"/>
                <w:bCs/>
                <w:kern w:val="0"/>
                <w:sz w:val="24"/>
                <w:szCs w:val="24"/>
              </w:rPr>
              <w:t>a</w:t>
            </w:r>
            <w:r>
              <w:rPr>
                <w:rFonts w:hint="eastAsia" w:ascii="仿宋_GB2312" w:hAnsi="黑体" w:eastAsia="仿宋_GB2312" w:cs="宋体"/>
                <w:bCs/>
                <w:kern w:val="0"/>
                <w:sz w:val="24"/>
                <w:szCs w:val="24"/>
              </w:rPr>
              <w:t>类是以飞灰等热值较低的废弃物；</w:t>
            </w:r>
            <w:r>
              <w:rPr>
                <w:rFonts w:ascii="仿宋_GB2312" w:hAnsi="黑体" w:eastAsia="仿宋_GB2312" w:cs="宋体"/>
                <w:bCs/>
                <w:kern w:val="0"/>
                <w:sz w:val="24"/>
                <w:szCs w:val="24"/>
              </w:rPr>
              <w:t>b类是以废矿物油、工业废物等</w:t>
            </w:r>
            <w:r>
              <w:rPr>
                <w:rFonts w:hint="eastAsia" w:ascii="仿宋_GB2312" w:hAnsi="黑体" w:eastAsia="仿宋_GB2312" w:cs="宋体"/>
                <w:bCs/>
                <w:kern w:val="0"/>
                <w:sz w:val="24"/>
                <w:szCs w:val="24"/>
              </w:rPr>
              <w:t>热值较高</w:t>
            </w:r>
            <w:r>
              <w:rPr>
                <w:rFonts w:ascii="仿宋_GB2312" w:hAnsi="黑体" w:eastAsia="仿宋_GB2312" w:cs="宋体"/>
                <w:bCs/>
                <w:kern w:val="0"/>
                <w:sz w:val="24"/>
                <w:szCs w:val="24"/>
              </w:rPr>
              <w:t>废弃物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245" w:type="dxa"/>
            <w:gridSpan w:val="4"/>
            <w:vAlign w:val="center"/>
          </w:tcPr>
          <w:p>
            <w:pPr>
              <w:widowControl/>
              <w:rPr>
                <w:rFonts w:ascii="黑体" w:hAnsi="黑体" w:eastAsia="黑体" w:cs="宋体"/>
                <w:bCs/>
                <w:kern w:val="0"/>
                <w:sz w:val="28"/>
                <w:szCs w:val="28"/>
              </w:rPr>
            </w:pPr>
            <w:r>
              <w:rPr>
                <w:rFonts w:hint="eastAsia" w:ascii="黑体" w:hAnsi="黑体" w:eastAsia="黑体" w:cs="宋体"/>
                <w:bCs/>
                <w:kern w:val="0"/>
                <w:sz w:val="28"/>
                <w:szCs w:val="28"/>
              </w:rPr>
              <w:t>三、热力生产和供应行业基准值：</w:t>
            </w:r>
            <w:r>
              <w:rPr>
                <w:rFonts w:ascii="仿宋_GB2312" w:hAnsi="黑体" w:eastAsia="仿宋_GB2312" w:cs="宋体"/>
                <w:bCs/>
                <w:kern w:val="0"/>
                <w:sz w:val="28"/>
                <w:szCs w:val="28"/>
              </w:rPr>
              <w:t>0.0631tCO</w:t>
            </w:r>
            <w:r>
              <w:rPr>
                <w:rFonts w:ascii="仿宋_GB2312" w:hAnsi="黑体" w:eastAsia="仿宋_GB2312" w:cs="宋体"/>
                <w:bCs/>
                <w:kern w:val="0"/>
                <w:sz w:val="28"/>
                <w:szCs w:val="28"/>
                <w:vertAlign w:val="subscript"/>
              </w:rPr>
              <w:t>2</w:t>
            </w:r>
            <w:r>
              <w:rPr>
                <w:rFonts w:ascii="仿宋_GB2312" w:hAnsi="黑体" w:eastAsia="仿宋_GB2312" w:cs="宋体"/>
                <w:bCs/>
                <w:kern w:val="0"/>
                <w:sz w:val="28"/>
                <w:szCs w:val="28"/>
              </w:rPr>
              <w:t>/GJ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45" w:type="dxa"/>
            <w:gridSpan w:val="4"/>
            <w:vAlign w:val="center"/>
          </w:tcPr>
          <w:p>
            <w:pPr>
              <w:widowControl/>
              <w:rPr>
                <w:rFonts w:ascii="黑体" w:hAnsi="黑体" w:eastAsia="仿宋_GB2312" w:cs="宋体"/>
                <w:bCs/>
                <w:kern w:val="0"/>
                <w:sz w:val="28"/>
                <w:szCs w:val="28"/>
              </w:rPr>
            </w:pPr>
            <w:r>
              <w:rPr>
                <w:rFonts w:hint="eastAsia" w:ascii="黑体" w:hAnsi="黑体" w:eastAsia="黑体" w:cs="宋体"/>
                <w:bCs/>
                <w:kern w:val="0"/>
                <w:sz w:val="28"/>
                <w:szCs w:val="28"/>
              </w:rPr>
              <w:t>四、其他服务业数据中心基准值：</w:t>
            </w:r>
            <w:r>
              <w:rPr>
                <w:rFonts w:hint="eastAsia" w:ascii="仿宋_GB2312" w:hAnsi="黑体" w:eastAsia="仿宋_GB2312" w:cs="宋体"/>
                <w:bCs/>
                <w:kern w:val="0"/>
                <w:sz w:val="28"/>
                <w:szCs w:val="24"/>
              </w:rPr>
              <w:t>数据中心为</w:t>
            </w:r>
            <w:r>
              <w:rPr>
                <w:rFonts w:ascii="仿宋_GB2312" w:hAnsi="黑体" w:eastAsia="仿宋_GB2312" w:cs="宋体"/>
                <w:bCs/>
                <w:kern w:val="0"/>
                <w:sz w:val="28"/>
                <w:szCs w:val="28"/>
              </w:rPr>
              <w:t>0.</w:t>
            </w:r>
            <w:r>
              <w:rPr>
                <w:rFonts w:hint="eastAsia" w:ascii="仿宋_GB2312" w:hAnsi="黑体" w:eastAsia="仿宋_GB2312" w:cs="宋体"/>
                <w:bCs/>
                <w:kern w:val="0"/>
                <w:sz w:val="28"/>
                <w:szCs w:val="28"/>
              </w:rPr>
              <w:t>85</w:t>
            </w:r>
            <w:r>
              <w:rPr>
                <w:rFonts w:ascii="仿宋_GB2312" w:hAnsi="黑体" w:eastAsia="仿宋_GB2312" w:cs="宋体"/>
                <w:bCs/>
                <w:kern w:val="0"/>
                <w:sz w:val="28"/>
                <w:szCs w:val="28"/>
              </w:rPr>
              <w:t>tCO</w:t>
            </w:r>
            <w:r>
              <w:rPr>
                <w:rFonts w:ascii="仿宋_GB2312" w:hAnsi="黑体" w:eastAsia="仿宋_GB2312" w:cs="宋体"/>
                <w:bCs/>
                <w:kern w:val="0"/>
                <w:sz w:val="28"/>
                <w:szCs w:val="28"/>
                <w:vertAlign w:val="subscript"/>
              </w:rPr>
              <w:t>2</w:t>
            </w:r>
            <w:r>
              <w:rPr>
                <w:rFonts w:ascii="仿宋_GB2312" w:hAnsi="黑体" w:eastAsia="仿宋_GB2312" w:cs="宋体"/>
                <w:bCs/>
                <w:kern w:val="0"/>
                <w:sz w:val="28"/>
                <w:szCs w:val="28"/>
              </w:rPr>
              <w:t>/</w:t>
            </w:r>
            <w:r>
              <w:rPr>
                <w:rFonts w:hint="eastAsia" w:ascii="仿宋_GB2312" w:hAnsi="黑体" w:eastAsia="仿宋_GB2312" w:cs="宋体"/>
                <w:bCs/>
                <w:kern w:val="0"/>
                <w:sz w:val="28"/>
                <w:szCs w:val="28"/>
              </w:rPr>
              <w:t>IT设备</w:t>
            </w:r>
            <w:r>
              <w:rPr>
                <w:rFonts w:ascii="仿宋_GB2312" w:hAnsi="黑体" w:eastAsia="仿宋_GB2312" w:cs="宋体"/>
                <w:bCs/>
                <w:kern w:val="0"/>
                <w:sz w:val="28"/>
                <w:szCs w:val="28"/>
              </w:rPr>
              <w:t>MWh</w:t>
            </w:r>
            <w:r>
              <w:rPr>
                <w:rFonts w:hint="eastAsia" w:ascii="仿宋_GB2312" w:hAnsi="黑体" w:eastAsia="仿宋_GB2312" w:cs="宋体"/>
                <w:bCs/>
                <w:kern w:val="0"/>
                <w:sz w:val="28"/>
                <w:szCs w:val="24"/>
              </w:rPr>
              <w:t>，数据中心重点碳排放单位名单见附录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45" w:type="dxa"/>
            <w:gridSpan w:val="4"/>
            <w:vAlign w:val="center"/>
          </w:tcPr>
          <w:p>
            <w:pPr>
              <w:widowControl/>
              <w:rPr>
                <w:rFonts w:ascii="黑体" w:hAnsi="黑体" w:eastAsia="黑体" w:cs="宋体"/>
                <w:bCs/>
                <w:kern w:val="0"/>
                <w:sz w:val="28"/>
                <w:szCs w:val="28"/>
              </w:rPr>
            </w:pPr>
            <w:r>
              <w:rPr>
                <w:rFonts w:hint="eastAsia" w:ascii="黑体" w:hAnsi="黑体" w:eastAsia="黑体" w:cs="宋体"/>
                <w:bCs/>
                <w:kern w:val="0"/>
                <w:sz w:val="28"/>
                <w:szCs w:val="28"/>
              </w:rPr>
              <w:t>五、电力供应行业基准值：</w:t>
            </w:r>
            <w:r>
              <w:rPr>
                <w:rFonts w:hint="eastAsia" w:ascii="仿宋_GB2312" w:hAnsi="黑体" w:eastAsia="仿宋_GB2312" w:cs="宋体"/>
                <w:bCs/>
                <w:kern w:val="0"/>
                <w:sz w:val="28"/>
                <w:szCs w:val="28"/>
              </w:rPr>
              <w:t>0.019</w:t>
            </w:r>
            <w:r>
              <w:rPr>
                <w:rFonts w:ascii="仿宋_GB2312" w:hAnsi="黑体" w:eastAsia="仿宋_GB2312" w:cs="宋体"/>
                <w:bCs/>
                <w:kern w:val="0"/>
                <w:sz w:val="28"/>
                <w:szCs w:val="28"/>
              </w:rPr>
              <w:t>tCO</w:t>
            </w:r>
            <w:r>
              <w:rPr>
                <w:rFonts w:ascii="仿宋_GB2312" w:hAnsi="黑体" w:eastAsia="仿宋_GB2312" w:cs="宋体"/>
                <w:bCs/>
                <w:kern w:val="0"/>
                <w:sz w:val="28"/>
                <w:szCs w:val="28"/>
                <w:vertAlign w:val="subscript"/>
              </w:rPr>
              <w:t>2</w:t>
            </w:r>
            <w:r>
              <w:rPr>
                <w:rFonts w:ascii="仿宋_GB2312" w:hAnsi="黑体" w:eastAsia="仿宋_GB2312" w:cs="宋体"/>
                <w:bCs/>
                <w:kern w:val="0"/>
                <w:sz w:val="28"/>
                <w:szCs w:val="2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45" w:type="dxa"/>
            <w:gridSpan w:val="4"/>
            <w:vAlign w:val="center"/>
          </w:tcPr>
          <w:p>
            <w:pPr>
              <w:widowControl/>
              <w:rPr>
                <w:rFonts w:ascii="黑体" w:hAnsi="黑体" w:eastAsia="黑体" w:cs="宋体"/>
                <w:bCs/>
                <w:kern w:val="0"/>
                <w:sz w:val="28"/>
                <w:szCs w:val="28"/>
              </w:rPr>
            </w:pPr>
            <w:r>
              <w:rPr>
                <w:rFonts w:hint="eastAsia" w:ascii="黑体" w:hAnsi="黑体" w:eastAsia="黑体" w:cs="宋体"/>
                <w:bCs/>
                <w:kern w:val="0"/>
                <w:sz w:val="28"/>
                <w:szCs w:val="28"/>
              </w:rPr>
              <w:t>六、其他发电行业供电基准值：</w:t>
            </w:r>
            <w:r>
              <w:rPr>
                <w:rFonts w:ascii="仿宋_GB2312" w:hAnsi="黑体" w:eastAsia="仿宋_GB2312" w:cs="宋体"/>
                <w:bCs/>
                <w:kern w:val="0"/>
                <w:sz w:val="28"/>
                <w:szCs w:val="28"/>
              </w:rPr>
              <w:t>0.</w:t>
            </w:r>
            <w:r>
              <w:rPr>
                <w:rFonts w:hint="eastAsia" w:ascii="仿宋_GB2312" w:hAnsi="黑体" w:eastAsia="仿宋_GB2312" w:cs="宋体"/>
                <w:bCs/>
                <w:kern w:val="0"/>
                <w:sz w:val="28"/>
                <w:szCs w:val="28"/>
              </w:rPr>
              <w:t>820</w:t>
            </w:r>
            <w:r>
              <w:rPr>
                <w:rFonts w:ascii="仿宋_GB2312" w:hAnsi="黑体" w:eastAsia="仿宋_GB2312" w:cs="宋体"/>
                <w:bCs/>
                <w:kern w:val="0"/>
                <w:sz w:val="28"/>
                <w:szCs w:val="28"/>
              </w:rPr>
              <w:t>tCO</w:t>
            </w:r>
            <w:r>
              <w:rPr>
                <w:rFonts w:ascii="仿宋_GB2312" w:hAnsi="黑体" w:eastAsia="仿宋_GB2312" w:cs="宋体"/>
                <w:bCs/>
                <w:kern w:val="0"/>
                <w:sz w:val="28"/>
                <w:szCs w:val="28"/>
                <w:vertAlign w:val="subscript"/>
              </w:rPr>
              <w:t>2</w:t>
            </w:r>
            <w:r>
              <w:rPr>
                <w:rFonts w:ascii="仿宋_GB2312" w:hAnsi="黑体" w:eastAsia="仿宋_GB2312" w:cs="宋体"/>
                <w:bCs/>
                <w:kern w:val="0"/>
                <w:sz w:val="28"/>
                <w:szCs w:val="28"/>
              </w:rPr>
              <w:t>/MWh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245" w:type="dxa"/>
            <w:gridSpan w:val="4"/>
            <w:vAlign w:val="center"/>
          </w:tcPr>
          <w:p>
            <w:pPr>
              <w:widowControl/>
              <w:rPr>
                <w:rFonts w:ascii="黑体" w:hAnsi="黑体" w:eastAsia="黑体" w:cs="宋体"/>
                <w:bCs/>
                <w:kern w:val="0"/>
                <w:sz w:val="28"/>
                <w:szCs w:val="28"/>
              </w:rPr>
            </w:pPr>
            <w:r>
              <w:rPr>
                <w:rFonts w:hint="eastAsia" w:ascii="黑体" w:hAnsi="黑体" w:eastAsia="黑体" w:cs="宋体"/>
                <w:bCs/>
                <w:kern w:val="0"/>
                <w:sz w:val="28"/>
                <w:szCs w:val="28"/>
              </w:rPr>
              <w:t>七、交通运输行业（出租车客运）基准值：巡游出租车：13.75kgCO2/100km；网约出租车: 14.88kgCO2/100km</w:t>
            </w:r>
          </w:p>
        </w:tc>
      </w:tr>
    </w:tbl>
    <w:p>
      <w:pPr>
        <w:spacing w:line="360" w:lineRule="auto"/>
        <w:jc w:val="center"/>
        <w:rPr>
          <w:bCs/>
        </w:rPr>
      </w:pPr>
    </w:p>
    <w:p>
      <w:pPr>
        <w:spacing w:line="360" w:lineRule="auto"/>
        <w:jc w:val="left"/>
        <w:rPr>
          <w:rFonts w:ascii="仿宋_GB2312" w:hAnsi="黑体" w:eastAsia="仿宋_GB2312" w:cs="宋体"/>
          <w:bCs/>
          <w:color w:val="000000"/>
          <w:kern w:val="0"/>
          <w:sz w:val="28"/>
          <w:szCs w:val="24"/>
        </w:rPr>
      </w:pPr>
      <w:r>
        <w:rPr>
          <w:rFonts w:hint="eastAsia" w:ascii="仿宋_GB2312" w:hAnsi="黑体" w:eastAsia="仿宋_GB2312" w:cs="宋体"/>
          <w:bCs/>
          <w:color w:val="000000"/>
          <w:kern w:val="0"/>
          <w:sz w:val="28"/>
          <w:szCs w:val="24"/>
        </w:rPr>
        <w:t>附录：1数据中心重点碳排放单位</w:t>
      </w:r>
    </w:p>
    <w:p>
      <w:pPr>
        <w:spacing w:line="360" w:lineRule="auto"/>
        <w:jc w:val="left"/>
        <w:rPr>
          <w:rFonts w:hint="eastAsia" w:ascii="黑体" w:hAnsi="黑体" w:eastAsia="黑体" w:cs="黑体"/>
          <w:bCs/>
          <w:color w:val="000000"/>
          <w:kern w:val="0"/>
          <w:sz w:val="32"/>
          <w:szCs w:val="28"/>
        </w:rPr>
      </w:pPr>
    </w:p>
    <w:p>
      <w:pPr>
        <w:spacing w:line="360" w:lineRule="auto"/>
        <w:jc w:val="left"/>
        <w:rPr>
          <w:rFonts w:ascii="黑体" w:hAnsi="黑体" w:eastAsia="黑体" w:cs="黑体"/>
          <w:bCs/>
          <w:color w:val="000000"/>
          <w:kern w:val="0"/>
          <w:sz w:val="32"/>
          <w:szCs w:val="28"/>
        </w:rPr>
      </w:pPr>
      <w:r>
        <w:rPr>
          <w:rFonts w:hint="eastAsia" w:ascii="黑体" w:hAnsi="黑体" w:eastAsia="黑体" w:cs="黑体"/>
          <w:bCs/>
          <w:color w:val="000000"/>
          <w:kern w:val="0"/>
          <w:sz w:val="32"/>
          <w:szCs w:val="28"/>
        </w:rPr>
        <w:t>附录1</w:t>
      </w:r>
    </w:p>
    <w:p>
      <w:pPr>
        <w:spacing w:line="760" w:lineRule="exact"/>
        <w:jc w:val="center"/>
        <w:rPr>
          <w:rFonts w:ascii="方正小标宋简体" w:hAnsi="宋体" w:eastAsia="方正小标宋简体"/>
          <w:bCs/>
          <w:sz w:val="44"/>
          <w:szCs w:val="44"/>
        </w:rPr>
      </w:pPr>
      <w:r>
        <w:rPr>
          <w:rFonts w:hint="eastAsia" w:ascii="方正小标宋简体" w:hAnsi="宋体" w:eastAsia="方正小标宋简体"/>
          <w:bCs/>
          <w:sz w:val="44"/>
          <w:szCs w:val="44"/>
        </w:rPr>
        <w:t>数据中心重点碳排放单位名单</w:t>
      </w:r>
    </w:p>
    <w:tbl>
      <w:tblPr>
        <w:tblStyle w:val="8"/>
        <w:tblW w:w="8901" w:type="dxa"/>
        <w:tblInd w:w="91" w:type="dxa"/>
        <w:tblLayout w:type="fixed"/>
        <w:tblCellMar>
          <w:top w:w="0" w:type="dxa"/>
          <w:left w:w="108" w:type="dxa"/>
          <w:bottom w:w="0" w:type="dxa"/>
          <w:right w:w="108" w:type="dxa"/>
        </w:tblCellMar>
      </w:tblPr>
      <w:tblGrid>
        <w:gridCol w:w="1005"/>
        <w:gridCol w:w="7896"/>
      </w:tblGrid>
      <w:tr>
        <w:tblPrEx>
          <w:tblCellMar>
            <w:top w:w="0" w:type="dxa"/>
            <w:left w:w="108" w:type="dxa"/>
            <w:bottom w:w="0" w:type="dxa"/>
            <w:right w:w="108" w:type="dxa"/>
          </w:tblCellMar>
        </w:tblPrEx>
        <w:trPr>
          <w:trHeight w:val="272" w:hRule="atLeast"/>
          <w:tblHead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序号</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kern w:val="0"/>
                <w:sz w:val="28"/>
                <w:szCs w:val="28"/>
              </w:rPr>
              <w:t>单位名称</w:t>
            </w:r>
          </w:p>
        </w:tc>
      </w:tr>
      <w:tr>
        <w:tblPrEx>
          <w:tblCellMar>
            <w:top w:w="0" w:type="dxa"/>
            <w:left w:w="108" w:type="dxa"/>
            <w:bottom w:w="0" w:type="dxa"/>
            <w:right w:w="108" w:type="dxa"/>
          </w:tblCellMar>
        </w:tblPrEx>
        <w:trPr>
          <w:trHeight w:val="270"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1</w:t>
            </w:r>
          </w:p>
        </w:tc>
        <w:tc>
          <w:tcPr>
            <w:tcW w:w="78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昆仑数智科技有限责任公司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2</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北京光环新网科技股份有限公司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3</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北京世纪互联宽带数据中心有限公司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4</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国家体育总局体育彩票管理中心</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5</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北京有孚云计算科技有限公司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6</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国家气象信息中心</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7</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中国科学院计算机网络信息中心</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8</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鹏博士大数据有限公司北京分公司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9</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中恩云（北京）数据科技有限公司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10</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光环新网（北京）数据服务有限公司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11</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汇天网络科技有限公司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12</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国富瑞数据系统有限公司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13</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北京云泰数通互联网科技有限公司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14</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北京贰零四玖云计算数据技术服务有限公司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15</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蓝厅（北京）信息科技有限公司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16</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北京中云信舜义数据科技有限公司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17</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北京金汉王技术有限公司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18</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北京畅想乾元科技有限公司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19</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sz w:val="28"/>
                <w:szCs w:val="28"/>
              </w:rPr>
              <w:t>蓝汛欣润科技（北京）有限公司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20</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首融云（北京）科技有限公司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21</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首信云（北京）科技有限公司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22</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中移动信息技术有限公司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23</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中联云港数据科技股份有限公司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24</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北京亚太中立信息技术有限公司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25</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北京科华众生云计算科技有限公司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26</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腾龙数据（北京）科技发展有限公司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27</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北京恒长数码科技有限公司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28</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w:t>
            </w:r>
            <w:r>
              <w:rPr>
                <w:rFonts w:hint="eastAsia" w:ascii="仿宋_GB2312" w:hAnsi="仿宋_GB2312" w:eastAsia="仿宋_GB2312" w:cs="仿宋_GB2312"/>
                <w:color w:val="000000"/>
                <w:sz w:val="28"/>
                <w:szCs w:val="28"/>
              </w:rPr>
              <w:t>德</w:t>
            </w:r>
            <w:r>
              <w:rPr>
                <w:rFonts w:hint="eastAsia" w:ascii="微软雅黑" w:hAnsi="微软雅黑" w:eastAsia="微软雅黑" w:cs="微软雅黑"/>
                <w:color w:val="000000"/>
                <w:sz w:val="28"/>
                <w:szCs w:val="28"/>
              </w:rPr>
              <w:t>昇</w:t>
            </w:r>
            <w:r>
              <w:rPr>
                <w:rFonts w:hint="eastAsia" w:ascii="仿宋_GB2312" w:hAnsi="仿宋_GB2312" w:eastAsia="仿宋_GB2312" w:cs="仿宋_GB2312"/>
                <w:color w:val="000000"/>
                <w:sz w:val="28"/>
                <w:szCs w:val="28"/>
              </w:rPr>
              <w:t>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29</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中经云数据存储科技（北京）有限公司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30</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北京中金云网科技有限公司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31</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北京科信盛彩云计算有限公司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32</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北京睿为云计算科技有限公司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33</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北京恒普安数码科技发展有限公司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34</w:t>
            </w:r>
          </w:p>
        </w:tc>
        <w:tc>
          <w:tcPr>
            <w:tcW w:w="7896" w:type="dxa"/>
            <w:tcBorders>
              <w:top w:val="nil"/>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_GB2312" w:hAnsi="仿宋_GB2312" w:eastAsia="仿宋_GB2312" w:cs="仿宋_GB2312"/>
                <w:color w:val="000000"/>
                <w:kern w:val="0"/>
                <w:sz w:val="28"/>
                <w:szCs w:val="28"/>
              </w:rPr>
            </w:pPr>
            <w:r>
              <w:rPr>
                <w:rFonts w:hint="eastAsia" w:ascii="仿宋_GB2312" w:hAnsi="等线" w:eastAsia="仿宋_GB2312"/>
                <w:color w:val="000000"/>
                <w:sz w:val="28"/>
                <w:szCs w:val="28"/>
              </w:rPr>
              <w:t>百度云计算技术（北京）有限公司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35</w:t>
            </w:r>
          </w:p>
        </w:tc>
        <w:tc>
          <w:tcPr>
            <w:tcW w:w="7896" w:type="dxa"/>
            <w:tcBorders>
              <w:top w:val="single" w:color="auto" w:sz="4" w:space="0"/>
              <w:left w:val="nil"/>
              <w:bottom w:val="single" w:color="auto" w:sz="4" w:space="0"/>
              <w:right w:val="single" w:color="auto" w:sz="4" w:space="0"/>
            </w:tcBorders>
            <w:shd w:val="clear" w:color="auto" w:fill="auto"/>
            <w:vAlign w:val="bottom"/>
          </w:tcPr>
          <w:p>
            <w:pPr>
              <w:widowControl/>
              <w:jc w:val="left"/>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中国电信股份有限公司北京分公司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36</w:t>
            </w:r>
          </w:p>
        </w:tc>
        <w:tc>
          <w:tcPr>
            <w:tcW w:w="7896" w:type="dxa"/>
            <w:tcBorders>
              <w:top w:val="single" w:color="auto" w:sz="4" w:space="0"/>
              <w:left w:val="nil"/>
              <w:bottom w:val="single" w:color="auto" w:sz="4" w:space="0"/>
              <w:right w:val="single" w:color="auto" w:sz="4" w:space="0"/>
            </w:tcBorders>
            <w:shd w:val="clear" w:color="auto" w:fill="auto"/>
            <w:vAlign w:val="bottom"/>
          </w:tcPr>
          <w:p>
            <w:pPr>
              <w:widowControl/>
              <w:jc w:val="left"/>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中国移动通信集团北京有限公司</w:t>
            </w:r>
          </w:p>
        </w:tc>
      </w:tr>
      <w:tr>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37</w:t>
            </w:r>
          </w:p>
        </w:tc>
        <w:tc>
          <w:tcPr>
            <w:tcW w:w="7896" w:type="dxa"/>
            <w:tcBorders>
              <w:top w:val="single" w:color="auto" w:sz="4" w:space="0"/>
              <w:left w:val="nil"/>
              <w:bottom w:val="single" w:color="auto" w:sz="4" w:space="0"/>
              <w:right w:val="single" w:color="auto" w:sz="4" w:space="0"/>
            </w:tcBorders>
            <w:shd w:val="clear" w:color="auto" w:fill="auto"/>
            <w:vAlign w:val="bottom"/>
          </w:tcPr>
          <w:p>
            <w:pPr>
              <w:widowControl/>
              <w:jc w:val="left"/>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中国联合网络通信有限公司北京市分公司</w:t>
            </w:r>
          </w:p>
        </w:tc>
      </w:tr>
      <w:tr>
        <w:tblPrEx>
          <w:tblCellMar>
            <w:top w:w="0" w:type="dxa"/>
            <w:left w:w="108" w:type="dxa"/>
            <w:bottom w:w="0" w:type="dxa"/>
            <w:right w:w="108" w:type="dxa"/>
          </w:tblCellMar>
        </w:tblPrEx>
        <w:trPr>
          <w:trHeight w:val="270"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38</w:t>
            </w:r>
          </w:p>
        </w:tc>
        <w:tc>
          <w:tcPr>
            <w:tcW w:w="7896" w:type="dxa"/>
            <w:tcBorders>
              <w:top w:val="single" w:color="auto" w:sz="4" w:space="0"/>
              <w:left w:val="nil"/>
              <w:bottom w:val="single" w:color="auto" w:sz="4" w:space="0"/>
              <w:right w:val="single" w:color="auto" w:sz="4" w:space="0"/>
            </w:tcBorders>
            <w:shd w:val="clear" w:color="auto" w:fill="auto"/>
            <w:vAlign w:val="bottom"/>
          </w:tcPr>
          <w:p>
            <w:pPr>
              <w:widowControl/>
              <w:jc w:val="left"/>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中国民航信息网络股份有限公司</w:t>
            </w:r>
          </w:p>
        </w:tc>
      </w:tr>
    </w:tbl>
    <w:p>
      <w:pPr>
        <w:widowControl/>
        <w:spacing w:line="360" w:lineRule="auto"/>
        <w:jc w:val="left"/>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注：1</w:t>
      </w:r>
      <w:r>
        <w:rPr>
          <w:rFonts w:ascii="仿宋_GB2312" w:hAnsi="黑体" w:eastAsia="仿宋_GB2312" w:cs="宋体"/>
          <w:bCs/>
          <w:color w:val="000000"/>
          <w:kern w:val="0"/>
          <w:sz w:val="28"/>
          <w:szCs w:val="28"/>
        </w:rPr>
        <w:t>.</w:t>
      </w:r>
      <w:r>
        <w:rPr>
          <w:rFonts w:hint="eastAsia" w:ascii="仿宋_GB2312" w:hAnsi="黑体" w:eastAsia="仿宋_GB2312" w:cs="宋体"/>
          <w:bCs/>
          <w:color w:val="000000"/>
          <w:kern w:val="0"/>
          <w:sz w:val="28"/>
          <w:szCs w:val="28"/>
        </w:rPr>
        <w:t>名单中第</w:t>
      </w:r>
      <w:r>
        <w:rPr>
          <w:rFonts w:ascii="仿宋_GB2312" w:hAnsi="黑体" w:eastAsia="仿宋_GB2312" w:cs="宋体"/>
          <w:bCs/>
          <w:color w:val="000000"/>
          <w:kern w:val="0"/>
          <w:sz w:val="28"/>
          <w:szCs w:val="28"/>
        </w:rPr>
        <w:t>1-34家按照数据中心基准线法核定配额</w:t>
      </w:r>
      <w:r>
        <w:rPr>
          <w:rFonts w:hint="eastAsia" w:ascii="仿宋_GB2312" w:hAnsi="黑体" w:eastAsia="仿宋_GB2312" w:cs="宋体"/>
          <w:bCs/>
          <w:color w:val="000000"/>
          <w:kern w:val="0"/>
          <w:sz w:val="28"/>
          <w:szCs w:val="28"/>
        </w:rPr>
        <w:t>；</w:t>
      </w:r>
    </w:p>
    <w:p>
      <w:pPr>
        <w:widowControl/>
        <w:numPr>
          <w:ilvl w:val="255"/>
          <w:numId w:val="0"/>
        </w:numPr>
        <w:spacing w:line="360" w:lineRule="auto"/>
        <w:ind w:firstLine="560" w:firstLineChars="200"/>
        <w:jc w:val="left"/>
        <w:rPr>
          <w:rFonts w:ascii="仿宋_GB2312" w:hAnsi="黑体" w:eastAsia="仿宋_GB2312" w:cs="宋体"/>
          <w:bCs/>
          <w:color w:val="000000"/>
          <w:kern w:val="0"/>
          <w:sz w:val="28"/>
          <w:szCs w:val="28"/>
        </w:rPr>
      </w:pPr>
      <w:r>
        <w:rPr>
          <w:rFonts w:hint="eastAsia" w:ascii="仿宋_GB2312" w:hAnsi="黑体" w:eastAsia="仿宋_GB2312" w:cs="宋体"/>
          <w:bCs/>
          <w:color w:val="000000"/>
          <w:kern w:val="0"/>
          <w:sz w:val="28"/>
          <w:szCs w:val="28"/>
        </w:rPr>
        <w:t>2.</w:t>
      </w:r>
      <w:r>
        <w:rPr>
          <w:rFonts w:ascii="仿宋_GB2312" w:hAnsi="黑体" w:eastAsia="仿宋_GB2312" w:cs="宋体"/>
          <w:bCs/>
          <w:color w:val="000000"/>
          <w:kern w:val="0"/>
          <w:sz w:val="28"/>
          <w:szCs w:val="28"/>
        </w:rPr>
        <w:t>第35-3</w:t>
      </w:r>
      <w:r>
        <w:rPr>
          <w:rFonts w:hint="eastAsia" w:ascii="仿宋_GB2312" w:hAnsi="黑体" w:eastAsia="仿宋_GB2312" w:cs="宋体"/>
          <w:bCs/>
          <w:color w:val="000000"/>
          <w:kern w:val="0"/>
          <w:sz w:val="28"/>
          <w:szCs w:val="28"/>
        </w:rPr>
        <w:t>8</w:t>
      </w:r>
      <w:r>
        <w:rPr>
          <w:rFonts w:ascii="仿宋_GB2312" w:hAnsi="黑体" w:eastAsia="仿宋_GB2312" w:cs="宋体"/>
          <w:bCs/>
          <w:color w:val="000000"/>
          <w:kern w:val="0"/>
          <w:sz w:val="28"/>
          <w:szCs w:val="28"/>
        </w:rPr>
        <w:t>家企业</w:t>
      </w:r>
      <w:r>
        <w:rPr>
          <w:rFonts w:hint="eastAsia" w:ascii="仿宋_GB2312" w:hAnsi="黑体" w:eastAsia="仿宋_GB2312" w:cs="宋体"/>
          <w:bCs/>
          <w:color w:val="000000"/>
          <w:kern w:val="0"/>
          <w:sz w:val="28"/>
          <w:szCs w:val="28"/>
        </w:rPr>
        <w:t>的</w:t>
      </w:r>
      <w:r>
        <w:rPr>
          <w:rFonts w:ascii="仿宋_GB2312" w:hAnsi="黑体" w:eastAsia="仿宋_GB2312" w:cs="宋体"/>
          <w:bCs/>
          <w:color w:val="000000"/>
          <w:kern w:val="0"/>
          <w:sz w:val="28"/>
          <w:szCs w:val="28"/>
        </w:rPr>
        <w:t>数据中心边界</w:t>
      </w:r>
      <w:r>
        <w:rPr>
          <w:rFonts w:hint="eastAsia" w:ascii="仿宋_GB2312" w:hAnsi="黑体" w:eastAsia="仿宋_GB2312" w:cs="宋体"/>
          <w:bCs/>
          <w:color w:val="000000"/>
          <w:kern w:val="0"/>
          <w:sz w:val="28"/>
          <w:szCs w:val="28"/>
        </w:rPr>
        <w:t>内配额</w:t>
      </w:r>
      <w:r>
        <w:rPr>
          <w:rFonts w:ascii="仿宋_GB2312" w:hAnsi="黑体" w:eastAsia="仿宋_GB2312" w:cs="宋体"/>
          <w:bCs/>
          <w:color w:val="000000"/>
          <w:kern w:val="0"/>
          <w:sz w:val="28"/>
          <w:szCs w:val="28"/>
        </w:rPr>
        <w:t>按照数据中心基准线法核定</w:t>
      </w:r>
      <w:r>
        <w:rPr>
          <w:rFonts w:hint="eastAsia" w:ascii="仿宋_GB2312" w:hAnsi="黑体" w:eastAsia="仿宋_GB2312" w:cs="宋体"/>
          <w:bCs/>
          <w:color w:val="000000"/>
          <w:kern w:val="0"/>
          <w:sz w:val="28"/>
          <w:szCs w:val="28"/>
        </w:rPr>
        <w:t>，其他业务按照历史总量法核定。</w:t>
      </w:r>
    </w:p>
    <w:p>
      <w:pPr>
        <w:widowControl/>
        <w:numPr>
          <w:ilvl w:val="255"/>
          <w:numId w:val="0"/>
        </w:numPr>
        <w:spacing w:line="360" w:lineRule="auto"/>
        <w:ind w:firstLine="560" w:firstLineChars="200"/>
        <w:jc w:val="left"/>
        <w:rPr>
          <w:rFonts w:ascii="仿宋_GB2312" w:hAnsi="黑体" w:eastAsia="仿宋_GB2312" w:cs="宋体"/>
          <w:bCs/>
          <w:color w:val="000000"/>
          <w:kern w:val="0"/>
          <w:sz w:val="28"/>
          <w:szCs w:val="28"/>
        </w:rPr>
        <w:sectPr>
          <w:footerReference r:id="rId3" w:type="default"/>
          <w:pgSz w:w="11906" w:h="16838"/>
          <w:pgMar w:top="2098" w:right="1474" w:bottom="1984" w:left="1587" w:header="851" w:footer="1587" w:gutter="0"/>
          <w:pgNumType w:fmt="decimal"/>
          <w:cols w:space="0" w:num="1"/>
          <w:docGrid w:type="lines" w:linePitch="312" w:charSpace="0"/>
        </w:sectPr>
      </w:pPr>
      <w:r>
        <w:rPr>
          <w:rFonts w:hint="eastAsia" w:ascii="仿宋_GB2312" w:hAnsi="黑体" w:eastAsia="仿宋_GB2312" w:cs="宋体"/>
          <w:bCs/>
          <w:color w:val="000000"/>
          <w:kern w:val="0"/>
          <w:sz w:val="28"/>
          <w:szCs w:val="28"/>
        </w:rPr>
        <w:t>3.附录1外的重点碳排放单位边界内含有数据中心的，若数据中心</w:t>
      </w:r>
      <w:r>
        <w:rPr>
          <w:rFonts w:hint="eastAsia" w:ascii="仿宋_GB2312" w:hAnsi="黑体" w:eastAsia="仿宋_GB2312" w:cs="宋体"/>
          <w:bCs/>
          <w:color w:val="000000"/>
          <w:kern w:val="0"/>
          <w:sz w:val="28"/>
          <w:szCs w:val="28"/>
          <w:lang w:bidi="ar"/>
        </w:rPr>
        <w:t>全年电力能源消耗量500万千瓦时及以上</w:t>
      </w:r>
      <w:r>
        <w:rPr>
          <w:rFonts w:hint="eastAsia" w:ascii="仿宋_GB2312" w:hAnsi="黑体" w:eastAsia="仿宋_GB2312" w:cs="宋体"/>
          <w:bCs/>
          <w:color w:val="000000"/>
          <w:kern w:val="0"/>
          <w:sz w:val="28"/>
          <w:szCs w:val="28"/>
        </w:rPr>
        <w:t>且能耗单独计量，2023年度数据中心部分配额可依申请按照基准线法核算，其他部分配额按照对应的行业方法学核算</w:t>
      </w:r>
      <w:r>
        <w:rPr>
          <w:rFonts w:hint="eastAsia" w:ascii="仿宋_GB2312" w:hAnsi="黑体" w:eastAsia="仿宋_GB2312" w:cs="宋体"/>
          <w:bCs/>
          <w:color w:val="000000"/>
          <w:kern w:val="0"/>
          <w:sz w:val="28"/>
          <w:szCs w:val="28"/>
          <w:lang w:eastAsia="zh-CN"/>
        </w:rPr>
        <w:t>，</w:t>
      </w:r>
      <w:r>
        <w:rPr>
          <w:rFonts w:hint="eastAsia" w:ascii="仿宋_GB2312" w:hAnsi="黑体" w:eastAsia="仿宋_GB2312" w:cs="宋体"/>
          <w:bCs/>
          <w:color w:val="000000"/>
          <w:kern w:val="0"/>
          <w:sz w:val="28"/>
          <w:szCs w:val="28"/>
        </w:rPr>
        <w:t>2024年度起数据中心部分配额统一按照基准线法核算，其他部分其他部分配额按照对应的行业方法学核算。</w:t>
      </w:r>
    </w:p>
    <w:p>
      <w:pPr>
        <w:widowControl/>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附件2</w:t>
      </w:r>
    </w:p>
    <w:p>
      <w:pPr>
        <w:spacing w:line="360" w:lineRule="auto"/>
        <w:jc w:val="center"/>
        <w:rPr>
          <w:rFonts w:ascii="方正小标宋简体" w:hAnsi="宋体" w:eastAsia="方正小标宋简体"/>
          <w:bCs/>
          <w:sz w:val="36"/>
          <w:szCs w:val="36"/>
        </w:rPr>
      </w:pPr>
    </w:p>
    <w:p>
      <w:pPr>
        <w:spacing w:line="360" w:lineRule="auto"/>
        <w:jc w:val="center"/>
        <w:rPr>
          <w:rFonts w:ascii="方正小标宋简体" w:hAnsi="宋体" w:eastAsia="方正小标宋简体"/>
          <w:bCs/>
          <w:sz w:val="44"/>
          <w:szCs w:val="44"/>
        </w:rPr>
      </w:pPr>
      <w:r>
        <w:rPr>
          <w:rFonts w:ascii="方正小标宋简体" w:hAnsi="宋体" w:eastAsia="方正小标宋简体"/>
          <w:bCs/>
          <w:sz w:val="44"/>
          <w:szCs w:val="44"/>
        </w:rPr>
        <w:t>2021-2023</w:t>
      </w:r>
      <w:r>
        <w:rPr>
          <w:rFonts w:hint="eastAsia" w:ascii="方正小标宋简体" w:hAnsi="宋体" w:eastAsia="方正小标宋简体"/>
          <w:bCs/>
          <w:sz w:val="44"/>
          <w:szCs w:val="44"/>
        </w:rPr>
        <w:t>年度碳排放控制系数表</w:t>
      </w:r>
    </w:p>
    <w:p>
      <w:pPr>
        <w:spacing w:line="360" w:lineRule="auto"/>
        <w:jc w:val="center"/>
        <w:rPr>
          <w:rFonts w:ascii="方正小标宋简体" w:hAnsi="宋体" w:eastAsia="方正小标宋简体"/>
          <w:bCs/>
          <w:sz w:val="36"/>
          <w:szCs w:val="36"/>
        </w:rPr>
      </w:pPr>
    </w:p>
    <w:tbl>
      <w:tblPr>
        <w:tblStyle w:val="8"/>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319"/>
        <w:gridCol w:w="1764"/>
        <w:gridCol w:w="1764"/>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vMerge w:val="restart"/>
            <w:shd w:val="clear" w:color="auto" w:fill="FFFFFF"/>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行业</w:t>
            </w:r>
          </w:p>
        </w:tc>
        <w:tc>
          <w:tcPr>
            <w:tcW w:w="5292" w:type="dxa"/>
            <w:gridSpan w:val="3"/>
            <w:shd w:val="clear" w:color="auto" w:fill="FFFFFF"/>
            <w:vAlign w:val="center"/>
          </w:tcPr>
          <w:p>
            <w:pPr>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碳排放控制系数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vMerge w:val="continue"/>
            <w:shd w:val="clear" w:color="auto" w:fill="FFFFFF"/>
            <w:vAlign w:val="center"/>
          </w:tcPr>
          <w:p>
            <w:pPr>
              <w:widowControl/>
              <w:jc w:val="center"/>
              <w:rPr>
                <w:rFonts w:ascii="仿宋_GB2312" w:hAnsi="等线" w:eastAsia="仿宋_GB2312" w:cs="宋体"/>
                <w:bCs/>
                <w:kern w:val="0"/>
                <w:sz w:val="28"/>
                <w:szCs w:val="28"/>
              </w:rPr>
            </w:pPr>
          </w:p>
        </w:tc>
        <w:tc>
          <w:tcPr>
            <w:tcW w:w="1764" w:type="dxa"/>
            <w:shd w:val="clear" w:color="auto" w:fill="FFFFFF"/>
            <w:vAlign w:val="center"/>
          </w:tcPr>
          <w:p>
            <w:pPr>
              <w:jc w:val="center"/>
              <w:rPr>
                <w:rFonts w:ascii="仿宋_GB2312" w:hAnsi="等线" w:eastAsia="仿宋_GB2312" w:cs="宋体"/>
                <w:bCs/>
                <w:kern w:val="0"/>
                <w:sz w:val="28"/>
                <w:szCs w:val="28"/>
              </w:rPr>
            </w:pPr>
            <w:r>
              <w:rPr>
                <w:rFonts w:ascii="仿宋_GB2312" w:hAnsi="等线" w:eastAsia="仿宋_GB2312" w:cs="宋体"/>
                <w:bCs/>
                <w:kern w:val="0"/>
                <w:sz w:val="28"/>
                <w:szCs w:val="28"/>
              </w:rPr>
              <w:t>20</w:t>
            </w:r>
            <w:r>
              <w:rPr>
                <w:rFonts w:hint="eastAsia" w:ascii="仿宋_GB2312" w:hAnsi="等线" w:eastAsia="仿宋_GB2312" w:cs="宋体"/>
                <w:bCs/>
                <w:kern w:val="0"/>
                <w:sz w:val="28"/>
                <w:szCs w:val="28"/>
              </w:rPr>
              <w:t>21</w:t>
            </w:r>
            <w:r>
              <w:rPr>
                <w:rFonts w:ascii="仿宋_GB2312" w:hAnsi="等线" w:eastAsia="仿宋_GB2312" w:cs="宋体"/>
                <w:bCs/>
                <w:kern w:val="0"/>
                <w:sz w:val="28"/>
                <w:szCs w:val="28"/>
              </w:rPr>
              <w:t>年</w:t>
            </w:r>
          </w:p>
        </w:tc>
        <w:tc>
          <w:tcPr>
            <w:tcW w:w="1764" w:type="dxa"/>
            <w:shd w:val="clear" w:color="auto" w:fill="FFFFFF"/>
            <w:vAlign w:val="center"/>
          </w:tcPr>
          <w:p>
            <w:pPr>
              <w:jc w:val="center"/>
              <w:rPr>
                <w:rFonts w:ascii="仿宋_GB2312" w:hAnsi="等线" w:eastAsia="仿宋_GB2312" w:cs="宋体"/>
                <w:bCs/>
                <w:kern w:val="0"/>
                <w:sz w:val="28"/>
                <w:szCs w:val="28"/>
              </w:rPr>
            </w:pPr>
            <w:r>
              <w:rPr>
                <w:rFonts w:ascii="仿宋_GB2312" w:hAnsi="等线" w:eastAsia="仿宋_GB2312" w:cs="宋体"/>
                <w:bCs/>
                <w:kern w:val="0"/>
                <w:sz w:val="28"/>
                <w:szCs w:val="28"/>
              </w:rPr>
              <w:t>202</w:t>
            </w:r>
            <w:r>
              <w:rPr>
                <w:rFonts w:hint="eastAsia" w:ascii="仿宋_GB2312" w:hAnsi="等线" w:eastAsia="仿宋_GB2312" w:cs="宋体"/>
                <w:bCs/>
                <w:kern w:val="0"/>
                <w:sz w:val="28"/>
                <w:szCs w:val="28"/>
              </w:rPr>
              <w:t>2</w:t>
            </w:r>
            <w:r>
              <w:rPr>
                <w:rFonts w:ascii="仿宋_GB2312" w:hAnsi="等线" w:eastAsia="仿宋_GB2312" w:cs="宋体"/>
                <w:bCs/>
                <w:kern w:val="0"/>
                <w:sz w:val="28"/>
                <w:szCs w:val="28"/>
              </w:rPr>
              <w:t>年</w:t>
            </w:r>
          </w:p>
        </w:tc>
        <w:tc>
          <w:tcPr>
            <w:tcW w:w="1764" w:type="dxa"/>
            <w:shd w:val="clear" w:color="auto" w:fill="FFFFFF"/>
            <w:vAlign w:val="center"/>
          </w:tcPr>
          <w:p>
            <w:pPr>
              <w:jc w:val="center"/>
              <w:rPr>
                <w:rFonts w:ascii="仿宋_GB2312" w:hAnsi="等线" w:eastAsia="仿宋_GB2312" w:cs="宋体"/>
                <w:bCs/>
                <w:kern w:val="0"/>
                <w:sz w:val="28"/>
                <w:szCs w:val="28"/>
              </w:rPr>
            </w:pPr>
            <w:r>
              <w:rPr>
                <w:rFonts w:ascii="仿宋_GB2312" w:hAnsi="等线" w:eastAsia="仿宋_GB2312" w:cs="宋体"/>
                <w:bCs/>
                <w:kern w:val="0"/>
                <w:sz w:val="28"/>
                <w:szCs w:val="28"/>
              </w:rPr>
              <w:t>202</w:t>
            </w:r>
            <w:r>
              <w:rPr>
                <w:rFonts w:hint="eastAsia" w:ascii="仿宋_GB2312" w:hAnsi="等线" w:eastAsia="仿宋_GB2312" w:cs="宋体"/>
                <w:bCs/>
                <w:kern w:val="0"/>
                <w:sz w:val="28"/>
                <w:szCs w:val="28"/>
              </w:rPr>
              <w:t>3</w:t>
            </w:r>
            <w:r>
              <w:rPr>
                <w:rFonts w:ascii="仿宋_GB2312" w:hAnsi="等线" w:eastAsia="仿宋_GB2312" w:cs="宋体"/>
                <w:bCs/>
                <w:kern w:val="0"/>
                <w:sz w:val="28"/>
                <w:szCs w:val="28"/>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石化</w:t>
            </w:r>
            <w:r>
              <w:rPr>
                <w:rFonts w:hint="eastAsia" w:ascii="仿宋_GB2312" w:hAnsi="等线" w:eastAsia="仿宋_GB2312" w:cs="宋体"/>
                <w:bCs/>
                <w:kern w:val="0"/>
                <w:sz w:val="28"/>
                <w:szCs w:val="28"/>
                <w:lang w:eastAsia="zh-CN"/>
              </w:rPr>
              <w:t>行业</w:t>
            </w:r>
            <w:r>
              <w:rPr>
                <w:rFonts w:hint="eastAsia" w:ascii="仿宋_GB2312" w:hAnsi="等线" w:eastAsia="仿宋_GB2312" w:cs="宋体"/>
                <w:bCs/>
                <w:kern w:val="0"/>
                <w:sz w:val="28"/>
                <w:szCs w:val="28"/>
              </w:rPr>
              <w:t>重点企业</w:t>
            </w:r>
            <w:r>
              <w:rPr>
                <w:rFonts w:ascii="仿宋_GB2312" w:hAnsi="等线" w:eastAsia="仿宋_GB2312" w:cs="宋体"/>
                <w:bCs/>
                <w:kern w:val="0"/>
                <w:sz w:val="36"/>
                <w:szCs w:val="36"/>
                <w:vertAlign w:val="superscript"/>
              </w:rPr>
              <w:t>*</w:t>
            </w:r>
          </w:p>
        </w:tc>
        <w:tc>
          <w:tcPr>
            <w:tcW w:w="1764" w:type="dxa"/>
            <w:shd w:val="clear" w:color="auto" w:fill="FFFFFF"/>
            <w:vAlign w:val="center"/>
          </w:tcPr>
          <w:p>
            <w:pPr>
              <w:pStyle w:val="6"/>
              <w:widowControl/>
              <w:jc w:val="center"/>
              <w:rPr>
                <w:rFonts w:ascii="仿宋_GB2312" w:hAnsi="等线" w:eastAsia="仿宋_GB2312" w:cs="宋体"/>
                <w:bCs/>
                <w:sz w:val="28"/>
                <w:szCs w:val="28"/>
              </w:rPr>
            </w:pPr>
            <w:r>
              <w:rPr>
                <w:rFonts w:ascii="仿宋_GB2312" w:hAnsi="等线" w:eastAsia="仿宋_GB2312" w:cs="宋体"/>
                <w:bCs/>
                <w:sz w:val="28"/>
                <w:szCs w:val="28"/>
              </w:rPr>
              <w:t>85.0%</w:t>
            </w:r>
          </w:p>
        </w:tc>
        <w:tc>
          <w:tcPr>
            <w:tcW w:w="1764" w:type="dxa"/>
            <w:shd w:val="clear" w:color="auto" w:fill="FFFFFF"/>
            <w:vAlign w:val="center"/>
          </w:tcPr>
          <w:p>
            <w:pPr>
              <w:pStyle w:val="6"/>
              <w:widowControl/>
              <w:jc w:val="center"/>
              <w:rPr>
                <w:rFonts w:ascii="仿宋_GB2312" w:hAnsi="等线" w:eastAsia="仿宋_GB2312" w:cs="宋体"/>
                <w:bCs/>
                <w:sz w:val="28"/>
                <w:szCs w:val="28"/>
              </w:rPr>
            </w:pPr>
            <w:r>
              <w:rPr>
                <w:rFonts w:ascii="仿宋_GB2312" w:hAnsi="等线" w:eastAsia="仿宋_GB2312" w:cs="宋体"/>
                <w:bCs/>
                <w:sz w:val="28"/>
                <w:szCs w:val="28"/>
              </w:rPr>
              <w:t>80.0%</w:t>
            </w:r>
          </w:p>
        </w:tc>
        <w:tc>
          <w:tcPr>
            <w:tcW w:w="1764" w:type="dxa"/>
            <w:shd w:val="clear" w:color="auto" w:fill="FFFFFF"/>
            <w:vAlign w:val="center"/>
          </w:tcPr>
          <w:p>
            <w:pPr>
              <w:pStyle w:val="6"/>
              <w:widowControl/>
              <w:jc w:val="center"/>
              <w:rPr>
                <w:rFonts w:ascii="仿宋_GB2312" w:hAnsi="等线" w:eastAsia="仿宋_GB2312" w:cs="宋体"/>
                <w:bCs/>
                <w:sz w:val="28"/>
                <w:szCs w:val="28"/>
              </w:rPr>
            </w:pPr>
            <w:r>
              <w:rPr>
                <w:rFonts w:ascii="仿宋_GB2312" w:hAnsi="等线" w:eastAsia="仿宋_GB2312" w:cs="宋体"/>
                <w:bCs/>
                <w:sz w:val="28"/>
                <w:szCs w:val="28"/>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其他行业（含其他石化）</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1</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0</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89</w:t>
            </w:r>
            <w:r>
              <w:rPr>
                <w:rFonts w:ascii="仿宋_GB2312" w:hAnsi="等线" w:eastAsia="仿宋_GB2312" w:cs="宋体"/>
                <w:bCs/>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dxa"/>
            <w:vMerge w:val="restart"/>
            <w:shd w:val="clear" w:color="auto" w:fill="FFFFFF"/>
            <w:vAlign w:val="center"/>
          </w:tcPr>
          <w:p>
            <w:pPr>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交通</w:t>
            </w:r>
          </w:p>
        </w:tc>
        <w:tc>
          <w:tcPr>
            <w:tcW w:w="2319" w:type="dxa"/>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公共交通</w:t>
            </w:r>
            <w:r>
              <w:rPr>
                <w:rFonts w:ascii="仿宋_GB2312" w:hAnsi="等线" w:eastAsia="仿宋_GB2312" w:cs="宋体"/>
                <w:bCs/>
                <w:kern w:val="0"/>
                <w:sz w:val="28"/>
                <w:szCs w:val="28"/>
              </w:rPr>
              <w:t>-移动</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1</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0</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hint="eastAsia" w:ascii="仿宋_GB2312" w:hAnsi="等线" w:eastAsia="仿宋_GB2312" w:cs="宋体"/>
                <w:bCs/>
                <w:kern w:val="0"/>
                <w:sz w:val="28"/>
                <w:szCs w:val="28"/>
              </w:rPr>
              <w:t>89</w:t>
            </w:r>
            <w:r>
              <w:rPr>
                <w:rFonts w:ascii="仿宋_GB2312" w:hAnsi="等线" w:eastAsia="仿宋_GB2312" w:cs="宋体"/>
                <w:bCs/>
                <w:kern w:val="0"/>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dxa"/>
            <w:vMerge w:val="continue"/>
            <w:shd w:val="clear" w:color="auto" w:fill="FFFFFF"/>
            <w:vAlign w:val="center"/>
          </w:tcPr>
          <w:p>
            <w:pPr>
              <w:jc w:val="left"/>
              <w:rPr>
                <w:rFonts w:ascii="仿宋_GB2312" w:hAnsi="等线" w:eastAsia="仿宋_GB2312" w:cs="宋体"/>
                <w:bCs/>
                <w:kern w:val="0"/>
                <w:sz w:val="28"/>
                <w:szCs w:val="28"/>
              </w:rPr>
            </w:pPr>
          </w:p>
        </w:tc>
        <w:tc>
          <w:tcPr>
            <w:tcW w:w="2319" w:type="dxa"/>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公共交通</w:t>
            </w:r>
            <w:r>
              <w:rPr>
                <w:rFonts w:ascii="仿宋_GB2312" w:hAnsi="等线" w:eastAsia="仿宋_GB2312" w:cs="宋体"/>
                <w:bCs/>
                <w:kern w:val="0"/>
                <w:sz w:val="28"/>
                <w:szCs w:val="28"/>
              </w:rPr>
              <w:t>-固定</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.5%</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7</w:t>
            </w:r>
            <w:r>
              <w:rPr>
                <w:rFonts w:ascii="仿宋_GB2312" w:hAnsi="等线" w:eastAsia="仿宋_GB2312" w:cs="宋体"/>
                <w:bCs/>
                <w:kern w:val="0"/>
                <w:sz w:val="28"/>
                <w:szCs w:val="28"/>
              </w:rPr>
              <w:t>.</w:t>
            </w:r>
            <w:r>
              <w:rPr>
                <w:rFonts w:hint="eastAsia" w:ascii="仿宋_GB2312" w:hAnsi="等线" w:eastAsia="仿宋_GB2312" w:cs="宋体"/>
                <w:bCs/>
                <w:kern w:val="0"/>
                <w:sz w:val="28"/>
                <w:szCs w:val="28"/>
              </w:rPr>
              <w:t>5</w:t>
            </w:r>
            <w:r>
              <w:rPr>
                <w:rFonts w:ascii="仿宋_GB2312" w:hAnsi="等线" w:eastAsia="仿宋_GB2312" w:cs="宋体"/>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08" w:type="dxa"/>
            <w:vMerge w:val="continue"/>
            <w:shd w:val="clear" w:color="auto" w:fill="FFFFFF"/>
            <w:vAlign w:val="center"/>
          </w:tcPr>
          <w:p>
            <w:pPr>
              <w:widowControl/>
              <w:jc w:val="left"/>
              <w:rPr>
                <w:rFonts w:ascii="仿宋_GB2312" w:hAnsi="等线" w:eastAsia="仿宋_GB2312" w:cs="宋体"/>
                <w:bCs/>
                <w:kern w:val="0"/>
                <w:sz w:val="28"/>
                <w:szCs w:val="28"/>
              </w:rPr>
            </w:pPr>
          </w:p>
        </w:tc>
        <w:tc>
          <w:tcPr>
            <w:tcW w:w="2319" w:type="dxa"/>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轨道交通固定</w:t>
            </w:r>
            <w:r>
              <w:rPr>
                <w:rFonts w:ascii="仿宋_GB2312" w:hAnsi="等线" w:eastAsia="仿宋_GB2312" w:cs="宋体"/>
                <w:bCs/>
                <w:kern w:val="0"/>
                <w:sz w:val="28"/>
                <w:szCs w:val="28"/>
              </w:rPr>
              <w:t>和</w:t>
            </w:r>
            <w:r>
              <w:rPr>
                <w:rFonts w:hint="eastAsia" w:ascii="仿宋_GB2312" w:hAnsi="等线" w:eastAsia="仿宋_GB2312" w:cs="宋体"/>
                <w:bCs/>
                <w:kern w:val="0"/>
                <w:sz w:val="28"/>
                <w:szCs w:val="28"/>
              </w:rPr>
              <w:t>移动</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.5%</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7</w:t>
            </w:r>
            <w:r>
              <w:rPr>
                <w:rFonts w:ascii="仿宋_GB2312" w:hAnsi="等线" w:eastAsia="仿宋_GB2312" w:cs="宋体"/>
                <w:bCs/>
                <w:kern w:val="0"/>
                <w:sz w:val="28"/>
                <w:szCs w:val="28"/>
              </w:rPr>
              <w:t>.</w:t>
            </w:r>
            <w:r>
              <w:rPr>
                <w:rFonts w:hint="eastAsia" w:ascii="仿宋_GB2312" w:hAnsi="等线" w:eastAsia="仿宋_GB2312" w:cs="宋体"/>
                <w:bCs/>
                <w:kern w:val="0"/>
                <w:sz w:val="28"/>
                <w:szCs w:val="28"/>
              </w:rPr>
              <w:t>5</w:t>
            </w:r>
            <w:r>
              <w:rPr>
                <w:rFonts w:ascii="仿宋_GB2312" w:hAnsi="等线" w:eastAsia="仿宋_GB2312" w:cs="宋体"/>
                <w:bCs/>
                <w:kern w:val="0"/>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27" w:type="dxa"/>
            <w:gridSpan w:val="2"/>
            <w:shd w:val="clear" w:color="auto" w:fill="FFFFFF"/>
            <w:vAlign w:val="center"/>
          </w:tcPr>
          <w:p>
            <w:pPr>
              <w:widowControl/>
              <w:jc w:val="left"/>
              <w:rPr>
                <w:rFonts w:ascii="仿宋_GB2312" w:hAnsi="等线" w:eastAsia="仿宋_GB2312" w:cs="宋体"/>
                <w:bCs/>
                <w:kern w:val="0"/>
                <w:sz w:val="28"/>
                <w:szCs w:val="28"/>
              </w:rPr>
            </w:pPr>
            <w:r>
              <w:rPr>
                <w:rFonts w:hint="eastAsia" w:ascii="仿宋_GB2312" w:hAnsi="等线" w:eastAsia="仿宋_GB2312" w:cs="宋体"/>
                <w:bCs/>
                <w:kern w:val="0"/>
                <w:sz w:val="28"/>
                <w:szCs w:val="28"/>
              </w:rPr>
              <w:t>其他服务业</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.5%</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8</w:t>
            </w:r>
            <w:r>
              <w:rPr>
                <w:rFonts w:ascii="仿宋_GB2312" w:hAnsi="等线" w:eastAsia="仿宋_GB2312" w:cs="宋体"/>
                <w:bCs/>
                <w:kern w:val="0"/>
                <w:sz w:val="28"/>
                <w:szCs w:val="28"/>
              </w:rPr>
              <w:t>.0%</w:t>
            </w:r>
          </w:p>
        </w:tc>
        <w:tc>
          <w:tcPr>
            <w:tcW w:w="1764" w:type="dxa"/>
            <w:shd w:val="clear" w:color="auto" w:fill="FFFFFF"/>
            <w:vAlign w:val="center"/>
          </w:tcPr>
          <w:p>
            <w:pPr>
              <w:widowControl/>
              <w:jc w:val="center"/>
              <w:rPr>
                <w:rFonts w:ascii="仿宋_GB2312" w:hAnsi="等线" w:eastAsia="仿宋_GB2312" w:cs="宋体"/>
                <w:bCs/>
                <w:kern w:val="0"/>
                <w:sz w:val="28"/>
                <w:szCs w:val="28"/>
              </w:rPr>
            </w:pPr>
            <w:r>
              <w:rPr>
                <w:rFonts w:ascii="仿宋_GB2312" w:hAnsi="等线" w:eastAsia="仿宋_GB2312" w:cs="宋体"/>
                <w:bCs/>
                <w:kern w:val="0"/>
                <w:sz w:val="28"/>
                <w:szCs w:val="28"/>
              </w:rPr>
              <w:t>9</w:t>
            </w:r>
            <w:r>
              <w:rPr>
                <w:rFonts w:hint="eastAsia" w:ascii="仿宋_GB2312" w:hAnsi="等线" w:eastAsia="仿宋_GB2312" w:cs="宋体"/>
                <w:bCs/>
                <w:kern w:val="0"/>
                <w:sz w:val="28"/>
                <w:szCs w:val="28"/>
              </w:rPr>
              <w:t>7</w:t>
            </w:r>
            <w:r>
              <w:rPr>
                <w:rFonts w:ascii="仿宋_GB2312" w:hAnsi="等线" w:eastAsia="仿宋_GB2312" w:cs="宋体"/>
                <w:bCs/>
                <w:kern w:val="0"/>
                <w:sz w:val="28"/>
                <w:szCs w:val="28"/>
              </w:rPr>
              <w:t>.</w:t>
            </w:r>
            <w:r>
              <w:rPr>
                <w:rFonts w:hint="eastAsia" w:ascii="仿宋_GB2312" w:hAnsi="等线" w:eastAsia="仿宋_GB2312" w:cs="宋体"/>
                <w:bCs/>
                <w:kern w:val="0"/>
                <w:sz w:val="28"/>
                <w:szCs w:val="28"/>
              </w:rPr>
              <w:t>5</w:t>
            </w:r>
            <w:r>
              <w:rPr>
                <w:rFonts w:ascii="仿宋_GB2312" w:hAnsi="等线" w:eastAsia="仿宋_GB2312" w:cs="宋体"/>
                <w:bCs/>
                <w:kern w:val="0"/>
                <w:sz w:val="28"/>
                <w:szCs w:val="28"/>
              </w:rPr>
              <w:t>%</w:t>
            </w:r>
          </w:p>
        </w:tc>
      </w:tr>
    </w:tbl>
    <w:p>
      <w:pPr>
        <w:widowControl/>
        <w:jc w:val="left"/>
        <w:rPr>
          <w:rFonts w:ascii="仿宋_GB2312" w:hAnsi="等线" w:eastAsia="仿宋_GB2312" w:cs="宋体"/>
          <w:bCs/>
          <w:color w:val="FF0000"/>
          <w:kern w:val="0"/>
          <w:sz w:val="28"/>
          <w:szCs w:val="24"/>
        </w:rPr>
      </w:pPr>
      <w:r>
        <w:rPr>
          <w:rFonts w:ascii="仿宋_GB2312" w:hAnsi="等线" w:eastAsia="仿宋_GB2312" w:cs="宋体"/>
          <w:bCs/>
          <w:kern w:val="0"/>
          <w:sz w:val="28"/>
          <w:szCs w:val="24"/>
        </w:rPr>
        <w:t>*注：石化重点企业包括中国石油化工股份有限公司北京燕山分公司、中石化三菱化学聚碳酸酯（北京）有限公司</w:t>
      </w:r>
      <w:r>
        <w:rPr>
          <w:rFonts w:ascii="仿宋_GB2312" w:hAnsi="等线" w:eastAsia="仿宋_GB2312" w:cs="宋体"/>
          <w:bCs/>
          <w:color w:val="auto"/>
          <w:kern w:val="0"/>
          <w:sz w:val="28"/>
          <w:szCs w:val="24"/>
        </w:rPr>
        <w:t>。</w:t>
      </w:r>
    </w:p>
    <w:p>
      <w:pPr>
        <w:widowControl/>
        <w:spacing w:line="360" w:lineRule="auto"/>
        <w:jc w:val="left"/>
        <w:rPr>
          <w:rFonts w:ascii="黑体" w:hAnsi="黑体" w:eastAsia="黑体" w:cs="仿宋_GB2312"/>
          <w:bCs/>
          <w:sz w:val="28"/>
          <w:szCs w:val="28"/>
        </w:rPr>
      </w:pPr>
    </w:p>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spacing w:line="360" w:lineRule="auto"/>
        <w:rPr>
          <w:rFonts w:ascii="宋体" w:hAnsi="宋体" w:eastAsia="仿宋_GB2312" w:cs="仿宋_GB2312"/>
          <w:bCs/>
          <w:sz w:val="44"/>
          <w:szCs w:val="44"/>
        </w:rPr>
      </w:pPr>
      <w:r>
        <w:rPr>
          <w:rFonts w:hint="eastAsia" w:ascii="黑体" w:hAnsi="黑体" w:eastAsia="黑体" w:cs="仿宋_GB2312"/>
          <w:bCs/>
          <w:sz w:val="32"/>
          <w:szCs w:val="32"/>
        </w:rPr>
        <w:t>附件</w:t>
      </w:r>
      <w:r>
        <w:rPr>
          <w:rFonts w:ascii="黑体" w:hAnsi="黑体" w:eastAsia="黑体" w:cs="仿宋_GB2312"/>
          <w:bCs/>
          <w:sz w:val="32"/>
          <w:szCs w:val="32"/>
        </w:rPr>
        <w:t>3</w:t>
      </w:r>
    </w:p>
    <w:p>
      <w:pPr>
        <w:spacing w:line="360" w:lineRule="auto"/>
        <w:jc w:val="center"/>
        <w:rPr>
          <w:rFonts w:ascii="方正小标宋简体" w:hAnsi="宋体" w:eastAsia="方正小标宋简体" w:cs="仿宋_GB2312"/>
          <w:bCs/>
          <w:sz w:val="28"/>
          <w:szCs w:val="28"/>
        </w:rPr>
      </w:pPr>
    </w:p>
    <w:p>
      <w:pPr>
        <w:spacing w:line="360" w:lineRule="auto"/>
        <w:jc w:val="center"/>
        <w:rPr>
          <w:rFonts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新增设施配额调整申请材料及相关要求</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新增设施二氧化碳排放配额按所属行业的二氧化碳排放强度先进值进行核定，具体要求如下。</w:t>
      </w:r>
    </w:p>
    <w:p>
      <w:pPr>
        <w:spacing w:line="360" w:lineRule="auto"/>
        <w:ind w:firstLine="627" w:firstLineChars="196"/>
        <w:rPr>
          <w:rFonts w:ascii="黑体" w:hAnsi="黑体" w:eastAsia="黑体"/>
          <w:bCs/>
          <w:sz w:val="32"/>
          <w:szCs w:val="32"/>
        </w:rPr>
      </w:pPr>
      <w:r>
        <w:rPr>
          <w:rFonts w:hint="eastAsia" w:ascii="黑体" w:hAnsi="黑体" w:eastAsia="黑体"/>
          <w:bCs/>
          <w:sz w:val="32"/>
          <w:szCs w:val="32"/>
        </w:rPr>
        <w:t>一、新增设施配额的核定</w:t>
      </w:r>
    </w:p>
    <w:p>
      <w:pPr>
        <w:spacing w:line="360" w:lineRule="auto"/>
        <w:ind w:firstLine="645"/>
        <w:rPr>
          <w:rFonts w:ascii="仿宋_GB2312" w:eastAsia="仿宋_GB2312"/>
          <w:bCs/>
          <w:sz w:val="32"/>
          <w:szCs w:val="32"/>
        </w:rPr>
      </w:pPr>
      <w:r>
        <w:rPr>
          <w:rFonts w:hint="eastAsia" w:ascii="仿宋_GB2312" w:eastAsia="仿宋_GB2312"/>
          <w:bCs/>
          <w:sz w:val="32"/>
          <w:szCs w:val="32"/>
        </w:rPr>
        <w:t>重点碳排放单位新增设施调整，总体上应符合北京市产业、能源、生态环境等规划和政策的相关要求，推动北京市高质量发展，实现经济社会发展与生态环境保护良性循环。</w:t>
      </w:r>
    </w:p>
    <w:p>
      <w:pPr>
        <w:tabs>
          <w:tab w:val="left" w:pos="7350"/>
        </w:tabs>
        <w:spacing w:line="360" w:lineRule="auto"/>
        <w:ind w:firstLine="640" w:firstLineChars="200"/>
        <w:rPr>
          <w:rFonts w:ascii="楷体_GB2312" w:eastAsia="楷体_GB2312"/>
          <w:bCs/>
          <w:sz w:val="32"/>
          <w:szCs w:val="32"/>
        </w:rPr>
      </w:pPr>
      <w:r>
        <w:rPr>
          <w:rFonts w:hint="eastAsia" w:ascii="楷体_GB2312" w:eastAsia="楷体_GB2312"/>
          <w:bCs/>
          <w:sz w:val="32"/>
          <w:szCs w:val="32"/>
        </w:rPr>
        <w:t>（一）核定方法</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1.针对采用历史总量法核定配额的石化</w:t>
      </w:r>
      <w:r>
        <w:rPr>
          <w:rFonts w:ascii="仿宋_GB2312" w:hAnsi="仿宋_GB2312" w:eastAsia="仿宋_GB2312" w:cs="仿宋_GB2312"/>
          <w:bCs/>
          <w:sz w:val="32"/>
          <w:szCs w:val="32"/>
        </w:rPr>
        <w:t>、其他行业</w:t>
      </w:r>
      <w:r>
        <w:rPr>
          <w:rFonts w:hint="eastAsia" w:ascii="仿宋_GB2312" w:hAnsi="仿宋_GB2312" w:eastAsia="仿宋_GB2312" w:cs="仿宋_GB2312"/>
          <w:bCs/>
          <w:sz w:val="32"/>
          <w:szCs w:val="32"/>
        </w:rPr>
        <w:t>重点碳排放单位新增设施。</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年度二氧化碳排放大于1万吨（含）</w:t>
      </w:r>
      <w:r>
        <w:rPr>
          <w:rFonts w:hint="eastAsia" w:ascii="仿宋_GB2312" w:hAnsi="宋体" w:eastAsia="仿宋_GB2312" w:cs="仿宋_GB2312"/>
          <w:sz w:val="32"/>
          <w:szCs w:val="32"/>
        </w:rPr>
        <w:t>的单位，</w:t>
      </w:r>
      <w:r>
        <w:rPr>
          <w:rFonts w:hint="eastAsia" w:ascii="仿宋_GB2312" w:eastAsia="仿宋_GB2312"/>
          <w:sz w:val="32"/>
          <w:szCs w:val="32"/>
        </w:rPr>
        <w:t>2019年1月1日后有投入运行的新增设施，该新增设施的年度二氧化碳排放量超过5000吨或超过201</w:t>
      </w:r>
      <w:r>
        <w:rPr>
          <w:rFonts w:ascii="仿宋_GB2312" w:eastAsia="仿宋_GB2312"/>
          <w:sz w:val="32"/>
          <w:szCs w:val="32"/>
        </w:rPr>
        <w:t>8</w:t>
      </w:r>
      <w:r>
        <w:rPr>
          <w:rFonts w:hint="eastAsia" w:ascii="仿宋_GB2312" w:eastAsia="仿宋_GB2312"/>
          <w:sz w:val="32"/>
          <w:szCs w:val="32"/>
        </w:rPr>
        <w:t>年本单位排放总量20％的，可以提出新增设施配额调整申请。经专家评审后，对符合实际情况的重点碳排放单位，在当年新增设施排放总量对应扣减5000吨或201</w:t>
      </w:r>
      <w:r>
        <w:rPr>
          <w:rFonts w:ascii="仿宋_GB2312" w:eastAsia="仿宋_GB2312"/>
          <w:sz w:val="32"/>
          <w:szCs w:val="32"/>
        </w:rPr>
        <w:t>8</w:t>
      </w:r>
      <w:r>
        <w:rPr>
          <w:rFonts w:hint="eastAsia" w:ascii="仿宋_GB2312" w:eastAsia="仿宋_GB2312"/>
          <w:sz w:val="32"/>
          <w:szCs w:val="32"/>
        </w:rPr>
        <w:t>年本单位碳排放总量的20％后，按照剩余相应排放量的活动水平×该行业的先进值的方法，核定新增设施配额。</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201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年度二氧化碳排放不足1万吨</w:t>
      </w:r>
      <w:r>
        <w:rPr>
          <w:rFonts w:hint="eastAsia" w:ascii="仿宋_GB2312" w:hAnsi="宋体" w:eastAsia="仿宋_GB2312" w:cs="仿宋_GB2312"/>
          <w:sz w:val="32"/>
          <w:szCs w:val="32"/>
        </w:rPr>
        <w:t>的单位，</w:t>
      </w:r>
      <w:r>
        <w:rPr>
          <w:rFonts w:hint="eastAsia" w:ascii="仿宋_GB2312" w:eastAsia="仿宋_GB2312"/>
          <w:sz w:val="32"/>
          <w:szCs w:val="32"/>
        </w:rPr>
        <w:t>2019年1月1日后有投入运行的新增设施，该新增设施的年度二氧化碳排放量超过2500吨或超过201</w:t>
      </w:r>
      <w:r>
        <w:rPr>
          <w:rFonts w:ascii="仿宋_GB2312" w:eastAsia="仿宋_GB2312"/>
          <w:sz w:val="32"/>
          <w:szCs w:val="32"/>
        </w:rPr>
        <w:t>8</w:t>
      </w:r>
      <w:r>
        <w:rPr>
          <w:rFonts w:hint="eastAsia" w:ascii="仿宋_GB2312" w:eastAsia="仿宋_GB2312"/>
          <w:sz w:val="32"/>
          <w:szCs w:val="32"/>
        </w:rPr>
        <w:t>年本单位排放总量10％的，可以提出新增设施配额调整申请。对符合实际情况的重点碳排放单位，在当年新增设施排放总量对应扣减2500吨或201</w:t>
      </w:r>
      <w:r>
        <w:rPr>
          <w:rFonts w:ascii="仿宋_GB2312" w:eastAsia="仿宋_GB2312"/>
          <w:sz w:val="32"/>
          <w:szCs w:val="32"/>
        </w:rPr>
        <w:t>8</w:t>
      </w:r>
      <w:r>
        <w:rPr>
          <w:rFonts w:hint="eastAsia" w:ascii="仿宋_GB2312" w:eastAsia="仿宋_GB2312"/>
          <w:sz w:val="32"/>
          <w:szCs w:val="32"/>
        </w:rPr>
        <w:t>年本单位碳排放总量的10％后，按照剩余相应排放量的活动水平×该行业的先进值的方法，核定新增设施配额。</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2.针对采用历史总量法核定配额的交通固定源、其他</w:t>
      </w:r>
      <w:r>
        <w:rPr>
          <w:rFonts w:ascii="仿宋_GB2312" w:hAnsi="仿宋_GB2312" w:eastAsia="仿宋_GB2312" w:cs="仿宋_GB2312"/>
          <w:bCs/>
          <w:sz w:val="32"/>
          <w:szCs w:val="32"/>
        </w:rPr>
        <w:t>服务业</w:t>
      </w:r>
      <w:r>
        <w:rPr>
          <w:rFonts w:hint="eastAsia" w:ascii="仿宋_GB2312" w:hAnsi="仿宋_GB2312" w:eastAsia="仿宋_GB2312" w:cs="仿宋_GB2312"/>
          <w:bCs/>
          <w:sz w:val="32"/>
          <w:szCs w:val="32"/>
        </w:rPr>
        <w:t>重点碳排放单位新增设施：</w:t>
      </w:r>
    </w:p>
    <w:p>
      <w:pPr>
        <w:ind w:firstLine="640" w:firstLineChars="200"/>
        <w:rPr>
          <w:rFonts w:ascii="仿宋_GB2312" w:eastAsia="仿宋_GB2312"/>
          <w:bCs/>
          <w:sz w:val="32"/>
          <w:szCs w:val="32"/>
        </w:rPr>
      </w:pPr>
      <w:r>
        <w:rPr>
          <w:rFonts w:hint="eastAsia" w:ascii="仿宋_GB2312" w:eastAsia="仿宋_GB2312"/>
          <w:sz w:val="32"/>
          <w:szCs w:val="32"/>
        </w:rPr>
        <w:t>2019年1月1日后有投入运行的新增设施，该新增设施的年度二氧化碳排放量超过1000吨或超过201</w:t>
      </w:r>
      <w:r>
        <w:rPr>
          <w:rFonts w:ascii="仿宋_GB2312" w:eastAsia="仿宋_GB2312"/>
          <w:sz w:val="32"/>
          <w:szCs w:val="32"/>
        </w:rPr>
        <w:t>8</w:t>
      </w:r>
      <w:r>
        <w:rPr>
          <w:rFonts w:hint="eastAsia" w:ascii="仿宋_GB2312" w:eastAsia="仿宋_GB2312"/>
          <w:sz w:val="32"/>
          <w:szCs w:val="32"/>
        </w:rPr>
        <w:t>年本单位排放总量10％的，可以提出新增设施配额调整申请。</w:t>
      </w:r>
      <w:r>
        <w:rPr>
          <w:rFonts w:hint="eastAsia" w:ascii="仿宋_GB2312" w:eastAsia="仿宋_GB2312"/>
          <w:bCs/>
          <w:sz w:val="32"/>
          <w:szCs w:val="32"/>
        </w:rPr>
        <w:t>经专家评审后，按照相应的新增</w:t>
      </w:r>
      <w:r>
        <w:rPr>
          <w:rFonts w:ascii="仿宋_GB2312" w:eastAsia="仿宋_GB2312"/>
          <w:bCs/>
          <w:sz w:val="32"/>
          <w:szCs w:val="32"/>
        </w:rPr>
        <w:t>设施</w:t>
      </w:r>
      <w:r>
        <w:rPr>
          <w:rFonts w:hint="eastAsia" w:ascii="仿宋_GB2312" w:eastAsia="仿宋_GB2312"/>
          <w:bCs/>
          <w:sz w:val="32"/>
          <w:szCs w:val="32"/>
        </w:rPr>
        <w:t>活动水平×该行业的先进值的方法，核定新增设施配额。</w:t>
      </w:r>
    </w:p>
    <w:p>
      <w:pPr>
        <w:tabs>
          <w:tab w:val="left" w:pos="7350"/>
        </w:tabs>
        <w:spacing w:line="360" w:lineRule="auto"/>
        <w:ind w:firstLine="640" w:firstLineChars="200"/>
        <w:rPr>
          <w:rFonts w:ascii="楷体_GB2312" w:eastAsia="楷体_GB2312"/>
          <w:bCs/>
          <w:sz w:val="32"/>
          <w:szCs w:val="32"/>
        </w:rPr>
      </w:pPr>
      <w:r>
        <w:rPr>
          <w:rFonts w:hint="eastAsia" w:ascii="楷体_GB2312" w:eastAsia="楷体_GB2312"/>
          <w:bCs/>
          <w:sz w:val="32"/>
          <w:szCs w:val="32"/>
        </w:rPr>
        <w:t>（二）核证要求</w:t>
      </w:r>
    </w:p>
    <w:p>
      <w:pPr>
        <w:tabs>
          <w:tab w:val="left" w:pos="7350"/>
        </w:tabs>
        <w:spacing w:line="360" w:lineRule="auto"/>
        <w:ind w:firstLine="640" w:firstLineChars="200"/>
        <w:rPr>
          <w:bCs/>
        </w:rPr>
      </w:pPr>
      <w:r>
        <w:rPr>
          <w:rFonts w:hint="eastAsia" w:ascii="仿宋_GB2312" w:eastAsia="仿宋_GB2312"/>
          <w:bCs/>
          <w:sz w:val="32"/>
          <w:szCs w:val="32"/>
        </w:rPr>
        <w:t>重点碳排放单位新增设施应按要求配备相应的计量器具，或按科学计量方法监测二氧化碳排放及活动水平相关数据，并能单独核算。不按要求配备计量器具或无法核证二氧化碳排放及活动水平的新增设施，将不予核发新增设施配额。</w:t>
      </w:r>
    </w:p>
    <w:p>
      <w:pPr>
        <w:spacing w:line="360" w:lineRule="auto"/>
        <w:ind w:firstLine="640" w:firstLineChars="200"/>
        <w:rPr>
          <w:rFonts w:ascii="黑体" w:hAnsi="黑体" w:eastAsia="黑体"/>
          <w:bCs/>
          <w:sz w:val="32"/>
          <w:szCs w:val="32"/>
        </w:rPr>
      </w:pPr>
      <w:r>
        <w:rPr>
          <w:rFonts w:hint="eastAsia" w:ascii="黑体" w:hAnsi="黑体" w:eastAsia="黑体"/>
          <w:bCs/>
          <w:sz w:val="32"/>
          <w:szCs w:val="32"/>
        </w:rPr>
        <w:t>二、需提交的相关材料</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有新增设施配额调整需求的重点碳排放单位，可以向市生态环境局提出配额调整申请，具体申报材料如下：</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（一）新增设施配额调整申请。包括企业新增设施（建筑）名称、地理位置、使用途径、对基准年既有设施的替代情况、设施计量措施、设施归属权；新增设施（建筑）排放量、对应的活动水平等。</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（二）新增设施（建筑）投入使用的证明文件。</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（三）新增设施（建筑）相关能源消耗数据、碳排放数据及证明材料。</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（四）新增设施（建筑）的活动水平数据证明材料（如新增建筑面积证明文件，新增设施的产值证明文件，或者新增设施的产品产量证明文件）。</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（五）新增设施（建筑）排放量核算、对应的活动水平测算方法、相关数据说明。</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（六）其他相关证明材料。</w:t>
      </w:r>
    </w:p>
    <w:p>
      <w:pPr>
        <w:tabs>
          <w:tab w:val="left" w:pos="7350"/>
        </w:tabs>
        <w:spacing w:line="360" w:lineRule="auto"/>
        <w:ind w:firstLine="640" w:firstLineChars="200"/>
        <w:rPr>
          <w:rFonts w:ascii="仿宋_GB2312" w:eastAsia="仿宋_GB2312"/>
          <w:bCs/>
          <w:sz w:val="32"/>
          <w:szCs w:val="32"/>
        </w:rPr>
      </w:pPr>
      <w:r>
        <w:rPr>
          <w:rFonts w:hint="eastAsia" w:ascii="仿宋_GB2312" w:eastAsia="仿宋_GB2312"/>
          <w:bCs/>
          <w:sz w:val="32"/>
          <w:szCs w:val="32"/>
        </w:rPr>
        <w:t>以上材料需经第三方核查机构核证，并加盖本单位和核查单位公章，</w:t>
      </w:r>
      <w:r>
        <w:rPr>
          <w:rFonts w:ascii="仿宋_GB2312" w:eastAsia="仿宋_GB2312"/>
          <w:bCs/>
          <w:sz w:val="32"/>
          <w:szCs w:val="32"/>
        </w:rPr>
        <w:t>并通过</w:t>
      </w:r>
      <w:r>
        <w:rPr>
          <w:rFonts w:hint="eastAsia" w:ascii="仿宋_GB2312" w:eastAsia="仿宋_GB2312"/>
          <w:bCs/>
          <w:sz w:val="32"/>
          <w:szCs w:val="32"/>
        </w:rPr>
        <w:t>系统上传。</w:t>
      </w:r>
    </w:p>
    <w:p>
      <w:pPr>
        <w:widowControl/>
        <w:jc w:val="left"/>
        <w:rPr>
          <w:rFonts w:ascii="黑体" w:hAnsi="黑体" w:eastAsia="黑体" w:cs="仿宋_GB2312"/>
          <w:bCs/>
          <w:sz w:val="32"/>
          <w:szCs w:val="32"/>
        </w:rPr>
      </w:pPr>
      <w:r>
        <w:rPr>
          <w:rFonts w:ascii="黑体" w:hAnsi="黑体" w:eastAsia="黑体" w:cs="仿宋_GB2312"/>
          <w:bCs/>
          <w:sz w:val="32"/>
          <w:szCs w:val="32"/>
        </w:rPr>
        <w:br w:type="page"/>
      </w:r>
    </w:p>
    <w:p>
      <w:pPr>
        <w:widowControl/>
        <w:spacing w:line="360" w:lineRule="auto"/>
        <w:jc w:val="left"/>
        <w:rPr>
          <w:rFonts w:ascii="黑体" w:hAnsi="黑体" w:eastAsia="黑体" w:cs="仿宋_GB2312"/>
          <w:bCs/>
          <w:sz w:val="32"/>
          <w:szCs w:val="32"/>
        </w:rPr>
      </w:pPr>
      <w:r>
        <w:rPr>
          <w:rFonts w:hint="eastAsia" w:ascii="黑体" w:hAnsi="黑体" w:eastAsia="黑体" w:cs="仿宋_GB2312"/>
          <w:bCs/>
          <w:sz w:val="32"/>
          <w:szCs w:val="32"/>
        </w:rPr>
        <w:t>附件</w:t>
      </w:r>
      <w:r>
        <w:rPr>
          <w:rFonts w:ascii="黑体" w:hAnsi="黑体" w:eastAsia="黑体" w:cs="仿宋_GB2312"/>
          <w:bCs/>
          <w:sz w:val="32"/>
          <w:szCs w:val="32"/>
        </w:rPr>
        <w:t>4</w:t>
      </w:r>
    </w:p>
    <w:p>
      <w:pPr>
        <w:spacing w:line="360" w:lineRule="auto"/>
        <w:jc w:val="center"/>
        <w:rPr>
          <w:rFonts w:ascii="方正小标宋简体" w:hAnsi="宋体" w:eastAsia="方正小标宋简体" w:cs="仿宋_GB2312"/>
          <w:bCs/>
          <w:sz w:val="28"/>
          <w:szCs w:val="28"/>
        </w:rPr>
      </w:pPr>
    </w:p>
    <w:p>
      <w:pPr>
        <w:spacing w:line="360" w:lineRule="auto"/>
        <w:jc w:val="center"/>
        <w:rPr>
          <w:rFonts w:ascii="方正小标宋简体" w:hAnsi="宋体" w:eastAsia="方正小标宋简体" w:cs="仿宋_GB2312"/>
          <w:bCs/>
          <w:sz w:val="44"/>
          <w:szCs w:val="44"/>
        </w:rPr>
      </w:pPr>
      <w:r>
        <w:rPr>
          <w:rFonts w:hint="eastAsia" w:ascii="方正小标宋简体" w:hAnsi="宋体" w:eastAsia="方正小标宋简体" w:cs="仿宋_GB2312"/>
          <w:bCs/>
          <w:sz w:val="44"/>
          <w:szCs w:val="44"/>
        </w:rPr>
        <w:t>配额调整申请材料及相关要求</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符合配额调整条件的可以向市生态环境局提出配额调整申请，具体要求如下：</w:t>
      </w:r>
    </w:p>
    <w:p>
      <w:pPr>
        <w:spacing w:line="360" w:lineRule="auto"/>
        <w:ind w:firstLine="627" w:firstLineChars="196"/>
        <w:rPr>
          <w:rFonts w:ascii="黑体" w:hAnsi="黑体" w:eastAsia="黑体"/>
          <w:bCs/>
          <w:sz w:val="32"/>
          <w:szCs w:val="32"/>
        </w:rPr>
      </w:pPr>
      <w:r>
        <w:rPr>
          <w:rFonts w:hint="eastAsia" w:ascii="黑体" w:hAnsi="黑体" w:eastAsia="黑体"/>
          <w:bCs/>
          <w:sz w:val="32"/>
          <w:szCs w:val="32"/>
        </w:rPr>
        <w:t>一、申请配额调整的条件</w:t>
      </w:r>
    </w:p>
    <w:p>
      <w:pPr>
        <w:spacing w:line="360" w:lineRule="auto"/>
        <w:ind w:firstLine="627" w:firstLineChars="196"/>
        <w:rPr>
          <w:rFonts w:ascii="楷体_GB2312" w:eastAsia="楷体_GB2312"/>
          <w:bCs/>
          <w:sz w:val="32"/>
          <w:szCs w:val="32"/>
        </w:rPr>
      </w:pPr>
      <w:r>
        <w:rPr>
          <w:rFonts w:hint="eastAsia" w:ascii="楷体_GB2312" w:eastAsia="楷体_GB2312"/>
          <w:bCs/>
          <w:sz w:val="32"/>
          <w:szCs w:val="32"/>
        </w:rPr>
        <w:t>（一）配额核增</w:t>
      </w:r>
    </w:p>
    <w:p>
      <w:pPr>
        <w:spacing w:line="360" w:lineRule="auto"/>
        <w:ind w:firstLine="645"/>
        <w:rPr>
          <w:rFonts w:ascii="仿宋_GB2312" w:eastAsia="仿宋_GB2312"/>
          <w:bCs/>
          <w:sz w:val="32"/>
          <w:szCs w:val="32"/>
        </w:rPr>
      </w:pPr>
      <w:r>
        <w:rPr>
          <w:rFonts w:hint="eastAsia" w:ascii="仿宋_GB2312" w:eastAsia="仿宋_GB2312"/>
          <w:bCs/>
          <w:sz w:val="32"/>
          <w:szCs w:val="32"/>
        </w:rPr>
        <w:t>重点碳排放单位申请配额核增，总体上应符合北京市产业、能源、生态环境等规划和政策的相关要求，共同推动北京市高质量发展，实现经济社会发展与生态环境保护良性循环，且无生态环境违法行为。且满足以下条件之一的单位，可申请配额核增，</w:t>
      </w:r>
      <w:r>
        <w:rPr>
          <w:rFonts w:ascii="仿宋_GB2312" w:eastAsia="仿宋_GB2312"/>
          <w:bCs/>
          <w:sz w:val="32"/>
          <w:szCs w:val="32"/>
        </w:rPr>
        <w:t>包括既有设施配额调整和其他配额调整</w:t>
      </w:r>
      <w:r>
        <w:rPr>
          <w:rFonts w:hint="eastAsia" w:ascii="仿宋_GB2312" w:eastAsia="仿宋_GB2312"/>
          <w:bCs/>
          <w:sz w:val="32"/>
          <w:szCs w:val="32"/>
        </w:rPr>
        <w:t>。</w:t>
      </w:r>
    </w:p>
    <w:p>
      <w:pPr>
        <w:spacing w:line="360" w:lineRule="auto"/>
        <w:ind w:firstLine="645"/>
        <w:rPr>
          <w:rFonts w:ascii="仿宋_GB2312" w:eastAsia="仿宋_GB2312"/>
          <w:bCs/>
          <w:sz w:val="32"/>
          <w:szCs w:val="32"/>
        </w:rPr>
      </w:pPr>
      <w:r>
        <w:rPr>
          <w:rFonts w:hint="eastAsia" w:ascii="仿宋_GB2312" w:eastAsia="仿宋_GB2312"/>
          <w:bCs/>
          <w:sz w:val="32"/>
          <w:szCs w:val="32"/>
        </w:rPr>
        <w:t>1</w:t>
      </w:r>
      <w:r>
        <w:rPr>
          <w:rFonts w:ascii="仿宋_GB2312" w:eastAsia="仿宋_GB2312"/>
          <w:bCs/>
          <w:sz w:val="32"/>
          <w:szCs w:val="32"/>
        </w:rPr>
        <w:t>.</w:t>
      </w:r>
      <w:r>
        <w:rPr>
          <w:rFonts w:hint="eastAsia" w:ascii="仿宋_GB2312" w:eastAsia="仿宋_GB2312"/>
          <w:bCs/>
          <w:sz w:val="32"/>
          <w:szCs w:val="32"/>
        </w:rPr>
        <w:t>既有</w:t>
      </w:r>
      <w:r>
        <w:rPr>
          <w:rFonts w:ascii="仿宋_GB2312" w:eastAsia="仿宋_GB2312"/>
          <w:bCs/>
          <w:sz w:val="32"/>
          <w:szCs w:val="32"/>
        </w:rPr>
        <w:t>设施配额</w:t>
      </w:r>
      <w:r>
        <w:rPr>
          <w:rFonts w:hint="eastAsia" w:ascii="仿宋_GB2312" w:eastAsia="仿宋_GB2312"/>
          <w:bCs/>
          <w:sz w:val="32"/>
          <w:szCs w:val="32"/>
        </w:rPr>
        <w:t>核</w:t>
      </w:r>
      <w:r>
        <w:rPr>
          <w:rFonts w:ascii="仿宋_GB2312" w:eastAsia="仿宋_GB2312"/>
          <w:bCs/>
          <w:sz w:val="32"/>
          <w:szCs w:val="32"/>
        </w:rPr>
        <w:t>增</w:t>
      </w:r>
      <w:r>
        <w:rPr>
          <w:rFonts w:hint="eastAsia" w:ascii="仿宋_GB2312" w:eastAsia="仿宋_GB2312"/>
          <w:bCs/>
          <w:sz w:val="32"/>
          <w:szCs w:val="32"/>
        </w:rPr>
        <w:t>。</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一是重点碳排放单位于201</w:t>
      </w:r>
      <w:r>
        <w:rPr>
          <w:rFonts w:ascii="仿宋_GB2312" w:eastAsia="仿宋_GB2312"/>
          <w:bCs/>
          <w:sz w:val="32"/>
          <w:szCs w:val="32"/>
        </w:rPr>
        <w:t>8</w:t>
      </w:r>
      <w:r>
        <w:rPr>
          <w:rFonts w:hint="eastAsia" w:ascii="仿宋_GB2312" w:eastAsia="仿宋_GB2312"/>
          <w:bCs/>
          <w:sz w:val="32"/>
          <w:szCs w:val="32"/>
        </w:rPr>
        <w:t>年注册成立，运行时间不足12个月。</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二是重点碳排放单位2018年存在新增排放设施的情况，且新增设施截至201</w:t>
      </w:r>
      <w:r>
        <w:rPr>
          <w:rFonts w:ascii="仿宋_GB2312" w:eastAsia="仿宋_GB2312"/>
          <w:bCs/>
          <w:sz w:val="32"/>
          <w:szCs w:val="32"/>
        </w:rPr>
        <w:t>8</w:t>
      </w:r>
      <w:r>
        <w:rPr>
          <w:rFonts w:hint="eastAsia" w:ascii="仿宋_GB2312" w:eastAsia="仿宋_GB2312"/>
          <w:bCs/>
          <w:sz w:val="32"/>
          <w:szCs w:val="32"/>
        </w:rPr>
        <w:t>年底运行时间不足12个月。</w:t>
      </w:r>
    </w:p>
    <w:p>
      <w:pPr>
        <w:spacing w:line="360" w:lineRule="auto"/>
        <w:ind w:firstLine="645"/>
        <w:rPr>
          <w:rFonts w:ascii="仿宋_GB2312" w:hAnsi="宋体" w:eastAsia="仿宋_GB2312" w:cs="仿宋_GB2312"/>
          <w:bCs/>
          <w:sz w:val="32"/>
          <w:szCs w:val="32"/>
        </w:rPr>
      </w:pPr>
      <w:r>
        <w:rPr>
          <w:rFonts w:hint="eastAsia" w:ascii="仿宋_GB2312" w:eastAsia="仿宋_GB2312"/>
          <w:bCs/>
          <w:sz w:val="32"/>
          <w:szCs w:val="32"/>
        </w:rPr>
        <w:t>三是</w:t>
      </w:r>
      <w:r>
        <w:rPr>
          <w:rFonts w:hint="eastAsia" w:ascii="仿宋_GB2312" w:hAnsi="宋体" w:eastAsia="仿宋_GB2312" w:cs="仿宋_GB2312"/>
          <w:bCs/>
          <w:sz w:val="32"/>
          <w:szCs w:val="32"/>
        </w:rPr>
        <w:t>2016-2018年，重点碳排放单位二氧化碳排放总量整体呈上升趋势，</w:t>
      </w:r>
      <w:r>
        <w:rPr>
          <w:rFonts w:hint="eastAsia" w:ascii="仿宋_GB2312" w:hAnsi="仿宋_GB2312" w:eastAsia="仿宋_GB2312" w:cs="仿宋_GB2312"/>
          <w:bCs/>
          <w:sz w:val="32"/>
          <w:szCs w:val="32"/>
        </w:rPr>
        <w:t>201</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年度二氧化碳排放大于1万吨（含）</w:t>
      </w:r>
      <w:r>
        <w:rPr>
          <w:rFonts w:hint="eastAsia" w:ascii="仿宋_GB2312" w:hAnsi="宋体" w:eastAsia="仿宋_GB2312" w:cs="仿宋_GB2312"/>
          <w:bCs/>
          <w:sz w:val="32"/>
          <w:szCs w:val="32"/>
        </w:rPr>
        <w:t>的单位，3年最大排放量与3年算术平均值相比，相差5000吨且两数值相差超过20%以上的；</w:t>
      </w:r>
      <w:r>
        <w:rPr>
          <w:rFonts w:hint="eastAsia" w:ascii="仿宋_GB2312" w:hAnsi="仿宋_GB2312" w:eastAsia="仿宋_GB2312" w:cs="仿宋_GB2312"/>
          <w:bCs/>
          <w:sz w:val="32"/>
          <w:szCs w:val="32"/>
        </w:rPr>
        <w:t>201</w:t>
      </w:r>
      <w:r>
        <w:rPr>
          <w:rFonts w:ascii="仿宋_GB2312" w:hAnsi="仿宋_GB2312" w:eastAsia="仿宋_GB2312" w:cs="仿宋_GB2312"/>
          <w:bCs/>
          <w:sz w:val="32"/>
          <w:szCs w:val="32"/>
        </w:rPr>
        <w:t>8</w:t>
      </w:r>
      <w:r>
        <w:rPr>
          <w:rFonts w:hint="eastAsia" w:ascii="仿宋_GB2312" w:hAnsi="仿宋_GB2312" w:eastAsia="仿宋_GB2312" w:cs="仿宋_GB2312"/>
          <w:bCs/>
          <w:sz w:val="32"/>
          <w:szCs w:val="32"/>
        </w:rPr>
        <w:t>年度二氧化碳排放不足1万吨</w:t>
      </w:r>
      <w:r>
        <w:rPr>
          <w:rFonts w:hint="eastAsia" w:ascii="仿宋_GB2312" w:hAnsi="宋体" w:eastAsia="仿宋_GB2312" w:cs="仿宋_GB2312"/>
          <w:bCs/>
          <w:sz w:val="32"/>
          <w:szCs w:val="32"/>
        </w:rPr>
        <w:t>的单位</w:t>
      </w:r>
      <w:r>
        <w:rPr>
          <w:rFonts w:hint="eastAsia" w:ascii="仿宋_GB2312" w:hAnsi="仿宋_GB2312" w:eastAsia="仿宋_GB2312" w:cs="仿宋_GB2312"/>
          <w:bCs/>
          <w:sz w:val="32"/>
          <w:szCs w:val="32"/>
        </w:rPr>
        <w:t>，</w:t>
      </w:r>
      <w:r>
        <w:rPr>
          <w:rFonts w:hint="eastAsia" w:ascii="仿宋_GB2312" w:hAnsi="宋体" w:eastAsia="仿宋_GB2312" w:cs="仿宋_GB2312"/>
          <w:bCs/>
          <w:sz w:val="32"/>
          <w:szCs w:val="32"/>
        </w:rPr>
        <w:t>3年最大排放量与3年算术平均值相比，相差2500吨且两数值相差超过10%以上的。</w:t>
      </w:r>
    </w:p>
    <w:p>
      <w:pPr>
        <w:spacing w:line="360" w:lineRule="auto"/>
        <w:ind w:firstLine="645"/>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对符合既有设施配额调整申请条件的重点碳排放单位，采用加权平均方法核定其</w:t>
      </w:r>
      <w:r>
        <w:rPr>
          <w:rFonts w:hint="eastAsia" w:ascii="仿宋_GB2312" w:hAnsi="宋体" w:eastAsia="仿宋_GB2312" w:cs="仿宋_GB2312"/>
          <w:bCs/>
          <w:sz w:val="32"/>
          <w:szCs w:val="32"/>
        </w:rPr>
        <w:t>历史基准年份二氧化碳排放量</w:t>
      </w:r>
      <w:r>
        <w:rPr>
          <w:rFonts w:hint="eastAsia" w:ascii="仿宋_GB2312" w:hAnsi="仿宋_GB2312" w:eastAsia="仿宋_GB2312" w:cs="仿宋_GB2312"/>
          <w:bCs/>
          <w:sz w:val="32"/>
          <w:szCs w:val="32"/>
        </w:rPr>
        <w:t xml:space="preserve">，公式如下： </w:t>
      </w:r>
    </w:p>
    <w:p>
      <w:pPr>
        <w:ind w:firstLine="640" w:firstLineChars="200"/>
        <w:jc w:val="left"/>
        <w:rPr>
          <w:rFonts w:ascii="仿宋_GB2312" w:hAnsi="仿宋_GB2312" w:eastAsia="仿宋_GB2312" w:cs="仿宋_GB2312"/>
          <w:bCs/>
          <w:sz w:val="32"/>
          <w:szCs w:val="32"/>
        </w:rPr>
      </w:pPr>
      <w:r>
        <w:rPr>
          <w:rFonts w:eastAsia="仿宋_GB2312"/>
          <w:bCs/>
          <w:sz w:val="32"/>
          <w:szCs w:val="24"/>
        </w:rPr>
        <w:drawing>
          <wp:inline distT="0" distB="0" distL="114300" distR="114300">
            <wp:extent cx="2276475" cy="5334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2276475" cy="533400"/>
                    </a:xfrm>
                    <a:prstGeom prst="rect">
                      <a:avLst/>
                    </a:prstGeom>
                    <a:noFill/>
                    <a:ln>
                      <a:noFill/>
                    </a:ln>
                  </pic:spPr>
                </pic:pic>
              </a:graphicData>
            </a:graphic>
          </wp:inline>
        </w:drawing>
      </w:r>
      <w:r>
        <w:rPr>
          <w:rFonts w:hint="eastAsia" w:ascii="仿宋_GB2312" w:hAnsi="仿宋_GB2312" w:eastAsia="仿宋_GB2312" w:cs="仿宋_GB2312"/>
          <w:bCs/>
          <w:sz w:val="32"/>
          <w:szCs w:val="32"/>
        </w:rPr>
        <w:t>（1）</w:t>
      </w:r>
    </w:p>
    <w:p>
      <w:pPr>
        <w:ind w:firstLine="640" w:firstLineChars="200"/>
        <w:jc w:val="left"/>
        <w:rPr>
          <w:rFonts w:eastAsia="仿宋_GB2312"/>
          <w:bCs/>
          <w:sz w:val="32"/>
          <w:szCs w:val="24"/>
        </w:rPr>
      </w:pPr>
      <w:r>
        <w:rPr>
          <w:rFonts w:hint="eastAsia" w:ascii="仿宋_GB2312" w:hAnsi="仿宋_GB2312" w:eastAsia="仿宋_GB2312" w:cs="仿宋_GB2312"/>
          <w:bCs/>
          <w:sz w:val="32"/>
          <w:szCs w:val="32"/>
        </w:rPr>
        <w:t>公式中：G为重点碳排放单位历史基准年份二氧化碳排放量，G</w:t>
      </w:r>
      <w:r>
        <w:rPr>
          <w:rFonts w:ascii="仿宋_GB2312" w:hAnsi="仿宋_GB2312" w:eastAsia="仿宋_GB2312" w:cs="仿宋_GB2312"/>
          <w:bCs/>
          <w:sz w:val="32"/>
          <w:szCs w:val="32"/>
          <w:vertAlign w:val="subscript"/>
        </w:rPr>
        <w:t>2016</w:t>
      </w:r>
      <w:r>
        <w:rPr>
          <w:rFonts w:hint="eastAsia" w:ascii="仿宋_GB2312" w:hAnsi="仿宋_GB2312" w:eastAsia="仿宋_GB2312" w:cs="仿宋_GB2312"/>
          <w:bCs/>
          <w:sz w:val="32"/>
          <w:szCs w:val="32"/>
        </w:rPr>
        <w:t>、G</w:t>
      </w:r>
      <w:r>
        <w:rPr>
          <w:rFonts w:ascii="仿宋_GB2312" w:hAnsi="仿宋_GB2312" w:eastAsia="仿宋_GB2312" w:cs="仿宋_GB2312"/>
          <w:bCs/>
          <w:sz w:val="32"/>
          <w:szCs w:val="32"/>
          <w:vertAlign w:val="subscript"/>
        </w:rPr>
        <w:t>2017</w:t>
      </w:r>
      <w:r>
        <w:rPr>
          <w:rFonts w:hint="eastAsia" w:ascii="仿宋_GB2312" w:hAnsi="仿宋_GB2312" w:eastAsia="仿宋_GB2312" w:cs="仿宋_GB2312"/>
          <w:bCs/>
          <w:sz w:val="32"/>
          <w:szCs w:val="32"/>
        </w:rPr>
        <w:t>、G</w:t>
      </w:r>
      <w:r>
        <w:rPr>
          <w:rFonts w:ascii="仿宋_GB2312" w:hAnsi="仿宋_GB2312" w:eastAsia="仿宋_GB2312" w:cs="仿宋_GB2312"/>
          <w:bCs/>
          <w:sz w:val="32"/>
          <w:szCs w:val="32"/>
          <w:vertAlign w:val="subscript"/>
        </w:rPr>
        <w:t>2018</w:t>
      </w:r>
      <w:r>
        <w:rPr>
          <w:rFonts w:hint="eastAsia" w:ascii="仿宋_GB2312" w:hAnsi="仿宋_GB2312" w:eastAsia="仿宋_GB2312" w:cs="仿宋_GB2312"/>
          <w:bCs/>
          <w:sz w:val="32"/>
          <w:szCs w:val="32"/>
        </w:rPr>
        <w:t>分别为重点碳排放单位2016、2017、2018年经核证的二氧化碳排放量。</w:t>
      </w:r>
    </w:p>
    <w:p>
      <w:pPr>
        <w:spacing w:line="360" w:lineRule="auto"/>
        <w:ind w:firstLine="645"/>
        <w:rPr>
          <w:rFonts w:ascii="仿宋_GB2312" w:eastAsia="仿宋_GB2312"/>
          <w:bCs/>
          <w:sz w:val="32"/>
          <w:szCs w:val="32"/>
        </w:rPr>
      </w:pPr>
      <w:r>
        <w:rPr>
          <w:rFonts w:ascii="仿宋_GB2312" w:eastAsia="仿宋_GB2312"/>
          <w:bCs/>
          <w:sz w:val="32"/>
          <w:szCs w:val="32"/>
        </w:rPr>
        <w:t>2.</w:t>
      </w:r>
      <w:r>
        <w:rPr>
          <w:rFonts w:hint="eastAsia" w:ascii="仿宋_GB2312" w:eastAsia="仿宋_GB2312"/>
          <w:bCs/>
          <w:sz w:val="32"/>
          <w:szCs w:val="32"/>
        </w:rPr>
        <w:t>其他</w:t>
      </w:r>
      <w:r>
        <w:rPr>
          <w:rFonts w:ascii="仿宋_GB2312" w:eastAsia="仿宋_GB2312"/>
          <w:bCs/>
          <w:sz w:val="32"/>
          <w:szCs w:val="32"/>
        </w:rPr>
        <w:t>配额</w:t>
      </w:r>
      <w:r>
        <w:rPr>
          <w:rFonts w:hint="eastAsia" w:ascii="仿宋_GB2312" w:eastAsia="仿宋_GB2312"/>
          <w:bCs/>
          <w:sz w:val="32"/>
          <w:szCs w:val="32"/>
        </w:rPr>
        <w:t>核</w:t>
      </w:r>
      <w:r>
        <w:rPr>
          <w:rFonts w:ascii="仿宋_GB2312" w:eastAsia="仿宋_GB2312"/>
          <w:bCs/>
          <w:sz w:val="32"/>
          <w:szCs w:val="32"/>
        </w:rPr>
        <w:t>增</w:t>
      </w:r>
      <w:r>
        <w:rPr>
          <w:rFonts w:hint="eastAsia" w:ascii="仿宋_GB2312" w:eastAsia="仿宋_GB2312"/>
          <w:bCs/>
          <w:sz w:val="32"/>
          <w:szCs w:val="32"/>
        </w:rPr>
        <w:t>。</w:t>
      </w:r>
    </w:p>
    <w:p>
      <w:pPr>
        <w:ind w:firstLine="640" w:firstLineChars="200"/>
        <w:rPr>
          <w:rFonts w:ascii="仿宋_GB2312" w:eastAsia="仿宋_GB2312"/>
          <w:bCs/>
          <w:sz w:val="32"/>
          <w:szCs w:val="32"/>
        </w:rPr>
      </w:pPr>
      <w:r>
        <w:rPr>
          <w:rFonts w:hint="eastAsia" w:ascii="仿宋_GB2312" w:eastAsia="仿宋_GB2312"/>
          <w:bCs/>
          <w:sz w:val="32"/>
          <w:szCs w:val="32"/>
        </w:rPr>
        <w:t>如</w:t>
      </w:r>
      <w:r>
        <w:rPr>
          <w:rFonts w:ascii="仿宋_GB2312" w:eastAsia="仿宋_GB2312"/>
          <w:bCs/>
          <w:sz w:val="32"/>
          <w:szCs w:val="32"/>
        </w:rPr>
        <w:t>果</w:t>
      </w:r>
      <w:r>
        <w:rPr>
          <w:rFonts w:hint="eastAsia" w:ascii="仿宋_GB2312" w:eastAsia="仿宋_GB2312"/>
          <w:bCs/>
          <w:sz w:val="32"/>
          <w:szCs w:val="32"/>
        </w:rPr>
        <w:t>履约</w:t>
      </w:r>
      <w:r>
        <w:rPr>
          <w:rFonts w:ascii="仿宋_GB2312" w:eastAsia="仿宋_GB2312"/>
          <w:bCs/>
          <w:sz w:val="32"/>
          <w:szCs w:val="32"/>
        </w:rPr>
        <w:t>年度</w:t>
      </w:r>
      <w:r>
        <w:rPr>
          <w:rFonts w:hint="eastAsia" w:ascii="仿宋_GB2312" w:eastAsia="仿宋_GB2312"/>
          <w:bCs/>
          <w:sz w:val="32"/>
          <w:szCs w:val="32"/>
        </w:rPr>
        <w:t>初始配额</w:t>
      </w:r>
      <w:r>
        <w:rPr>
          <w:rFonts w:ascii="仿宋_GB2312" w:eastAsia="仿宋_GB2312"/>
          <w:bCs/>
          <w:sz w:val="32"/>
          <w:szCs w:val="32"/>
        </w:rPr>
        <w:t>亏缺</w:t>
      </w:r>
      <w:r>
        <w:rPr>
          <w:rFonts w:hint="eastAsia" w:ascii="仿宋_GB2312" w:eastAsia="仿宋_GB2312"/>
          <w:bCs/>
          <w:sz w:val="32"/>
          <w:szCs w:val="32"/>
        </w:rPr>
        <w:t>量相比履约</w:t>
      </w:r>
      <w:r>
        <w:rPr>
          <w:rFonts w:ascii="仿宋_GB2312" w:eastAsia="仿宋_GB2312"/>
          <w:bCs/>
          <w:sz w:val="32"/>
          <w:szCs w:val="32"/>
        </w:rPr>
        <w:t>年度</w:t>
      </w:r>
      <w:r>
        <w:rPr>
          <w:rFonts w:hint="eastAsia" w:ascii="仿宋_GB2312" w:eastAsia="仿宋_GB2312"/>
          <w:bCs/>
          <w:sz w:val="32"/>
          <w:szCs w:val="32"/>
        </w:rPr>
        <w:t>排放量占比超过2</w:t>
      </w:r>
      <w:r>
        <w:rPr>
          <w:rFonts w:ascii="仿宋_GB2312" w:eastAsia="仿宋_GB2312"/>
          <w:bCs/>
          <w:sz w:val="32"/>
          <w:szCs w:val="32"/>
        </w:rPr>
        <w:t>0</w:t>
      </w:r>
      <w:r>
        <w:rPr>
          <w:rFonts w:hint="eastAsia" w:ascii="仿宋_GB2312" w:eastAsia="仿宋_GB2312"/>
          <w:bCs/>
          <w:sz w:val="32"/>
          <w:szCs w:val="32"/>
        </w:rPr>
        <w:t>%（含），则可申请增加超过20</w:t>
      </w:r>
      <w:r>
        <w:rPr>
          <w:rFonts w:ascii="仿宋_GB2312" w:eastAsia="仿宋_GB2312"/>
          <w:bCs/>
          <w:sz w:val="32"/>
          <w:szCs w:val="32"/>
        </w:rPr>
        <w:t>%的</w:t>
      </w:r>
      <w:r>
        <w:rPr>
          <w:rFonts w:hint="eastAsia" w:ascii="仿宋_GB2312" w:eastAsia="仿宋_GB2312"/>
          <w:bCs/>
          <w:sz w:val="32"/>
          <w:szCs w:val="32"/>
        </w:rPr>
        <w:t>那部分配额，配额核增计算公式为：</w:t>
      </w:r>
    </w:p>
    <w:p>
      <w:pPr>
        <w:ind w:firstLine="478" w:firstLineChars="133"/>
        <w:jc w:val="center"/>
        <w:rPr>
          <w:rFonts w:ascii="仿宋_GB2312" w:eastAsia="仿宋_GB2312"/>
          <w:bCs/>
          <w:sz w:val="32"/>
          <w:szCs w:val="32"/>
        </w:rPr>
      </w:pPr>
      <m:oMath>
        <m:sSub>
          <m:sSubPr>
            <m:ctrlPr>
              <w:rPr>
                <w:rFonts w:ascii="Cambria Math" w:hAnsi="Cambria Math" w:eastAsia="仿宋_GB2312"/>
                <w:bCs/>
                <w:sz w:val="36"/>
                <w:szCs w:val="36"/>
              </w:rPr>
            </m:ctrlPr>
          </m:sSubPr>
          <m:e>
            <m:r>
              <m:rPr>
                <m:sty m:val="p"/>
              </m:rPr>
              <w:rPr>
                <w:rFonts w:ascii="Cambria Math" w:hAnsi="Cambria Math" w:eastAsia="仿宋_GB2312"/>
                <w:sz w:val="36"/>
                <w:szCs w:val="36"/>
              </w:rPr>
              <m:t xml:space="preserve">   T</m:t>
            </m:r>
            <m:ctrlPr>
              <w:rPr>
                <w:rFonts w:ascii="Cambria Math" w:hAnsi="Cambria Math" w:eastAsia="仿宋_GB2312"/>
                <w:bCs/>
                <w:sz w:val="36"/>
                <w:szCs w:val="36"/>
              </w:rPr>
            </m:ctrlPr>
          </m:e>
          <m:sub>
            <m:r>
              <m:rPr>
                <m:sty m:val="p"/>
              </m:rPr>
              <w:rPr>
                <w:rFonts w:ascii="Cambria Math" w:hAnsi="Cambria Math" w:eastAsia="仿宋_GB2312"/>
                <w:sz w:val="36"/>
                <w:szCs w:val="36"/>
              </w:rPr>
              <m:t>核增</m:t>
            </m:r>
            <m:ctrlPr>
              <w:rPr>
                <w:rFonts w:ascii="Cambria Math" w:hAnsi="Cambria Math" w:eastAsia="仿宋_GB2312"/>
                <w:bCs/>
                <w:sz w:val="36"/>
                <w:szCs w:val="36"/>
              </w:rPr>
            </m:ctrlPr>
          </m:sub>
        </m:sSub>
        <m:r>
          <m:rPr>
            <m:sty m:val="p"/>
          </m:rPr>
          <w:rPr>
            <w:rFonts w:ascii="Cambria Math" w:hAnsi="Cambria Math" w:eastAsia="仿宋_GB2312"/>
            <w:sz w:val="36"/>
            <w:szCs w:val="36"/>
          </w:rPr>
          <m:t>=</m:t>
        </m:r>
        <m:d>
          <m:dPr>
            <m:begChr m:val="（"/>
            <m:endChr m:val="）"/>
            <m:ctrlPr>
              <w:rPr>
                <w:rFonts w:ascii="Cambria Math" w:hAnsi="Cambria Math" w:eastAsia="仿宋_GB2312"/>
                <w:bCs/>
                <w:sz w:val="36"/>
                <w:szCs w:val="36"/>
              </w:rPr>
            </m:ctrlPr>
          </m:dPr>
          <m:e>
            <m:f>
              <m:fPr>
                <m:ctrlPr>
                  <w:rPr>
                    <w:rFonts w:ascii="Cambria Math" w:hAnsi="Cambria Math" w:eastAsia="仿宋_GB2312"/>
                    <w:bCs/>
                    <w:sz w:val="36"/>
                    <w:szCs w:val="36"/>
                  </w:rPr>
                </m:ctrlPr>
              </m:fPr>
              <m:num>
                <m:r>
                  <m:rPr>
                    <m:sty m:val="p"/>
                  </m:rPr>
                  <w:rPr>
                    <w:rFonts w:ascii="Cambria Math" w:hAnsi="Cambria Math" w:eastAsia="仿宋_GB2312"/>
                    <w:sz w:val="36"/>
                    <w:szCs w:val="36"/>
                  </w:rPr>
                  <m:t>E−</m:t>
                </m:r>
                <m:sSub>
                  <m:sSubPr>
                    <m:ctrlPr>
                      <w:rPr>
                        <w:rFonts w:ascii="Cambria Math" w:hAnsi="Cambria Math" w:eastAsia="仿宋_GB2312"/>
                        <w:bCs/>
                        <w:sz w:val="36"/>
                        <w:szCs w:val="36"/>
                      </w:rPr>
                    </m:ctrlPr>
                  </m:sSubPr>
                  <m:e>
                    <m:r>
                      <m:rPr>
                        <m:sty m:val="p"/>
                      </m:rPr>
                      <w:rPr>
                        <w:rFonts w:ascii="Cambria Math" w:hAnsi="Cambria Math" w:eastAsia="仿宋_GB2312"/>
                        <w:sz w:val="36"/>
                        <w:szCs w:val="36"/>
                      </w:rPr>
                      <m:t>T</m:t>
                    </m:r>
                    <m:ctrlPr>
                      <w:rPr>
                        <w:rFonts w:ascii="Cambria Math" w:hAnsi="Cambria Math" w:eastAsia="仿宋_GB2312"/>
                        <w:bCs/>
                        <w:sz w:val="36"/>
                        <w:szCs w:val="36"/>
                      </w:rPr>
                    </m:ctrlPr>
                  </m:e>
                  <m:sub>
                    <m:r>
                      <m:rPr>
                        <m:sty m:val="p"/>
                      </m:rPr>
                      <w:rPr>
                        <w:rFonts w:ascii="Cambria Math" w:hAnsi="Cambria Math" w:eastAsia="仿宋_GB2312"/>
                        <w:sz w:val="36"/>
                        <w:szCs w:val="36"/>
                      </w:rPr>
                      <m:t>初始</m:t>
                    </m:r>
                    <m:ctrlPr>
                      <w:rPr>
                        <w:rFonts w:ascii="Cambria Math" w:hAnsi="Cambria Math" w:eastAsia="仿宋_GB2312"/>
                        <w:bCs/>
                        <w:sz w:val="36"/>
                        <w:szCs w:val="36"/>
                      </w:rPr>
                    </m:ctrlPr>
                  </m:sub>
                </m:sSub>
                <m:ctrlPr>
                  <w:rPr>
                    <w:rFonts w:ascii="Cambria Math" w:hAnsi="Cambria Math" w:eastAsia="仿宋_GB2312"/>
                    <w:bCs/>
                    <w:sz w:val="36"/>
                    <w:szCs w:val="36"/>
                  </w:rPr>
                </m:ctrlPr>
              </m:num>
              <m:den>
                <m:r>
                  <m:rPr>
                    <m:sty m:val="p"/>
                  </m:rPr>
                  <w:rPr>
                    <w:rFonts w:ascii="Cambria Math" w:hAnsi="Cambria Math" w:eastAsia="仿宋_GB2312"/>
                    <w:sz w:val="36"/>
                    <w:szCs w:val="36"/>
                  </w:rPr>
                  <m:t>E</m:t>
                </m:r>
                <m:ctrlPr>
                  <w:rPr>
                    <w:rFonts w:ascii="Cambria Math" w:hAnsi="Cambria Math" w:eastAsia="仿宋_GB2312"/>
                    <w:bCs/>
                    <w:sz w:val="36"/>
                    <w:szCs w:val="36"/>
                  </w:rPr>
                </m:ctrlPr>
              </m:den>
            </m:f>
            <m:r>
              <m:rPr>
                <m:sty m:val="p"/>
              </m:rPr>
              <w:rPr>
                <w:rFonts w:ascii="Cambria Math" w:hAnsi="Cambria Math" w:eastAsia="仿宋_GB2312"/>
                <w:sz w:val="36"/>
                <w:szCs w:val="36"/>
              </w:rPr>
              <m:t>∗100%−20%</m:t>
            </m:r>
            <m:ctrlPr>
              <w:rPr>
                <w:rFonts w:ascii="Cambria Math" w:hAnsi="Cambria Math" w:eastAsia="仿宋_GB2312"/>
                <w:bCs/>
                <w:sz w:val="36"/>
                <w:szCs w:val="36"/>
              </w:rPr>
            </m:ctrlPr>
          </m:e>
        </m:d>
        <m:r>
          <m:rPr>
            <m:sty m:val="p"/>
          </m:rPr>
          <w:rPr>
            <w:rFonts w:hint="eastAsia" w:ascii="Cambria Math" w:hAnsi="Cambria Math" w:eastAsia="MS Mincho" w:cs="MS Mincho"/>
            <w:sz w:val="36"/>
            <w:szCs w:val="36"/>
          </w:rPr>
          <m:t>∗</m:t>
        </m:r>
        <m:r>
          <m:rPr>
            <m:sty m:val="p"/>
          </m:rPr>
          <w:rPr>
            <w:rFonts w:ascii="Cambria Math" w:hAnsi="Cambria Math" w:eastAsia="仿宋_GB2312"/>
            <w:sz w:val="36"/>
            <w:szCs w:val="36"/>
          </w:rPr>
          <m:t>E</m:t>
        </m:r>
      </m:oMath>
      <w:r>
        <w:rPr>
          <w:rFonts w:hint="eastAsia" w:ascii="仿宋_GB2312" w:hAnsi="仿宋_GB2312" w:eastAsia="仿宋_GB2312" w:cs="仿宋_GB2312"/>
          <w:bCs/>
          <w:sz w:val="32"/>
          <w:szCs w:val="32"/>
        </w:rPr>
        <w:t>（2）</w:t>
      </w:r>
    </w:p>
    <w:p>
      <w:pPr>
        <w:ind w:firstLine="640" w:firstLineChars="200"/>
        <w:rPr>
          <w:rFonts w:ascii="仿宋_GB2312" w:eastAsia="仿宋_GB2312"/>
          <w:bCs/>
          <w:sz w:val="32"/>
          <w:szCs w:val="32"/>
        </w:rPr>
      </w:pPr>
      <w:r>
        <w:rPr>
          <w:rFonts w:hint="eastAsia" w:ascii="仿宋_GB2312" w:eastAsia="仿宋_GB2312"/>
          <w:bCs/>
          <w:sz w:val="32"/>
          <w:szCs w:val="32"/>
        </w:rPr>
        <w:t>公式中（2）中计量单位为吨；E为履约年度二氧化碳排放量；</w:t>
      </w:r>
      <m:oMath>
        <m:sSub>
          <m:sSubPr>
            <m:ctrlPr>
              <w:rPr>
                <w:rFonts w:ascii="Cambria Math" w:hAnsi="Cambria Math" w:eastAsia="仿宋_GB2312"/>
                <w:bCs/>
                <w:sz w:val="36"/>
                <w:szCs w:val="36"/>
              </w:rPr>
            </m:ctrlPr>
          </m:sSubPr>
          <m:e>
            <m:r>
              <m:rPr>
                <m:sty m:val="p"/>
              </m:rPr>
              <w:rPr>
                <w:rFonts w:ascii="Cambria Math" w:hAnsi="Cambria Math" w:eastAsia="仿宋_GB2312"/>
                <w:sz w:val="36"/>
                <w:szCs w:val="36"/>
              </w:rPr>
              <m:t>T</m:t>
            </m:r>
            <m:ctrlPr>
              <w:rPr>
                <w:rFonts w:ascii="Cambria Math" w:hAnsi="Cambria Math" w:eastAsia="仿宋_GB2312"/>
                <w:bCs/>
                <w:sz w:val="36"/>
                <w:szCs w:val="36"/>
              </w:rPr>
            </m:ctrlPr>
          </m:e>
          <m:sub>
            <m:r>
              <m:rPr>
                <m:sty m:val="p"/>
              </m:rPr>
              <w:rPr>
                <w:rFonts w:ascii="Cambria Math" w:hAnsi="Cambria Math" w:eastAsia="仿宋_GB2312"/>
                <w:sz w:val="36"/>
                <w:szCs w:val="36"/>
              </w:rPr>
              <m:t>初始</m:t>
            </m:r>
            <m:ctrlPr>
              <w:rPr>
                <w:rFonts w:ascii="Cambria Math" w:hAnsi="Cambria Math" w:eastAsia="仿宋_GB2312"/>
                <w:bCs/>
                <w:sz w:val="36"/>
                <w:szCs w:val="36"/>
              </w:rPr>
            </m:ctrlPr>
          </m:sub>
        </m:sSub>
      </m:oMath>
      <w:r>
        <w:rPr>
          <w:rFonts w:hint="eastAsia" w:ascii="仿宋_GB2312" w:eastAsia="仿宋_GB2312"/>
          <w:bCs/>
          <w:sz w:val="32"/>
          <w:szCs w:val="32"/>
        </w:rPr>
        <w:t>为履约年度二氧化碳初始全部配额。</w:t>
      </w:r>
    </w:p>
    <w:p>
      <w:pPr>
        <w:spacing w:line="360" w:lineRule="auto"/>
        <w:ind w:firstLine="627" w:firstLineChars="196"/>
        <w:rPr>
          <w:rFonts w:ascii="楷体_GB2312" w:eastAsia="楷体_GB2312"/>
          <w:bCs/>
          <w:sz w:val="32"/>
          <w:szCs w:val="32"/>
        </w:rPr>
      </w:pPr>
      <w:r>
        <w:rPr>
          <w:rFonts w:hint="eastAsia" w:ascii="楷体_GB2312" w:eastAsia="楷体_GB2312"/>
          <w:bCs/>
          <w:sz w:val="32"/>
          <w:szCs w:val="32"/>
        </w:rPr>
        <w:t>（二）配额核减</w:t>
      </w:r>
    </w:p>
    <w:p>
      <w:pPr>
        <w:ind w:firstLine="640" w:firstLineChars="200"/>
        <w:rPr>
          <w:rFonts w:ascii="仿宋_GB2312" w:eastAsia="仿宋_GB2312"/>
          <w:bCs/>
          <w:sz w:val="32"/>
          <w:szCs w:val="32"/>
        </w:rPr>
      </w:pPr>
      <w:r>
        <w:rPr>
          <w:rFonts w:hint="eastAsia" w:ascii="仿宋_GB2312" w:eastAsia="仿宋_GB2312"/>
          <w:bCs/>
          <w:sz w:val="32"/>
          <w:szCs w:val="32"/>
        </w:rPr>
        <w:t>如</w:t>
      </w:r>
      <w:r>
        <w:rPr>
          <w:rFonts w:ascii="仿宋_GB2312" w:eastAsia="仿宋_GB2312"/>
          <w:bCs/>
          <w:sz w:val="32"/>
          <w:szCs w:val="32"/>
        </w:rPr>
        <w:t>果</w:t>
      </w:r>
      <w:r>
        <w:rPr>
          <w:rFonts w:hint="eastAsia" w:ascii="仿宋_GB2312" w:eastAsia="仿宋_GB2312"/>
          <w:bCs/>
          <w:sz w:val="32"/>
          <w:szCs w:val="32"/>
        </w:rPr>
        <w:t>履约</w:t>
      </w:r>
      <w:r>
        <w:rPr>
          <w:rFonts w:ascii="仿宋_GB2312" w:eastAsia="仿宋_GB2312"/>
          <w:bCs/>
          <w:sz w:val="32"/>
          <w:szCs w:val="32"/>
        </w:rPr>
        <w:t>年度</w:t>
      </w:r>
      <w:r>
        <w:rPr>
          <w:rFonts w:hint="eastAsia" w:ascii="仿宋_GB2312" w:eastAsia="仿宋_GB2312"/>
          <w:bCs/>
          <w:sz w:val="32"/>
          <w:szCs w:val="32"/>
        </w:rPr>
        <w:t>初始配额富余量相比履约</w:t>
      </w:r>
      <w:r>
        <w:rPr>
          <w:rFonts w:ascii="仿宋_GB2312" w:eastAsia="仿宋_GB2312"/>
          <w:bCs/>
          <w:sz w:val="32"/>
          <w:szCs w:val="32"/>
        </w:rPr>
        <w:t>年度</w:t>
      </w:r>
      <w:r>
        <w:rPr>
          <w:rFonts w:hint="eastAsia" w:ascii="仿宋_GB2312" w:eastAsia="仿宋_GB2312"/>
          <w:bCs/>
          <w:sz w:val="32"/>
          <w:szCs w:val="32"/>
        </w:rPr>
        <w:t>排放量占比超过2</w:t>
      </w:r>
      <w:r>
        <w:rPr>
          <w:rFonts w:ascii="仿宋_GB2312" w:eastAsia="仿宋_GB2312"/>
          <w:bCs/>
          <w:sz w:val="32"/>
          <w:szCs w:val="32"/>
        </w:rPr>
        <w:t>0</w:t>
      </w:r>
      <w:r>
        <w:rPr>
          <w:rFonts w:hint="eastAsia" w:ascii="仿宋_GB2312" w:eastAsia="仿宋_GB2312"/>
          <w:bCs/>
          <w:sz w:val="32"/>
          <w:szCs w:val="32"/>
        </w:rPr>
        <w:t>%（含），则需核减超过20</w:t>
      </w:r>
      <w:r>
        <w:rPr>
          <w:rFonts w:ascii="仿宋_GB2312" w:eastAsia="仿宋_GB2312"/>
          <w:bCs/>
          <w:sz w:val="32"/>
          <w:szCs w:val="32"/>
        </w:rPr>
        <w:t>%的</w:t>
      </w:r>
      <w:r>
        <w:rPr>
          <w:rFonts w:hint="eastAsia" w:ascii="仿宋_GB2312" w:eastAsia="仿宋_GB2312"/>
          <w:bCs/>
          <w:sz w:val="32"/>
          <w:szCs w:val="32"/>
        </w:rPr>
        <w:t>那部分配额，配额核减计算公式为：</w:t>
      </w:r>
    </w:p>
    <w:p>
      <w:pPr>
        <w:ind w:firstLine="720" w:firstLineChars="200"/>
        <w:rPr>
          <w:rFonts w:ascii="仿宋_GB2312" w:eastAsia="仿宋_GB2312"/>
          <w:bCs/>
          <w:sz w:val="32"/>
          <w:szCs w:val="32"/>
        </w:rPr>
      </w:pPr>
      <m:oMath>
        <m:sSub>
          <m:sSubPr>
            <m:ctrlPr>
              <w:rPr>
                <w:rFonts w:ascii="Cambria Math" w:hAnsi="Cambria Math" w:eastAsia="仿宋_GB2312"/>
                <w:bCs/>
                <w:sz w:val="36"/>
                <w:szCs w:val="36"/>
              </w:rPr>
            </m:ctrlPr>
          </m:sSubPr>
          <m:e>
            <m:r>
              <m:rPr>
                <m:sty m:val="p"/>
              </m:rPr>
              <w:rPr>
                <w:rFonts w:ascii="Cambria Math" w:hAnsi="Cambria Math" w:eastAsia="仿宋_GB2312"/>
                <w:sz w:val="36"/>
                <w:szCs w:val="36"/>
              </w:rPr>
              <m:t xml:space="preserve">   T</m:t>
            </m:r>
            <m:ctrlPr>
              <w:rPr>
                <w:rFonts w:ascii="Cambria Math" w:hAnsi="Cambria Math" w:eastAsia="仿宋_GB2312"/>
                <w:bCs/>
                <w:sz w:val="36"/>
                <w:szCs w:val="36"/>
              </w:rPr>
            </m:ctrlPr>
          </m:e>
          <m:sub>
            <m:r>
              <m:rPr>
                <m:sty m:val="p"/>
              </m:rPr>
              <w:rPr>
                <w:rFonts w:ascii="Cambria Math" w:hAnsi="Cambria Math" w:eastAsia="仿宋_GB2312"/>
                <w:sz w:val="36"/>
                <w:szCs w:val="36"/>
              </w:rPr>
              <m:t>核减</m:t>
            </m:r>
            <m:ctrlPr>
              <w:rPr>
                <w:rFonts w:ascii="Cambria Math" w:hAnsi="Cambria Math" w:eastAsia="仿宋_GB2312"/>
                <w:bCs/>
                <w:sz w:val="36"/>
                <w:szCs w:val="36"/>
              </w:rPr>
            </m:ctrlPr>
          </m:sub>
        </m:sSub>
        <m:r>
          <m:rPr>
            <m:sty m:val="p"/>
          </m:rPr>
          <w:rPr>
            <w:rFonts w:ascii="Cambria Math" w:hAnsi="Cambria Math" w:eastAsia="仿宋_GB2312"/>
            <w:sz w:val="36"/>
            <w:szCs w:val="36"/>
          </w:rPr>
          <m:t>=</m:t>
        </m:r>
        <m:d>
          <m:dPr>
            <m:begChr m:val="（"/>
            <m:endChr m:val="）"/>
            <m:ctrlPr>
              <w:rPr>
                <w:rFonts w:ascii="Cambria Math" w:hAnsi="Cambria Math" w:eastAsia="仿宋_GB2312"/>
                <w:bCs/>
                <w:sz w:val="36"/>
                <w:szCs w:val="36"/>
              </w:rPr>
            </m:ctrlPr>
          </m:dPr>
          <m:e>
            <m:f>
              <m:fPr>
                <m:ctrlPr>
                  <w:rPr>
                    <w:rFonts w:ascii="Cambria Math" w:hAnsi="Cambria Math" w:eastAsia="仿宋_GB2312"/>
                    <w:bCs/>
                    <w:sz w:val="36"/>
                    <w:szCs w:val="36"/>
                  </w:rPr>
                </m:ctrlPr>
              </m:fPr>
              <m:num>
                <m:sSub>
                  <m:sSubPr>
                    <m:ctrlPr>
                      <w:rPr>
                        <w:rFonts w:ascii="Cambria Math" w:hAnsi="Cambria Math" w:eastAsia="仿宋_GB2312"/>
                        <w:bCs/>
                        <w:sz w:val="36"/>
                        <w:szCs w:val="36"/>
                      </w:rPr>
                    </m:ctrlPr>
                  </m:sSubPr>
                  <m:e>
                    <m:r>
                      <m:rPr>
                        <m:sty m:val="p"/>
                      </m:rPr>
                      <w:rPr>
                        <w:rFonts w:ascii="Cambria Math" w:hAnsi="Cambria Math" w:eastAsia="仿宋_GB2312"/>
                        <w:sz w:val="36"/>
                        <w:szCs w:val="36"/>
                      </w:rPr>
                      <m:t>T</m:t>
                    </m:r>
                    <m:ctrlPr>
                      <w:rPr>
                        <w:rFonts w:ascii="Cambria Math" w:hAnsi="Cambria Math" w:eastAsia="仿宋_GB2312"/>
                        <w:bCs/>
                        <w:sz w:val="36"/>
                        <w:szCs w:val="36"/>
                      </w:rPr>
                    </m:ctrlPr>
                  </m:e>
                  <m:sub>
                    <m:r>
                      <m:rPr>
                        <m:sty m:val="p"/>
                      </m:rPr>
                      <w:rPr>
                        <w:rFonts w:ascii="Cambria Math" w:hAnsi="Cambria Math" w:eastAsia="仿宋_GB2312"/>
                        <w:sz w:val="36"/>
                        <w:szCs w:val="36"/>
                      </w:rPr>
                      <m:t>初始</m:t>
                    </m:r>
                    <m:ctrlPr>
                      <w:rPr>
                        <w:rFonts w:ascii="Cambria Math" w:hAnsi="Cambria Math" w:eastAsia="仿宋_GB2312"/>
                        <w:bCs/>
                        <w:sz w:val="36"/>
                        <w:szCs w:val="36"/>
                      </w:rPr>
                    </m:ctrlPr>
                  </m:sub>
                </m:sSub>
                <m:r>
                  <m:rPr>
                    <m:sty m:val="p"/>
                  </m:rPr>
                  <w:rPr>
                    <w:rFonts w:ascii="Cambria Math" w:hAnsi="Cambria Math" w:eastAsia="仿宋_GB2312"/>
                    <w:sz w:val="36"/>
                    <w:szCs w:val="36"/>
                  </w:rPr>
                  <m:t>−E</m:t>
                </m:r>
                <m:ctrlPr>
                  <w:rPr>
                    <w:rFonts w:ascii="Cambria Math" w:hAnsi="Cambria Math" w:eastAsia="仿宋_GB2312"/>
                    <w:bCs/>
                    <w:sz w:val="36"/>
                    <w:szCs w:val="36"/>
                  </w:rPr>
                </m:ctrlPr>
              </m:num>
              <m:den>
                <m:r>
                  <m:rPr>
                    <m:sty m:val="p"/>
                  </m:rPr>
                  <w:rPr>
                    <w:rFonts w:ascii="Cambria Math" w:hAnsi="Cambria Math" w:eastAsia="仿宋_GB2312"/>
                    <w:sz w:val="36"/>
                    <w:szCs w:val="36"/>
                  </w:rPr>
                  <m:t>E</m:t>
                </m:r>
                <m:ctrlPr>
                  <w:rPr>
                    <w:rFonts w:ascii="Cambria Math" w:hAnsi="Cambria Math" w:eastAsia="仿宋_GB2312"/>
                    <w:bCs/>
                    <w:sz w:val="36"/>
                    <w:szCs w:val="36"/>
                  </w:rPr>
                </m:ctrlPr>
              </m:den>
            </m:f>
            <m:r>
              <m:rPr>
                <m:sty m:val="p"/>
              </m:rPr>
              <w:rPr>
                <w:rFonts w:ascii="Cambria Math" w:hAnsi="Cambria Math" w:eastAsia="仿宋_GB2312"/>
                <w:sz w:val="36"/>
                <w:szCs w:val="36"/>
              </w:rPr>
              <m:t>∗100%−20%</m:t>
            </m:r>
            <m:ctrlPr>
              <w:rPr>
                <w:rFonts w:ascii="Cambria Math" w:hAnsi="Cambria Math" w:eastAsia="仿宋_GB2312"/>
                <w:bCs/>
                <w:sz w:val="36"/>
                <w:szCs w:val="36"/>
              </w:rPr>
            </m:ctrlPr>
          </m:e>
        </m:d>
        <m:r>
          <m:rPr>
            <m:sty m:val="p"/>
          </m:rPr>
          <w:rPr>
            <w:rFonts w:hint="eastAsia" w:ascii="Cambria Math" w:hAnsi="Cambria Math" w:eastAsia="MS Mincho" w:cs="MS Mincho"/>
            <w:sz w:val="36"/>
            <w:szCs w:val="36"/>
          </w:rPr>
          <m:t>∗</m:t>
        </m:r>
        <m:r>
          <m:rPr>
            <m:sty m:val="p"/>
          </m:rPr>
          <w:rPr>
            <w:rFonts w:ascii="Cambria Math" w:hAnsi="Cambria Math" w:eastAsia="MS Mincho" w:cs="MS Mincho"/>
            <w:sz w:val="36"/>
            <w:szCs w:val="36"/>
          </w:rPr>
          <m:t>E</m:t>
        </m:r>
      </m:oMath>
      <w:r>
        <w:rPr>
          <w:rFonts w:hint="eastAsia" w:ascii="仿宋_GB2312" w:hAnsi="仿宋_GB2312" w:eastAsia="仿宋_GB2312" w:cs="仿宋_GB2312"/>
          <w:bCs/>
          <w:sz w:val="32"/>
          <w:szCs w:val="32"/>
        </w:rPr>
        <w:t>（</w:t>
      </w:r>
      <w:r>
        <w:rPr>
          <w:rFonts w:ascii="仿宋_GB2312" w:hAnsi="仿宋_GB2312" w:eastAsia="仿宋_GB2312" w:cs="仿宋_GB2312"/>
          <w:bCs/>
          <w:sz w:val="32"/>
          <w:szCs w:val="32"/>
        </w:rPr>
        <w:t>3</w:t>
      </w:r>
      <w:r>
        <w:rPr>
          <w:rFonts w:hint="eastAsia" w:ascii="仿宋_GB2312" w:hAnsi="仿宋_GB2312" w:eastAsia="仿宋_GB2312" w:cs="仿宋_GB2312"/>
          <w:bCs/>
          <w:sz w:val="32"/>
          <w:szCs w:val="32"/>
        </w:rPr>
        <w:t>）</w:t>
      </w:r>
      <w:r>
        <w:rPr>
          <w:rFonts w:hint="eastAsia" w:ascii="仿宋_GB2312" w:eastAsia="仿宋_GB2312"/>
          <w:bCs/>
          <w:sz w:val="32"/>
          <w:szCs w:val="32"/>
        </w:rPr>
        <w:t>公式中（</w:t>
      </w:r>
      <w:r>
        <w:rPr>
          <w:rFonts w:ascii="仿宋_GB2312" w:eastAsia="仿宋_GB2312"/>
          <w:bCs/>
          <w:sz w:val="32"/>
          <w:szCs w:val="32"/>
        </w:rPr>
        <w:t>3</w:t>
      </w:r>
      <w:r>
        <w:rPr>
          <w:rFonts w:hint="eastAsia" w:ascii="仿宋_GB2312" w:eastAsia="仿宋_GB2312"/>
          <w:bCs/>
          <w:sz w:val="32"/>
          <w:szCs w:val="32"/>
        </w:rPr>
        <w:t>）中计量单位为吨；E为履约年度二氧化碳排放量；</w:t>
      </w:r>
      <m:oMath>
        <m:sSub>
          <m:sSubPr>
            <m:ctrlPr>
              <w:rPr>
                <w:rFonts w:ascii="Cambria Math" w:hAnsi="Cambria Math" w:eastAsia="仿宋_GB2312"/>
                <w:bCs/>
                <w:sz w:val="36"/>
                <w:szCs w:val="36"/>
              </w:rPr>
            </m:ctrlPr>
          </m:sSubPr>
          <m:e>
            <m:r>
              <m:rPr>
                <m:sty m:val="p"/>
              </m:rPr>
              <w:rPr>
                <w:rFonts w:ascii="Cambria Math" w:hAnsi="Cambria Math" w:eastAsia="仿宋_GB2312"/>
                <w:sz w:val="36"/>
                <w:szCs w:val="36"/>
              </w:rPr>
              <m:t>T</m:t>
            </m:r>
            <m:ctrlPr>
              <w:rPr>
                <w:rFonts w:ascii="Cambria Math" w:hAnsi="Cambria Math" w:eastAsia="仿宋_GB2312"/>
                <w:bCs/>
                <w:sz w:val="36"/>
                <w:szCs w:val="36"/>
              </w:rPr>
            </m:ctrlPr>
          </m:e>
          <m:sub>
            <m:r>
              <m:rPr>
                <m:sty m:val="p"/>
              </m:rPr>
              <w:rPr>
                <w:rFonts w:ascii="Cambria Math" w:hAnsi="Cambria Math" w:eastAsia="仿宋_GB2312"/>
                <w:sz w:val="36"/>
                <w:szCs w:val="36"/>
              </w:rPr>
              <m:t>初始</m:t>
            </m:r>
            <m:ctrlPr>
              <w:rPr>
                <w:rFonts w:ascii="Cambria Math" w:hAnsi="Cambria Math" w:eastAsia="仿宋_GB2312"/>
                <w:bCs/>
                <w:sz w:val="36"/>
                <w:szCs w:val="36"/>
              </w:rPr>
            </m:ctrlPr>
          </m:sub>
        </m:sSub>
      </m:oMath>
      <w:r>
        <w:rPr>
          <w:rFonts w:hint="eastAsia" w:ascii="仿宋_GB2312" w:eastAsia="仿宋_GB2312"/>
          <w:bCs/>
          <w:sz w:val="32"/>
          <w:szCs w:val="32"/>
        </w:rPr>
        <w:t>为履约年度二氧化碳初始全部配额。</w:t>
      </w:r>
    </w:p>
    <w:p>
      <w:pPr>
        <w:ind w:firstLine="640" w:firstLineChars="200"/>
        <w:rPr>
          <w:rFonts w:ascii="黑体" w:hAnsi="黑体" w:eastAsia="黑体"/>
          <w:bCs/>
          <w:sz w:val="32"/>
          <w:szCs w:val="32"/>
        </w:rPr>
      </w:pPr>
      <w:r>
        <w:rPr>
          <w:rFonts w:hint="eastAsia" w:ascii="黑体" w:hAnsi="黑体" w:eastAsia="黑体"/>
          <w:bCs/>
          <w:sz w:val="32"/>
          <w:szCs w:val="32"/>
        </w:rPr>
        <w:t>二、需提交的相关材料</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（一）</w:t>
      </w:r>
      <w:r>
        <w:rPr>
          <w:rFonts w:ascii="仿宋_GB2312" w:eastAsia="仿宋_GB2312"/>
          <w:bCs/>
          <w:sz w:val="32"/>
          <w:szCs w:val="32"/>
        </w:rPr>
        <w:t>符合配额核增条件的</w:t>
      </w:r>
      <w:r>
        <w:rPr>
          <w:rFonts w:hint="eastAsia" w:ascii="仿宋_GB2312" w:eastAsia="仿宋_GB2312"/>
          <w:bCs/>
          <w:sz w:val="32"/>
          <w:szCs w:val="32"/>
        </w:rPr>
        <w:t>重点</w:t>
      </w:r>
      <w:r>
        <w:rPr>
          <w:rFonts w:ascii="仿宋_GB2312" w:eastAsia="仿宋_GB2312"/>
          <w:bCs/>
          <w:sz w:val="32"/>
          <w:szCs w:val="32"/>
        </w:rPr>
        <w:t>碳排放单位，需要提交以下材料，</w:t>
      </w:r>
      <w:r>
        <w:rPr>
          <w:rFonts w:hint="eastAsia" w:ascii="仿宋_GB2312" w:eastAsia="仿宋_GB2312"/>
          <w:bCs/>
          <w:sz w:val="32"/>
          <w:szCs w:val="32"/>
        </w:rPr>
        <w:t>市生态</w:t>
      </w:r>
      <w:r>
        <w:rPr>
          <w:rFonts w:ascii="仿宋_GB2312" w:eastAsia="仿宋_GB2312"/>
          <w:bCs/>
          <w:sz w:val="32"/>
          <w:szCs w:val="32"/>
        </w:rPr>
        <w:t>环境局将</w:t>
      </w:r>
      <w:r>
        <w:rPr>
          <w:rFonts w:hint="eastAsia" w:ascii="仿宋_GB2312" w:eastAsia="仿宋_GB2312"/>
          <w:bCs/>
          <w:sz w:val="32"/>
          <w:szCs w:val="32"/>
        </w:rPr>
        <w:t>根据</w:t>
      </w:r>
      <w:r>
        <w:rPr>
          <w:rFonts w:ascii="仿宋_GB2312" w:eastAsia="仿宋_GB2312"/>
          <w:bCs/>
          <w:sz w:val="32"/>
          <w:szCs w:val="32"/>
        </w:rPr>
        <w:t>核查和抽查结果</w:t>
      </w:r>
      <w:r>
        <w:rPr>
          <w:rFonts w:hint="eastAsia" w:ascii="仿宋_GB2312" w:eastAsia="仿宋_GB2312"/>
          <w:bCs/>
          <w:sz w:val="32"/>
          <w:szCs w:val="32"/>
        </w:rPr>
        <w:t>，核增</w:t>
      </w:r>
      <w:r>
        <w:rPr>
          <w:rFonts w:ascii="仿宋_GB2312" w:eastAsia="仿宋_GB2312"/>
          <w:bCs/>
          <w:sz w:val="32"/>
          <w:szCs w:val="32"/>
        </w:rPr>
        <w:t>相应配额。</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一是重点碳排放单位配额调整申请，包括本单位碳排放基本情况，配额申请调增的理由，初步测算的配额调增量及相关数据（包括计算过程数据）。</w:t>
      </w:r>
    </w:p>
    <w:p>
      <w:pPr>
        <w:spacing w:line="360" w:lineRule="auto"/>
        <w:ind w:firstLine="640" w:firstLineChars="200"/>
        <w:rPr>
          <w:rFonts w:ascii="仿宋_GB2312" w:eastAsia="仿宋_GB2312"/>
          <w:bCs/>
          <w:sz w:val="32"/>
          <w:szCs w:val="32"/>
        </w:rPr>
      </w:pPr>
      <w:r>
        <w:rPr>
          <w:rFonts w:hint="eastAsia" w:ascii="仿宋_GB2312" w:eastAsia="仿宋_GB2312"/>
          <w:bCs/>
          <w:sz w:val="32"/>
          <w:szCs w:val="32"/>
        </w:rPr>
        <w:t>二是符合申请条件的证明材料。如企业成立证明材料、符合</w:t>
      </w:r>
      <w:r>
        <w:rPr>
          <w:rFonts w:ascii="仿宋_GB2312" w:eastAsia="仿宋_GB2312"/>
          <w:bCs/>
          <w:sz w:val="32"/>
          <w:szCs w:val="32"/>
        </w:rPr>
        <w:t>本市产业</w:t>
      </w:r>
      <w:r>
        <w:rPr>
          <w:rFonts w:hint="eastAsia" w:ascii="仿宋_GB2312" w:eastAsia="仿宋_GB2312"/>
          <w:bCs/>
          <w:sz w:val="32"/>
          <w:szCs w:val="32"/>
        </w:rPr>
        <w:t>结构</w:t>
      </w:r>
      <w:r>
        <w:rPr>
          <w:rFonts w:ascii="仿宋_GB2312" w:eastAsia="仿宋_GB2312"/>
          <w:bCs/>
          <w:sz w:val="32"/>
          <w:szCs w:val="32"/>
        </w:rPr>
        <w:t>调整的证明材料、</w:t>
      </w:r>
      <w:r>
        <w:rPr>
          <w:rFonts w:hint="eastAsia" w:ascii="仿宋_GB2312" w:eastAsia="仿宋_GB2312"/>
          <w:bCs/>
          <w:sz w:val="32"/>
          <w:szCs w:val="32"/>
        </w:rPr>
        <w:t>年度历史数据变化较大的</w:t>
      </w:r>
      <w:r>
        <w:rPr>
          <w:rFonts w:ascii="仿宋_GB2312" w:eastAsia="仿宋_GB2312"/>
          <w:bCs/>
          <w:sz w:val="32"/>
          <w:szCs w:val="32"/>
        </w:rPr>
        <w:t>原因</w:t>
      </w:r>
      <w:r>
        <w:rPr>
          <w:rFonts w:hint="eastAsia" w:ascii="仿宋_GB2312" w:eastAsia="仿宋_GB2312"/>
          <w:bCs/>
          <w:sz w:val="32"/>
          <w:szCs w:val="32"/>
        </w:rPr>
        <w:t>证明材料等。</w:t>
      </w:r>
    </w:p>
    <w:p>
      <w:pPr>
        <w:tabs>
          <w:tab w:val="left" w:pos="7350"/>
        </w:tabs>
        <w:spacing w:line="360" w:lineRule="auto"/>
        <w:ind w:firstLine="640" w:firstLineChars="200"/>
        <w:rPr>
          <w:rFonts w:ascii="仿宋_GB2312" w:eastAsia="仿宋_GB2312"/>
          <w:bCs/>
          <w:sz w:val="32"/>
          <w:szCs w:val="32"/>
        </w:rPr>
      </w:pPr>
      <w:r>
        <w:rPr>
          <w:rFonts w:hint="eastAsia" w:ascii="仿宋_GB2312" w:eastAsia="仿宋_GB2312"/>
          <w:bCs/>
          <w:sz w:val="32"/>
          <w:szCs w:val="32"/>
        </w:rPr>
        <w:t>三是符合申请条件的碳排放数据情况说明。如碳排放数据变化</w:t>
      </w:r>
      <w:r>
        <w:rPr>
          <w:rFonts w:ascii="仿宋_GB2312" w:eastAsia="仿宋_GB2312"/>
          <w:bCs/>
          <w:sz w:val="32"/>
          <w:szCs w:val="32"/>
        </w:rPr>
        <w:t>的</w:t>
      </w:r>
      <w:r>
        <w:rPr>
          <w:rFonts w:hint="eastAsia" w:ascii="仿宋_GB2312" w:eastAsia="仿宋_GB2312"/>
          <w:bCs/>
          <w:sz w:val="32"/>
          <w:szCs w:val="32"/>
        </w:rPr>
        <w:t xml:space="preserve">测算依据及证明材料等。 </w:t>
      </w:r>
    </w:p>
    <w:p>
      <w:pPr>
        <w:tabs>
          <w:tab w:val="left" w:pos="7350"/>
        </w:tabs>
        <w:spacing w:line="360" w:lineRule="auto"/>
        <w:ind w:firstLine="640" w:firstLineChars="200"/>
        <w:rPr>
          <w:rFonts w:ascii="仿宋_GB2312" w:eastAsia="仿宋_GB2312"/>
          <w:bCs/>
          <w:sz w:val="32"/>
          <w:szCs w:val="32"/>
        </w:rPr>
      </w:pPr>
      <w:r>
        <w:rPr>
          <w:rFonts w:hint="eastAsia" w:ascii="仿宋_GB2312" w:eastAsia="仿宋_GB2312"/>
          <w:bCs/>
          <w:sz w:val="32"/>
          <w:szCs w:val="32"/>
        </w:rPr>
        <w:t>以上材料需经第三方核查机构核证，并加盖本单位和核查单位公章，并</w:t>
      </w:r>
      <w:r>
        <w:rPr>
          <w:rFonts w:ascii="仿宋_GB2312" w:eastAsia="仿宋_GB2312"/>
          <w:bCs/>
          <w:sz w:val="32"/>
          <w:szCs w:val="32"/>
        </w:rPr>
        <w:t>通过</w:t>
      </w:r>
      <w:r>
        <w:rPr>
          <w:rFonts w:hint="eastAsia" w:ascii="仿宋_GB2312" w:eastAsia="仿宋_GB2312"/>
          <w:bCs/>
          <w:sz w:val="32"/>
          <w:szCs w:val="32"/>
        </w:rPr>
        <w:t>系统上传。</w:t>
      </w:r>
    </w:p>
    <w:p>
      <w:pPr>
        <w:widowControl/>
        <w:ind w:firstLine="640" w:firstLineChars="200"/>
        <w:jc w:val="left"/>
      </w:pPr>
      <w:r>
        <w:rPr>
          <w:rFonts w:hint="eastAsia" w:ascii="仿宋_GB2312" w:eastAsia="仿宋_GB2312"/>
          <w:bCs/>
          <w:sz w:val="32"/>
          <w:szCs w:val="32"/>
        </w:rPr>
        <w:t>（二）</w:t>
      </w:r>
      <w:r>
        <w:rPr>
          <w:rFonts w:ascii="仿宋_GB2312" w:eastAsia="仿宋_GB2312"/>
          <w:bCs/>
          <w:sz w:val="32"/>
          <w:szCs w:val="32"/>
        </w:rPr>
        <w:t>符合配额核减条件的重点碳排放</w:t>
      </w:r>
      <w:r>
        <w:rPr>
          <w:rFonts w:hint="eastAsia" w:ascii="仿宋_GB2312" w:eastAsia="仿宋_GB2312"/>
          <w:bCs/>
          <w:sz w:val="32"/>
          <w:szCs w:val="32"/>
        </w:rPr>
        <w:t>单位</w:t>
      </w:r>
      <w:r>
        <w:rPr>
          <w:rFonts w:ascii="仿宋_GB2312" w:eastAsia="仿宋_GB2312"/>
          <w:bCs/>
          <w:sz w:val="32"/>
          <w:szCs w:val="32"/>
        </w:rPr>
        <w:t>，</w:t>
      </w:r>
      <w:r>
        <w:rPr>
          <w:rFonts w:hint="eastAsia" w:ascii="仿宋_GB2312" w:eastAsia="仿宋_GB2312"/>
          <w:bCs/>
          <w:sz w:val="32"/>
          <w:szCs w:val="32"/>
        </w:rPr>
        <w:t>市生态</w:t>
      </w:r>
      <w:r>
        <w:rPr>
          <w:rFonts w:ascii="仿宋_GB2312" w:eastAsia="仿宋_GB2312"/>
          <w:bCs/>
          <w:sz w:val="32"/>
          <w:szCs w:val="32"/>
        </w:rPr>
        <w:t>环境局将</w:t>
      </w:r>
      <w:r>
        <w:rPr>
          <w:rFonts w:hint="eastAsia" w:ascii="仿宋_GB2312" w:eastAsia="仿宋_GB2312"/>
          <w:bCs/>
          <w:sz w:val="32"/>
          <w:szCs w:val="32"/>
        </w:rPr>
        <w:t>根据</w:t>
      </w:r>
      <w:r>
        <w:rPr>
          <w:rFonts w:ascii="仿宋_GB2312" w:eastAsia="仿宋_GB2312"/>
          <w:bCs/>
          <w:sz w:val="32"/>
          <w:szCs w:val="32"/>
        </w:rPr>
        <w:t>核查和抽查结果直接核减</w:t>
      </w:r>
      <w:r>
        <w:rPr>
          <w:rFonts w:hint="eastAsia" w:ascii="仿宋_GB2312" w:eastAsia="仿宋_GB2312"/>
          <w:bCs/>
          <w:sz w:val="32"/>
          <w:szCs w:val="32"/>
        </w:rPr>
        <w:t>其</w:t>
      </w:r>
      <w:r>
        <w:rPr>
          <w:rFonts w:ascii="仿宋_GB2312" w:eastAsia="仿宋_GB2312"/>
          <w:bCs/>
          <w:sz w:val="32"/>
          <w:szCs w:val="32"/>
        </w:rPr>
        <w:t>相应配额</w:t>
      </w:r>
      <w:r>
        <w:rPr>
          <w:rFonts w:hint="eastAsia" w:ascii="仿宋_GB2312" w:eastAsia="仿宋_GB2312"/>
          <w:bCs/>
          <w:sz w:val="32"/>
          <w:szCs w:val="32"/>
        </w:rPr>
        <w:t>，</w:t>
      </w:r>
      <w:r>
        <w:rPr>
          <w:rFonts w:ascii="仿宋_GB2312" w:eastAsia="仿宋_GB2312"/>
          <w:bCs/>
          <w:sz w:val="32"/>
          <w:szCs w:val="32"/>
        </w:rPr>
        <w:t>不需</w:t>
      </w:r>
      <w:r>
        <w:rPr>
          <w:rFonts w:hint="eastAsia" w:ascii="仿宋_GB2312" w:eastAsia="仿宋_GB2312"/>
          <w:bCs/>
          <w:sz w:val="32"/>
          <w:szCs w:val="32"/>
        </w:rPr>
        <w:t>重点</w:t>
      </w:r>
      <w:r>
        <w:rPr>
          <w:rFonts w:ascii="仿宋_GB2312" w:eastAsia="仿宋_GB2312"/>
          <w:bCs/>
          <w:sz w:val="32"/>
          <w:szCs w:val="32"/>
        </w:rPr>
        <w:t>碳排放单位提交材料。</w:t>
      </w:r>
    </w:p>
    <w:sectPr>
      <w:pgSz w:w="11906" w:h="16838"/>
      <w:pgMar w:top="2098" w:right="1474" w:bottom="1984" w:left="1587" w:header="851" w:footer="158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Cambria Math">
    <w:altName w:val="DejaVu Math TeX Gyre"/>
    <w:panose1 w:val="02040503050406030204"/>
    <w:charset w:val="00"/>
    <w:family w:val="roman"/>
    <w:pitch w:val="default"/>
    <w:sig w:usb0="00000000" w:usb1="00000000" w:usb2="02000000" w:usb3="00000000" w:csb0="0000019F" w:csb1="00000000"/>
  </w:font>
  <w:font w:name="DejaVu Math TeX Gyre">
    <w:panose1 w:val="02000503000000000000"/>
    <w:charset w:val="00"/>
    <w:family w:val="auto"/>
    <w:pitch w:val="default"/>
    <w:sig w:usb0="A10000EF" w:usb1="4201F9EE" w:usb2="02000000" w:usb3="00000000" w:csb0="60000193" w:csb1="0DD40000"/>
  </w:font>
  <w:font w:name="MS Mincho">
    <w:altName w:val="宋体"/>
    <w:panose1 w:val="02020609040205080304"/>
    <w:charset w:val="80"/>
    <w:family w:val="modern"/>
    <w:pitch w:val="default"/>
    <w:sig w:usb0="00000000" w:usb1="00000000"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0200" cy="175260"/>
              <wp:effectExtent l="0" t="0" r="0"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wps:spPr>
                    <wps:txbx>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8pt;width:26pt;mso-position-horizontal:outside;mso-position-horizontal-relative:margin;mso-wrap-style:none;z-index:251659264;mso-width-relative:page;mso-height-relative:page;" filled="f" stroked="f" coordsize="21600,21600" o:gfxdata="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">
              <v:fill on="f" focussize="0,0"/>
              <v:stroke on="f"/>
              <v:imagedata o:title=""/>
              <o:lock v:ext="edit" aspectratio="f"/>
              <v:textbox inset="0mm,0mm,0mm,0mm" style="mso-fit-shape-to-text:t;">
                <w:txbxContent>
                  <w:p>
                    <w:pPr>
                      <w:pStyle w:val="4"/>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2FB86"/>
    <w:multiLevelType w:val="singleLevel"/>
    <w:tmpl w:val="BAD2FB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hideSpellingErrors/>
  <w:hideGrammaticalErrors/>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FD0089"/>
    <w:rsid w:val="00001CC0"/>
    <w:rsid w:val="000050D1"/>
    <w:rsid w:val="00013B7E"/>
    <w:rsid w:val="00016DC8"/>
    <w:rsid w:val="00024D4E"/>
    <w:rsid w:val="00024EC8"/>
    <w:rsid w:val="00025B08"/>
    <w:rsid w:val="000309FB"/>
    <w:rsid w:val="000327E5"/>
    <w:rsid w:val="00034BBD"/>
    <w:rsid w:val="00035929"/>
    <w:rsid w:val="000372BD"/>
    <w:rsid w:val="000458CA"/>
    <w:rsid w:val="000472E4"/>
    <w:rsid w:val="000475C4"/>
    <w:rsid w:val="00047C8C"/>
    <w:rsid w:val="00053FFA"/>
    <w:rsid w:val="0006525B"/>
    <w:rsid w:val="00072434"/>
    <w:rsid w:val="0007377F"/>
    <w:rsid w:val="00073A13"/>
    <w:rsid w:val="00077FC6"/>
    <w:rsid w:val="00082ECE"/>
    <w:rsid w:val="00083F26"/>
    <w:rsid w:val="00090104"/>
    <w:rsid w:val="00091FA4"/>
    <w:rsid w:val="00093A70"/>
    <w:rsid w:val="000A48AE"/>
    <w:rsid w:val="000A4902"/>
    <w:rsid w:val="000A66DC"/>
    <w:rsid w:val="000C3055"/>
    <w:rsid w:val="000C6107"/>
    <w:rsid w:val="000D4254"/>
    <w:rsid w:val="000D5FEE"/>
    <w:rsid w:val="000D7723"/>
    <w:rsid w:val="000D7F37"/>
    <w:rsid w:val="000E5EDE"/>
    <w:rsid w:val="000F152F"/>
    <w:rsid w:val="000F1F47"/>
    <w:rsid w:val="000F318A"/>
    <w:rsid w:val="000F37E6"/>
    <w:rsid w:val="000F7D02"/>
    <w:rsid w:val="00103C62"/>
    <w:rsid w:val="00104389"/>
    <w:rsid w:val="0010623F"/>
    <w:rsid w:val="00116D73"/>
    <w:rsid w:val="00122146"/>
    <w:rsid w:val="00124493"/>
    <w:rsid w:val="00124EAC"/>
    <w:rsid w:val="00134A5E"/>
    <w:rsid w:val="00135F26"/>
    <w:rsid w:val="001405D2"/>
    <w:rsid w:val="00146A34"/>
    <w:rsid w:val="00147759"/>
    <w:rsid w:val="0015150D"/>
    <w:rsid w:val="00151A88"/>
    <w:rsid w:val="001632DB"/>
    <w:rsid w:val="00163FEC"/>
    <w:rsid w:val="00166F6C"/>
    <w:rsid w:val="00170AF6"/>
    <w:rsid w:val="0017724A"/>
    <w:rsid w:val="00177297"/>
    <w:rsid w:val="001800D9"/>
    <w:rsid w:val="00187D1A"/>
    <w:rsid w:val="0019114F"/>
    <w:rsid w:val="001944CE"/>
    <w:rsid w:val="001A7569"/>
    <w:rsid w:val="001B2702"/>
    <w:rsid w:val="001B2D6A"/>
    <w:rsid w:val="001B6407"/>
    <w:rsid w:val="001C36EB"/>
    <w:rsid w:val="001C3E0F"/>
    <w:rsid w:val="001C4438"/>
    <w:rsid w:val="001D1ADE"/>
    <w:rsid w:val="001E107C"/>
    <w:rsid w:val="001E1ABD"/>
    <w:rsid w:val="001E589D"/>
    <w:rsid w:val="001F3A1B"/>
    <w:rsid w:val="001F5946"/>
    <w:rsid w:val="001F595C"/>
    <w:rsid w:val="002150C5"/>
    <w:rsid w:val="0022263A"/>
    <w:rsid w:val="0023259E"/>
    <w:rsid w:val="002347A6"/>
    <w:rsid w:val="00234CBD"/>
    <w:rsid w:val="0023671E"/>
    <w:rsid w:val="00237E03"/>
    <w:rsid w:val="002469B0"/>
    <w:rsid w:val="00247725"/>
    <w:rsid w:val="0025233E"/>
    <w:rsid w:val="00252DA5"/>
    <w:rsid w:val="00253918"/>
    <w:rsid w:val="0025413F"/>
    <w:rsid w:val="002547C7"/>
    <w:rsid w:val="002644D0"/>
    <w:rsid w:val="00270864"/>
    <w:rsid w:val="0027266D"/>
    <w:rsid w:val="002765B6"/>
    <w:rsid w:val="002859E8"/>
    <w:rsid w:val="00286B36"/>
    <w:rsid w:val="00286D25"/>
    <w:rsid w:val="0028746D"/>
    <w:rsid w:val="002919DE"/>
    <w:rsid w:val="00292197"/>
    <w:rsid w:val="00294263"/>
    <w:rsid w:val="002A26DC"/>
    <w:rsid w:val="002B3C89"/>
    <w:rsid w:val="002C003D"/>
    <w:rsid w:val="002C030C"/>
    <w:rsid w:val="002C5AF7"/>
    <w:rsid w:val="002C7F47"/>
    <w:rsid w:val="002D1558"/>
    <w:rsid w:val="002D236C"/>
    <w:rsid w:val="002E3A7A"/>
    <w:rsid w:val="002F481D"/>
    <w:rsid w:val="002F4B4B"/>
    <w:rsid w:val="00300CEC"/>
    <w:rsid w:val="00303CD1"/>
    <w:rsid w:val="00311F16"/>
    <w:rsid w:val="00323EFB"/>
    <w:rsid w:val="003272BA"/>
    <w:rsid w:val="00327C71"/>
    <w:rsid w:val="00351D49"/>
    <w:rsid w:val="00353DDD"/>
    <w:rsid w:val="0035639D"/>
    <w:rsid w:val="003571BD"/>
    <w:rsid w:val="0036203A"/>
    <w:rsid w:val="00365A0A"/>
    <w:rsid w:val="003753E8"/>
    <w:rsid w:val="003758C0"/>
    <w:rsid w:val="00376B49"/>
    <w:rsid w:val="003816A6"/>
    <w:rsid w:val="00382CE0"/>
    <w:rsid w:val="00386835"/>
    <w:rsid w:val="00386E0E"/>
    <w:rsid w:val="0039580A"/>
    <w:rsid w:val="00395C26"/>
    <w:rsid w:val="00395FE0"/>
    <w:rsid w:val="003A136B"/>
    <w:rsid w:val="003A2397"/>
    <w:rsid w:val="003A43FE"/>
    <w:rsid w:val="003A4C11"/>
    <w:rsid w:val="003C3BAC"/>
    <w:rsid w:val="003E5027"/>
    <w:rsid w:val="003E7787"/>
    <w:rsid w:val="003F08CB"/>
    <w:rsid w:val="00400D14"/>
    <w:rsid w:val="0040299A"/>
    <w:rsid w:val="00402F97"/>
    <w:rsid w:val="00412083"/>
    <w:rsid w:val="00415811"/>
    <w:rsid w:val="004269E2"/>
    <w:rsid w:val="00426C6F"/>
    <w:rsid w:val="00426FB3"/>
    <w:rsid w:val="004372DB"/>
    <w:rsid w:val="00441C1F"/>
    <w:rsid w:val="00447AF7"/>
    <w:rsid w:val="00452521"/>
    <w:rsid w:val="004526DC"/>
    <w:rsid w:val="004545EA"/>
    <w:rsid w:val="00455878"/>
    <w:rsid w:val="00456D42"/>
    <w:rsid w:val="004652EE"/>
    <w:rsid w:val="00467046"/>
    <w:rsid w:val="004715C2"/>
    <w:rsid w:val="00473AB7"/>
    <w:rsid w:val="00474EAC"/>
    <w:rsid w:val="004800DF"/>
    <w:rsid w:val="004818E4"/>
    <w:rsid w:val="004947B6"/>
    <w:rsid w:val="004C2490"/>
    <w:rsid w:val="004C4CE8"/>
    <w:rsid w:val="004D1A5E"/>
    <w:rsid w:val="004D3811"/>
    <w:rsid w:val="004E4119"/>
    <w:rsid w:val="004F2C38"/>
    <w:rsid w:val="004F3ED1"/>
    <w:rsid w:val="0050227E"/>
    <w:rsid w:val="00502864"/>
    <w:rsid w:val="005036D6"/>
    <w:rsid w:val="0050754F"/>
    <w:rsid w:val="00521A6F"/>
    <w:rsid w:val="00524DE8"/>
    <w:rsid w:val="00524FFE"/>
    <w:rsid w:val="00531532"/>
    <w:rsid w:val="00531A76"/>
    <w:rsid w:val="00531C19"/>
    <w:rsid w:val="00533CE0"/>
    <w:rsid w:val="00541C71"/>
    <w:rsid w:val="005505E8"/>
    <w:rsid w:val="00552C2B"/>
    <w:rsid w:val="00556D38"/>
    <w:rsid w:val="0055795E"/>
    <w:rsid w:val="00560C47"/>
    <w:rsid w:val="0056750F"/>
    <w:rsid w:val="00567D19"/>
    <w:rsid w:val="00567FB4"/>
    <w:rsid w:val="0058706A"/>
    <w:rsid w:val="00590D9C"/>
    <w:rsid w:val="0059511E"/>
    <w:rsid w:val="005A1D95"/>
    <w:rsid w:val="005A36A1"/>
    <w:rsid w:val="005A4E56"/>
    <w:rsid w:val="005A770D"/>
    <w:rsid w:val="005B2DB5"/>
    <w:rsid w:val="005B4F12"/>
    <w:rsid w:val="005C245E"/>
    <w:rsid w:val="005C7EEF"/>
    <w:rsid w:val="005D22EC"/>
    <w:rsid w:val="005D2BA8"/>
    <w:rsid w:val="005D3AC3"/>
    <w:rsid w:val="005E18A7"/>
    <w:rsid w:val="0060128C"/>
    <w:rsid w:val="00613FF7"/>
    <w:rsid w:val="006141DC"/>
    <w:rsid w:val="00616B22"/>
    <w:rsid w:val="006212E6"/>
    <w:rsid w:val="006251E5"/>
    <w:rsid w:val="00633888"/>
    <w:rsid w:val="00641C2C"/>
    <w:rsid w:val="00644EC8"/>
    <w:rsid w:val="00652690"/>
    <w:rsid w:val="00660892"/>
    <w:rsid w:val="00665849"/>
    <w:rsid w:val="0066655F"/>
    <w:rsid w:val="00674601"/>
    <w:rsid w:val="00681B77"/>
    <w:rsid w:val="00682BDB"/>
    <w:rsid w:val="006845F7"/>
    <w:rsid w:val="00685A71"/>
    <w:rsid w:val="00694555"/>
    <w:rsid w:val="006A037B"/>
    <w:rsid w:val="006B1471"/>
    <w:rsid w:val="006B20ED"/>
    <w:rsid w:val="006B5D1E"/>
    <w:rsid w:val="006B619D"/>
    <w:rsid w:val="006B6E37"/>
    <w:rsid w:val="006D032C"/>
    <w:rsid w:val="006D1F1A"/>
    <w:rsid w:val="006D3231"/>
    <w:rsid w:val="006D4959"/>
    <w:rsid w:val="006D527D"/>
    <w:rsid w:val="006D5C8B"/>
    <w:rsid w:val="006D7DF4"/>
    <w:rsid w:val="006E1667"/>
    <w:rsid w:val="006E5959"/>
    <w:rsid w:val="006F4648"/>
    <w:rsid w:val="00701465"/>
    <w:rsid w:val="00715641"/>
    <w:rsid w:val="007157D4"/>
    <w:rsid w:val="00721DD2"/>
    <w:rsid w:val="00723103"/>
    <w:rsid w:val="00731EDF"/>
    <w:rsid w:val="0074140B"/>
    <w:rsid w:val="00744167"/>
    <w:rsid w:val="007534A6"/>
    <w:rsid w:val="0076131A"/>
    <w:rsid w:val="00762669"/>
    <w:rsid w:val="00766734"/>
    <w:rsid w:val="00767975"/>
    <w:rsid w:val="00782660"/>
    <w:rsid w:val="0078602F"/>
    <w:rsid w:val="007A48C9"/>
    <w:rsid w:val="007A6096"/>
    <w:rsid w:val="007A6EB3"/>
    <w:rsid w:val="007A775F"/>
    <w:rsid w:val="007B2FB5"/>
    <w:rsid w:val="007B545F"/>
    <w:rsid w:val="007C6B32"/>
    <w:rsid w:val="007C6C47"/>
    <w:rsid w:val="007C7A1C"/>
    <w:rsid w:val="007E0749"/>
    <w:rsid w:val="007E256B"/>
    <w:rsid w:val="007E33CE"/>
    <w:rsid w:val="007E3B27"/>
    <w:rsid w:val="007F0E56"/>
    <w:rsid w:val="007F3FD2"/>
    <w:rsid w:val="007F3FEC"/>
    <w:rsid w:val="007F4798"/>
    <w:rsid w:val="00802F0F"/>
    <w:rsid w:val="00805BC7"/>
    <w:rsid w:val="00812BD8"/>
    <w:rsid w:val="0081584F"/>
    <w:rsid w:val="00821B9B"/>
    <w:rsid w:val="0082436E"/>
    <w:rsid w:val="00824EFD"/>
    <w:rsid w:val="008262FD"/>
    <w:rsid w:val="00834230"/>
    <w:rsid w:val="008432B1"/>
    <w:rsid w:val="00857410"/>
    <w:rsid w:val="00871A8A"/>
    <w:rsid w:val="0087559B"/>
    <w:rsid w:val="00885992"/>
    <w:rsid w:val="008947AC"/>
    <w:rsid w:val="008A2FA8"/>
    <w:rsid w:val="008A4939"/>
    <w:rsid w:val="008A6E08"/>
    <w:rsid w:val="008B03D8"/>
    <w:rsid w:val="008B12F1"/>
    <w:rsid w:val="008B7464"/>
    <w:rsid w:val="008C0915"/>
    <w:rsid w:val="008C0AA0"/>
    <w:rsid w:val="008C3C93"/>
    <w:rsid w:val="008C7BCC"/>
    <w:rsid w:val="008D1569"/>
    <w:rsid w:val="008D1D9A"/>
    <w:rsid w:val="008E3C41"/>
    <w:rsid w:val="008E3CAF"/>
    <w:rsid w:val="008E5D3D"/>
    <w:rsid w:val="008F2819"/>
    <w:rsid w:val="008F5FB3"/>
    <w:rsid w:val="008F786B"/>
    <w:rsid w:val="00901B2C"/>
    <w:rsid w:val="00906082"/>
    <w:rsid w:val="00911009"/>
    <w:rsid w:val="00914246"/>
    <w:rsid w:val="00915D19"/>
    <w:rsid w:val="00917252"/>
    <w:rsid w:val="00922133"/>
    <w:rsid w:val="009312D2"/>
    <w:rsid w:val="00931545"/>
    <w:rsid w:val="00932A0F"/>
    <w:rsid w:val="00935F3A"/>
    <w:rsid w:val="00944D41"/>
    <w:rsid w:val="00956DD1"/>
    <w:rsid w:val="00960A40"/>
    <w:rsid w:val="00961ED0"/>
    <w:rsid w:val="0096611D"/>
    <w:rsid w:val="00967055"/>
    <w:rsid w:val="00967345"/>
    <w:rsid w:val="00972233"/>
    <w:rsid w:val="009768C6"/>
    <w:rsid w:val="00980684"/>
    <w:rsid w:val="00982B6C"/>
    <w:rsid w:val="00987798"/>
    <w:rsid w:val="00991280"/>
    <w:rsid w:val="00993112"/>
    <w:rsid w:val="009A1F29"/>
    <w:rsid w:val="009A2B39"/>
    <w:rsid w:val="009A4300"/>
    <w:rsid w:val="009B0215"/>
    <w:rsid w:val="009B0ADF"/>
    <w:rsid w:val="009B2DDC"/>
    <w:rsid w:val="009B5A48"/>
    <w:rsid w:val="009C4F4C"/>
    <w:rsid w:val="009D084C"/>
    <w:rsid w:val="009D2C17"/>
    <w:rsid w:val="009D5300"/>
    <w:rsid w:val="009E524C"/>
    <w:rsid w:val="009F45A1"/>
    <w:rsid w:val="009F4F2D"/>
    <w:rsid w:val="009F6415"/>
    <w:rsid w:val="009F6F7A"/>
    <w:rsid w:val="00A06FF3"/>
    <w:rsid w:val="00A12C92"/>
    <w:rsid w:val="00A14CB8"/>
    <w:rsid w:val="00A2698C"/>
    <w:rsid w:val="00A301E6"/>
    <w:rsid w:val="00A3741B"/>
    <w:rsid w:val="00A4609D"/>
    <w:rsid w:val="00A46767"/>
    <w:rsid w:val="00A603E1"/>
    <w:rsid w:val="00A61552"/>
    <w:rsid w:val="00A73DA1"/>
    <w:rsid w:val="00A74320"/>
    <w:rsid w:val="00A8432D"/>
    <w:rsid w:val="00A85573"/>
    <w:rsid w:val="00A93188"/>
    <w:rsid w:val="00AA0F8D"/>
    <w:rsid w:val="00AB1394"/>
    <w:rsid w:val="00AC05E8"/>
    <w:rsid w:val="00AC157E"/>
    <w:rsid w:val="00AC4E9E"/>
    <w:rsid w:val="00AC718F"/>
    <w:rsid w:val="00AD4C2A"/>
    <w:rsid w:val="00AE1DAC"/>
    <w:rsid w:val="00B05A45"/>
    <w:rsid w:val="00B121C6"/>
    <w:rsid w:val="00B15316"/>
    <w:rsid w:val="00B222A6"/>
    <w:rsid w:val="00B30A75"/>
    <w:rsid w:val="00B50FD6"/>
    <w:rsid w:val="00B57DB1"/>
    <w:rsid w:val="00B676B0"/>
    <w:rsid w:val="00B7012B"/>
    <w:rsid w:val="00B71974"/>
    <w:rsid w:val="00B810EE"/>
    <w:rsid w:val="00B81B12"/>
    <w:rsid w:val="00B81C79"/>
    <w:rsid w:val="00B823B0"/>
    <w:rsid w:val="00B83A8B"/>
    <w:rsid w:val="00B874D8"/>
    <w:rsid w:val="00B916D8"/>
    <w:rsid w:val="00B916FA"/>
    <w:rsid w:val="00B93249"/>
    <w:rsid w:val="00B942BF"/>
    <w:rsid w:val="00BA0D88"/>
    <w:rsid w:val="00BA0F14"/>
    <w:rsid w:val="00BA26D2"/>
    <w:rsid w:val="00BC3A82"/>
    <w:rsid w:val="00BE14B1"/>
    <w:rsid w:val="00BF0679"/>
    <w:rsid w:val="00BF0704"/>
    <w:rsid w:val="00BF3FA7"/>
    <w:rsid w:val="00BF7C5C"/>
    <w:rsid w:val="00C004AC"/>
    <w:rsid w:val="00C00D58"/>
    <w:rsid w:val="00C00E01"/>
    <w:rsid w:val="00C079FB"/>
    <w:rsid w:val="00C14AA8"/>
    <w:rsid w:val="00C15076"/>
    <w:rsid w:val="00C16420"/>
    <w:rsid w:val="00C2274D"/>
    <w:rsid w:val="00C233BA"/>
    <w:rsid w:val="00C24C6F"/>
    <w:rsid w:val="00C26A30"/>
    <w:rsid w:val="00C30A62"/>
    <w:rsid w:val="00C312F4"/>
    <w:rsid w:val="00C3766A"/>
    <w:rsid w:val="00C40F9C"/>
    <w:rsid w:val="00C46645"/>
    <w:rsid w:val="00C619B7"/>
    <w:rsid w:val="00C71ABA"/>
    <w:rsid w:val="00C73A74"/>
    <w:rsid w:val="00C828E7"/>
    <w:rsid w:val="00C8393B"/>
    <w:rsid w:val="00C9553E"/>
    <w:rsid w:val="00C97B51"/>
    <w:rsid w:val="00CA47FD"/>
    <w:rsid w:val="00CA7696"/>
    <w:rsid w:val="00CA775F"/>
    <w:rsid w:val="00CB17F3"/>
    <w:rsid w:val="00CC0221"/>
    <w:rsid w:val="00CC0643"/>
    <w:rsid w:val="00CC1711"/>
    <w:rsid w:val="00CC2AB4"/>
    <w:rsid w:val="00CC7D3A"/>
    <w:rsid w:val="00CE0875"/>
    <w:rsid w:val="00CE3A6A"/>
    <w:rsid w:val="00CE67CB"/>
    <w:rsid w:val="00CE69E4"/>
    <w:rsid w:val="00CF5BB4"/>
    <w:rsid w:val="00D002D9"/>
    <w:rsid w:val="00D03E9B"/>
    <w:rsid w:val="00D04A99"/>
    <w:rsid w:val="00D123AF"/>
    <w:rsid w:val="00D1240F"/>
    <w:rsid w:val="00D26CC9"/>
    <w:rsid w:val="00D35271"/>
    <w:rsid w:val="00D37C94"/>
    <w:rsid w:val="00D37F23"/>
    <w:rsid w:val="00D4198D"/>
    <w:rsid w:val="00D4389A"/>
    <w:rsid w:val="00D53B36"/>
    <w:rsid w:val="00D55E70"/>
    <w:rsid w:val="00D62238"/>
    <w:rsid w:val="00D6554B"/>
    <w:rsid w:val="00D71997"/>
    <w:rsid w:val="00D7213B"/>
    <w:rsid w:val="00D72DBB"/>
    <w:rsid w:val="00D836EF"/>
    <w:rsid w:val="00D83E67"/>
    <w:rsid w:val="00D87716"/>
    <w:rsid w:val="00D925AC"/>
    <w:rsid w:val="00D94D7D"/>
    <w:rsid w:val="00D950D7"/>
    <w:rsid w:val="00DA0C5E"/>
    <w:rsid w:val="00DA15DB"/>
    <w:rsid w:val="00DA349E"/>
    <w:rsid w:val="00DA621A"/>
    <w:rsid w:val="00DB118F"/>
    <w:rsid w:val="00DB14C0"/>
    <w:rsid w:val="00DC19CB"/>
    <w:rsid w:val="00DC3E0B"/>
    <w:rsid w:val="00DC6D21"/>
    <w:rsid w:val="00DD24CB"/>
    <w:rsid w:val="00DD34DD"/>
    <w:rsid w:val="00DD6B29"/>
    <w:rsid w:val="00DE08A9"/>
    <w:rsid w:val="00DE4AFC"/>
    <w:rsid w:val="00DF19C1"/>
    <w:rsid w:val="00DF286E"/>
    <w:rsid w:val="00DF32C6"/>
    <w:rsid w:val="00DF7CCB"/>
    <w:rsid w:val="00E070AA"/>
    <w:rsid w:val="00E143F2"/>
    <w:rsid w:val="00E226BC"/>
    <w:rsid w:val="00E24B6E"/>
    <w:rsid w:val="00E343E0"/>
    <w:rsid w:val="00E470DA"/>
    <w:rsid w:val="00E50624"/>
    <w:rsid w:val="00E553CC"/>
    <w:rsid w:val="00E56446"/>
    <w:rsid w:val="00E62F37"/>
    <w:rsid w:val="00E66194"/>
    <w:rsid w:val="00E67531"/>
    <w:rsid w:val="00E70FC6"/>
    <w:rsid w:val="00E76428"/>
    <w:rsid w:val="00E84FED"/>
    <w:rsid w:val="00E9249D"/>
    <w:rsid w:val="00E9584B"/>
    <w:rsid w:val="00EC6B37"/>
    <w:rsid w:val="00ED001E"/>
    <w:rsid w:val="00ED247F"/>
    <w:rsid w:val="00ED2602"/>
    <w:rsid w:val="00ED2888"/>
    <w:rsid w:val="00ED3987"/>
    <w:rsid w:val="00EE4123"/>
    <w:rsid w:val="00EE469B"/>
    <w:rsid w:val="00EE6D7D"/>
    <w:rsid w:val="00EE6DC7"/>
    <w:rsid w:val="00EF1422"/>
    <w:rsid w:val="00F01F6B"/>
    <w:rsid w:val="00F02810"/>
    <w:rsid w:val="00F03C94"/>
    <w:rsid w:val="00F04B3D"/>
    <w:rsid w:val="00F1238D"/>
    <w:rsid w:val="00F12DD5"/>
    <w:rsid w:val="00F20BD9"/>
    <w:rsid w:val="00F2124A"/>
    <w:rsid w:val="00F2565C"/>
    <w:rsid w:val="00F272C5"/>
    <w:rsid w:val="00F3626F"/>
    <w:rsid w:val="00F374AC"/>
    <w:rsid w:val="00F447A6"/>
    <w:rsid w:val="00F4569E"/>
    <w:rsid w:val="00F52712"/>
    <w:rsid w:val="00F656E0"/>
    <w:rsid w:val="00F72742"/>
    <w:rsid w:val="00F73B03"/>
    <w:rsid w:val="00F9181C"/>
    <w:rsid w:val="00F924A8"/>
    <w:rsid w:val="00FA1025"/>
    <w:rsid w:val="00FA24B8"/>
    <w:rsid w:val="00FA56BB"/>
    <w:rsid w:val="00FA7767"/>
    <w:rsid w:val="00FB09C7"/>
    <w:rsid w:val="00FC02DA"/>
    <w:rsid w:val="00FD0089"/>
    <w:rsid w:val="00FD4691"/>
    <w:rsid w:val="00FE3623"/>
    <w:rsid w:val="00FE5C75"/>
    <w:rsid w:val="00FE682E"/>
    <w:rsid w:val="00FE7941"/>
    <w:rsid w:val="00FF3B3E"/>
    <w:rsid w:val="00FF6E50"/>
    <w:rsid w:val="03DA0DCC"/>
    <w:rsid w:val="041D784C"/>
    <w:rsid w:val="0443136C"/>
    <w:rsid w:val="06693421"/>
    <w:rsid w:val="06723038"/>
    <w:rsid w:val="073C0784"/>
    <w:rsid w:val="08C2594B"/>
    <w:rsid w:val="095E38C5"/>
    <w:rsid w:val="0B5B68CF"/>
    <w:rsid w:val="0B9C3825"/>
    <w:rsid w:val="0BBF16D6"/>
    <w:rsid w:val="0C604257"/>
    <w:rsid w:val="0D2C351C"/>
    <w:rsid w:val="0D786F20"/>
    <w:rsid w:val="0E972D6C"/>
    <w:rsid w:val="0F2E42F0"/>
    <w:rsid w:val="0FBD6585"/>
    <w:rsid w:val="121F5129"/>
    <w:rsid w:val="123B3F7A"/>
    <w:rsid w:val="14955E3D"/>
    <w:rsid w:val="15FA142F"/>
    <w:rsid w:val="15FD49D1"/>
    <w:rsid w:val="16010CFA"/>
    <w:rsid w:val="1752149D"/>
    <w:rsid w:val="19354C16"/>
    <w:rsid w:val="19E020D4"/>
    <w:rsid w:val="1CD85960"/>
    <w:rsid w:val="1DC12CB4"/>
    <w:rsid w:val="1EDD7319"/>
    <w:rsid w:val="214132B4"/>
    <w:rsid w:val="219529FF"/>
    <w:rsid w:val="21AE4EA9"/>
    <w:rsid w:val="235D3171"/>
    <w:rsid w:val="23DF164F"/>
    <w:rsid w:val="2533755C"/>
    <w:rsid w:val="25800B4B"/>
    <w:rsid w:val="26D46848"/>
    <w:rsid w:val="26EC4F50"/>
    <w:rsid w:val="27532138"/>
    <w:rsid w:val="284877C3"/>
    <w:rsid w:val="291A1AC9"/>
    <w:rsid w:val="29D2276F"/>
    <w:rsid w:val="2B434271"/>
    <w:rsid w:val="2BF061B8"/>
    <w:rsid w:val="2BFBD2C6"/>
    <w:rsid w:val="2BFF463C"/>
    <w:rsid w:val="2C86782A"/>
    <w:rsid w:val="2CAA55D5"/>
    <w:rsid w:val="2D085772"/>
    <w:rsid w:val="2D27330B"/>
    <w:rsid w:val="2ED578D6"/>
    <w:rsid w:val="2F6DB55F"/>
    <w:rsid w:val="2FC736C3"/>
    <w:rsid w:val="30B36C76"/>
    <w:rsid w:val="31C0766B"/>
    <w:rsid w:val="35FF47B1"/>
    <w:rsid w:val="368A01B4"/>
    <w:rsid w:val="36E80682"/>
    <w:rsid w:val="3BEA69F0"/>
    <w:rsid w:val="3D0F66A9"/>
    <w:rsid w:val="3FBD2BE8"/>
    <w:rsid w:val="3FCF7EA2"/>
    <w:rsid w:val="3FF530B1"/>
    <w:rsid w:val="402147D5"/>
    <w:rsid w:val="41746FA7"/>
    <w:rsid w:val="41D72450"/>
    <w:rsid w:val="43321338"/>
    <w:rsid w:val="44192115"/>
    <w:rsid w:val="451F7A9F"/>
    <w:rsid w:val="45632FEA"/>
    <w:rsid w:val="46BB11B8"/>
    <w:rsid w:val="46CB35F7"/>
    <w:rsid w:val="47A125F4"/>
    <w:rsid w:val="493B008F"/>
    <w:rsid w:val="49422A54"/>
    <w:rsid w:val="49B02FC2"/>
    <w:rsid w:val="4A827A02"/>
    <w:rsid w:val="4BD56D10"/>
    <w:rsid w:val="4C001865"/>
    <w:rsid w:val="4CCB49A4"/>
    <w:rsid w:val="52714E69"/>
    <w:rsid w:val="52745EF5"/>
    <w:rsid w:val="533267F6"/>
    <w:rsid w:val="53F56B7A"/>
    <w:rsid w:val="542A2098"/>
    <w:rsid w:val="55E66BBB"/>
    <w:rsid w:val="561B57C9"/>
    <w:rsid w:val="57405985"/>
    <w:rsid w:val="57BEA07E"/>
    <w:rsid w:val="57C93704"/>
    <w:rsid w:val="598C429A"/>
    <w:rsid w:val="5A5B2AD6"/>
    <w:rsid w:val="5C6963BB"/>
    <w:rsid w:val="5CFFBD25"/>
    <w:rsid w:val="5DA16F96"/>
    <w:rsid w:val="5E5FA577"/>
    <w:rsid w:val="5E6D54C6"/>
    <w:rsid w:val="5E9D37C6"/>
    <w:rsid w:val="5F67E9C2"/>
    <w:rsid w:val="5F8F1E58"/>
    <w:rsid w:val="60D23403"/>
    <w:rsid w:val="62FB7408"/>
    <w:rsid w:val="6493481D"/>
    <w:rsid w:val="65333AC4"/>
    <w:rsid w:val="65A12030"/>
    <w:rsid w:val="65BEDE5B"/>
    <w:rsid w:val="65DF5E81"/>
    <w:rsid w:val="663A52E3"/>
    <w:rsid w:val="67352E9C"/>
    <w:rsid w:val="674662A3"/>
    <w:rsid w:val="687845D0"/>
    <w:rsid w:val="69FC3347"/>
    <w:rsid w:val="6B0435D9"/>
    <w:rsid w:val="6B3E3157"/>
    <w:rsid w:val="6CF62A97"/>
    <w:rsid w:val="6F9A0FD5"/>
    <w:rsid w:val="6FD7BBB5"/>
    <w:rsid w:val="70971C96"/>
    <w:rsid w:val="70AE42DA"/>
    <w:rsid w:val="7250491C"/>
    <w:rsid w:val="72EA3B58"/>
    <w:rsid w:val="74582108"/>
    <w:rsid w:val="75FB95D8"/>
    <w:rsid w:val="76315A3E"/>
    <w:rsid w:val="76D94580"/>
    <w:rsid w:val="772EC81F"/>
    <w:rsid w:val="77880753"/>
    <w:rsid w:val="77B1BF1D"/>
    <w:rsid w:val="77FDCB5C"/>
    <w:rsid w:val="77FE7FCB"/>
    <w:rsid w:val="79D45716"/>
    <w:rsid w:val="7A665F33"/>
    <w:rsid w:val="7AAE039D"/>
    <w:rsid w:val="7B574425"/>
    <w:rsid w:val="7BA20E29"/>
    <w:rsid w:val="7BE7E656"/>
    <w:rsid w:val="7CFF10AA"/>
    <w:rsid w:val="7D3A0E5D"/>
    <w:rsid w:val="7D82401B"/>
    <w:rsid w:val="7E9FCC00"/>
    <w:rsid w:val="7ED14F91"/>
    <w:rsid w:val="7F7FA249"/>
    <w:rsid w:val="7FC63DA0"/>
    <w:rsid w:val="7FDD2358"/>
    <w:rsid w:val="7FFDBFB8"/>
    <w:rsid w:val="8D7F9B3E"/>
    <w:rsid w:val="9F73C8D6"/>
    <w:rsid w:val="A4978565"/>
    <w:rsid w:val="B75FD19D"/>
    <w:rsid w:val="B7FFF569"/>
    <w:rsid w:val="BF5DD119"/>
    <w:rsid w:val="BFE7DEA6"/>
    <w:rsid w:val="BFEB61C8"/>
    <w:rsid w:val="BFFB7F86"/>
    <w:rsid w:val="CBE97962"/>
    <w:rsid w:val="CDBE7B82"/>
    <w:rsid w:val="D7ED2BF1"/>
    <w:rsid w:val="DC25B9F0"/>
    <w:rsid w:val="DD37C0F6"/>
    <w:rsid w:val="DEBEF385"/>
    <w:rsid w:val="DF9EBE83"/>
    <w:rsid w:val="DFDEC81E"/>
    <w:rsid w:val="DFE512F8"/>
    <w:rsid w:val="E7FE3659"/>
    <w:rsid w:val="EA7FBB8D"/>
    <w:rsid w:val="ECF57580"/>
    <w:rsid w:val="EDFD3E9A"/>
    <w:rsid w:val="EF7B41CC"/>
    <w:rsid w:val="F3F7BEB7"/>
    <w:rsid w:val="FBBF9E9D"/>
    <w:rsid w:val="FBEB6C59"/>
    <w:rsid w:val="FCAFDBEB"/>
    <w:rsid w:val="FCDCCA3A"/>
    <w:rsid w:val="FEDFFA07"/>
    <w:rsid w:val="FF49C7BC"/>
    <w:rsid w:val="FF77BBD9"/>
    <w:rsid w:val="FF9C7519"/>
    <w:rsid w:val="FFE73850"/>
    <w:rsid w:val="FFEBDE29"/>
    <w:rsid w:val="FFF7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kern w:val="0"/>
      <w:sz w:val="24"/>
    </w:rPr>
  </w:style>
  <w:style w:type="paragraph" w:styleId="7">
    <w:name w:val="annotation subject"/>
    <w:basedOn w:val="2"/>
    <w:next w:val="2"/>
    <w:link w:val="13"/>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文字 字符"/>
    <w:basedOn w:val="10"/>
    <w:link w:val="2"/>
    <w:semiHidden/>
    <w:qFormat/>
    <w:uiPriority w:val="99"/>
    <w:rPr>
      <w:rFonts w:ascii="Times New Roman" w:hAnsi="Times New Roman" w:eastAsia="宋体" w:cs="Times New Roman"/>
      <w:szCs w:val="21"/>
    </w:rPr>
  </w:style>
  <w:style w:type="character" w:customStyle="1" w:styleId="13">
    <w:name w:val="批注主题 字符"/>
    <w:basedOn w:val="12"/>
    <w:link w:val="7"/>
    <w:semiHidden/>
    <w:qFormat/>
    <w:uiPriority w:val="99"/>
    <w:rPr>
      <w:rFonts w:ascii="Times New Roman" w:hAnsi="Times New Roman" w:eastAsia="宋体" w:cs="Times New Roman"/>
      <w:b/>
      <w:bCs/>
      <w:szCs w:val="21"/>
    </w:rPr>
  </w:style>
  <w:style w:type="character" w:customStyle="1" w:styleId="14">
    <w:name w:val="批注框文本 字符"/>
    <w:basedOn w:val="10"/>
    <w:link w:val="3"/>
    <w:semiHidden/>
    <w:qFormat/>
    <w:uiPriority w:val="99"/>
    <w:rPr>
      <w:rFonts w:ascii="Times New Roman" w:hAnsi="Times New Roman" w:eastAsia="宋体" w:cs="Times New Roman"/>
      <w:sz w:val="18"/>
      <w:szCs w:val="18"/>
    </w:rPr>
  </w:style>
  <w:style w:type="character" w:customStyle="1" w:styleId="15">
    <w:name w:val="页眉 字符"/>
    <w:basedOn w:val="10"/>
    <w:link w:val="5"/>
    <w:qFormat/>
    <w:uiPriority w:val="99"/>
    <w:rPr>
      <w:rFonts w:ascii="Times New Roman" w:hAnsi="Times New Roman" w:eastAsia="宋体" w:cs="Times New Roman"/>
      <w:sz w:val="18"/>
      <w:szCs w:val="18"/>
    </w:rPr>
  </w:style>
  <w:style w:type="character" w:customStyle="1" w:styleId="16">
    <w:name w:val="页脚 字符"/>
    <w:basedOn w:val="10"/>
    <w:link w:val="4"/>
    <w:qFormat/>
    <w:uiPriority w:val="99"/>
    <w:rPr>
      <w:rFonts w:ascii="Times New Roman" w:hAnsi="Times New Roman" w:eastAsia="宋体" w:cs="Times New Roman"/>
      <w:sz w:val="18"/>
      <w:szCs w:val="18"/>
    </w:rPr>
  </w:style>
  <w:style w:type="paragraph" w:styleId="17">
    <w:name w:val="List Paragraph"/>
    <w:basedOn w:val="1"/>
    <w:qFormat/>
    <w:uiPriority w:val="34"/>
    <w:pPr>
      <w:ind w:firstLine="420" w:firstLineChars="200"/>
    </w:pPr>
  </w:style>
  <w:style w:type="character" w:customStyle="1" w:styleId="18">
    <w:name w:val="font01"/>
    <w:basedOn w:val="10"/>
    <w:qFormat/>
    <w:uiPriority w:val="0"/>
    <w:rPr>
      <w:rFonts w:hint="default" w:ascii="等线" w:hAnsi="等线" w:eastAsia="等线" w:cs="等线"/>
      <w:color w:val="000000"/>
      <w:sz w:val="22"/>
      <w:szCs w:val="22"/>
      <w:u w:val="none"/>
    </w:rPr>
  </w:style>
  <w:style w:type="character" w:customStyle="1" w:styleId="19">
    <w:name w:val="font11"/>
    <w:basedOn w:val="10"/>
    <w:qFormat/>
    <w:uiPriority w:val="0"/>
    <w:rPr>
      <w:rFonts w:hint="default" w:ascii="Times New Roman" w:hAnsi="Times New Roman" w:cs="Times New Roman"/>
      <w:color w:val="000000"/>
      <w:sz w:val="21"/>
      <w:szCs w:val="21"/>
      <w:u w:val="none"/>
    </w:rPr>
  </w:style>
  <w:style w:type="paragraph" w:customStyle="1" w:styleId="20">
    <w:name w:val="修订1"/>
    <w:hidden/>
    <w:unhideWhenUsed/>
    <w:qFormat/>
    <w:uiPriority w:val="99"/>
    <w:rPr>
      <w:rFonts w:ascii="Times New Roman" w:hAnsi="Times New Roman" w:eastAsia="宋体" w:cs="Times New Roman"/>
      <w:kern w:val="2"/>
      <w:sz w:val="21"/>
      <w:szCs w:val="21"/>
      <w:lang w:val="en-US" w:eastAsia="zh-CN" w:bidi="ar-SA"/>
    </w:rPr>
  </w:style>
  <w:style w:type="paragraph" w:customStyle="1" w:styleId="21">
    <w:name w:val="Revision"/>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1124</Words>
  <Characters>6407</Characters>
  <Lines>53</Lines>
  <Paragraphs>15</Paragraphs>
  <TotalTime>47</TotalTime>
  <ScaleCrop>false</ScaleCrop>
  <LinksUpToDate>false</LinksUpToDate>
  <CharactersWithSpaces>7516</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2023-04-16T17:49:00Z</dcterms:created>
  <dc:creator>Admin</dc:creator>
  <cp:lastModifiedBy>user</cp:lastModifiedBy>
  <cp:lastPrinted>2021-03-22T18:47:00Z</cp:lastPrinted>
  <dcterms:modified xsi:type="dcterms:W3CDTF">2024-05-11T15:03:26Z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3B9E0CC213BC47EEBDCF1AC1003C85EF</vt:lpwstr>
  </property>
  <property fmtid="{D5CDD505-2E9C-101B-9397-08002B2CF9AE}" pid="4" name="commondata">
    <vt:lpwstr>eyJoZGlkIjoiYmExMWI5ZGZjNTNjODBhYTI1MTYyOWUwYTM0NWJjYzgifQ==</vt:lpwstr>
  </property>
</Properties>
</file>