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6" w:lineRule="exact"/>
        <w:jc w:val="center"/>
        <w:rPr>
          <w:rFonts w:eastAsia="方正小标宋简体"/>
          <w:bCs/>
          <w:spacing w:val="-20"/>
          <w:kern w:val="0"/>
          <w:sz w:val="44"/>
          <w:szCs w:val="44"/>
          <w:shd w:val="clear" w:color="auto" w:fill="FFFFFF"/>
        </w:rPr>
      </w:pPr>
      <w:bookmarkStart w:id="0" w:name="_GoBack"/>
      <w:r>
        <w:rPr>
          <w:rFonts w:eastAsia="方正小标宋简体"/>
          <w:bCs/>
          <w:spacing w:val="-20"/>
          <w:kern w:val="0"/>
          <w:sz w:val="44"/>
          <w:szCs w:val="44"/>
          <w:shd w:val="clear" w:color="auto" w:fill="FFFFFF"/>
        </w:rPr>
        <w:t>河南省管道燃气特许经营评估管理办法（试行）</w:t>
      </w:r>
    </w:p>
    <w:bookmarkEnd w:id="0"/>
    <w:p>
      <w:pPr>
        <w:spacing w:line="546" w:lineRule="exact"/>
        <w:ind w:firstLine="618" w:firstLineChars="200"/>
        <w:rPr>
          <w:rFonts w:eastAsia="仿宋_GB2312"/>
          <w:b/>
          <w:sz w:val="32"/>
          <w:szCs w:val="32"/>
        </w:rPr>
      </w:pPr>
    </w:p>
    <w:p>
      <w:pPr>
        <w:autoSpaceDE w:val="0"/>
        <w:autoSpaceDN w:val="0"/>
        <w:adjustRightInd w:val="0"/>
        <w:spacing w:line="546" w:lineRule="exact"/>
        <w:jc w:val="center"/>
        <w:rPr>
          <w:rFonts w:eastAsia="黑体"/>
          <w:kern w:val="0"/>
          <w:sz w:val="32"/>
          <w:szCs w:val="32"/>
        </w:rPr>
      </w:pPr>
      <w:r>
        <w:rPr>
          <w:rFonts w:hAnsi="黑体" w:eastAsia="黑体"/>
          <w:kern w:val="0"/>
          <w:sz w:val="32"/>
          <w:szCs w:val="32"/>
        </w:rPr>
        <w:t>第一章</w:t>
      </w:r>
      <w:r>
        <w:rPr>
          <w:rFonts w:eastAsia="黑体"/>
          <w:kern w:val="0"/>
          <w:sz w:val="32"/>
          <w:szCs w:val="32"/>
        </w:rPr>
        <w:t xml:space="preserve">  </w:t>
      </w:r>
      <w:r>
        <w:rPr>
          <w:rFonts w:hAnsi="黑体" w:eastAsia="黑体"/>
          <w:kern w:val="0"/>
          <w:sz w:val="32"/>
          <w:szCs w:val="32"/>
        </w:rPr>
        <w:t>总则</w:t>
      </w:r>
    </w:p>
    <w:p>
      <w:pPr>
        <w:spacing w:line="546" w:lineRule="exact"/>
        <w:ind w:firstLine="618" w:firstLineChars="200"/>
        <w:rPr>
          <w:rFonts w:eastAsia="仿宋_GB2312"/>
          <w:kern w:val="0"/>
          <w:sz w:val="32"/>
          <w:szCs w:val="32"/>
        </w:rPr>
      </w:pPr>
      <w:r>
        <w:rPr>
          <w:rFonts w:eastAsia="仿宋_GB2312"/>
          <w:b/>
          <w:sz w:val="32"/>
          <w:szCs w:val="32"/>
        </w:rPr>
        <w:t>第一条</w:t>
      </w:r>
      <w:r>
        <w:rPr>
          <w:rFonts w:eastAsia="仿宋_GB2312"/>
          <w:sz w:val="32"/>
          <w:szCs w:val="32"/>
        </w:rPr>
        <w:t xml:space="preserve">  </w:t>
      </w:r>
      <w:r>
        <w:rPr>
          <w:rFonts w:eastAsia="仿宋_GB2312"/>
          <w:kern w:val="0"/>
          <w:sz w:val="32"/>
          <w:szCs w:val="32"/>
        </w:rPr>
        <w:t>为进一步规范全省管道燃气特许经营行为，促进管道燃气行业健康有序发展，提升行业本质安全，依据《城镇燃气管理条例》《基础设施和公用事业特许经营管理办法》《市政公用事业特许经营管理办法》《河南省城镇燃气管理办法》《河南省人民政府办公厅关于进一步规范全省管道燃气经营加强安全管理的意见》，结合本省实际，制定本办法。</w:t>
      </w:r>
    </w:p>
    <w:p>
      <w:pPr>
        <w:widowControl/>
        <w:spacing w:line="546" w:lineRule="exact"/>
        <w:ind w:firstLine="618" w:firstLineChars="200"/>
        <w:rPr>
          <w:rFonts w:eastAsia="仿宋_GB2312"/>
          <w:kern w:val="0"/>
          <w:sz w:val="32"/>
          <w:szCs w:val="32"/>
        </w:rPr>
      </w:pPr>
      <w:r>
        <w:rPr>
          <w:rFonts w:eastAsia="仿宋_GB2312"/>
          <w:b/>
          <w:sz w:val="32"/>
          <w:szCs w:val="32"/>
        </w:rPr>
        <w:t>第二条</w:t>
      </w:r>
      <w:r>
        <w:rPr>
          <w:rFonts w:eastAsia="仿宋_GB2312"/>
          <w:sz w:val="32"/>
          <w:szCs w:val="32"/>
        </w:rPr>
        <w:t xml:space="preserve">  </w:t>
      </w:r>
      <w:r>
        <w:rPr>
          <w:rFonts w:eastAsia="仿宋_GB2312"/>
          <w:kern w:val="0"/>
          <w:sz w:val="32"/>
          <w:szCs w:val="32"/>
        </w:rPr>
        <w:t>本办法适用于</w:t>
      </w:r>
      <w:r>
        <w:rPr>
          <w:rFonts w:hint="eastAsia" w:eastAsia="仿宋_GB2312"/>
          <w:kern w:val="0"/>
          <w:sz w:val="32"/>
          <w:szCs w:val="32"/>
        </w:rPr>
        <w:t>全</w:t>
      </w:r>
      <w:r>
        <w:rPr>
          <w:rFonts w:eastAsia="仿宋_GB2312"/>
          <w:kern w:val="0"/>
          <w:sz w:val="32"/>
          <w:szCs w:val="32"/>
        </w:rPr>
        <w:t>省行政区域内管道燃气特许经营企业的评估管理。</w:t>
      </w:r>
    </w:p>
    <w:p>
      <w:pPr>
        <w:autoSpaceDE w:val="0"/>
        <w:autoSpaceDN w:val="0"/>
        <w:adjustRightInd w:val="0"/>
        <w:spacing w:line="546" w:lineRule="exact"/>
        <w:jc w:val="center"/>
        <w:rPr>
          <w:rFonts w:eastAsia="黑体"/>
          <w:kern w:val="0"/>
          <w:sz w:val="32"/>
          <w:szCs w:val="32"/>
        </w:rPr>
      </w:pPr>
      <w:r>
        <w:rPr>
          <w:rFonts w:hAnsi="黑体" w:eastAsia="黑体"/>
          <w:kern w:val="0"/>
          <w:sz w:val="32"/>
          <w:szCs w:val="32"/>
        </w:rPr>
        <w:t>第二章</w:t>
      </w:r>
      <w:r>
        <w:rPr>
          <w:rFonts w:eastAsia="黑体"/>
          <w:kern w:val="0"/>
          <w:sz w:val="32"/>
          <w:szCs w:val="32"/>
        </w:rPr>
        <w:t xml:space="preserve"> </w:t>
      </w:r>
      <w:r>
        <w:rPr>
          <w:rFonts w:hAnsi="黑体" w:eastAsia="黑体"/>
          <w:kern w:val="0"/>
          <w:sz w:val="32"/>
          <w:szCs w:val="32"/>
        </w:rPr>
        <w:t>评估组织</w:t>
      </w:r>
    </w:p>
    <w:p>
      <w:pPr>
        <w:spacing w:line="546" w:lineRule="exact"/>
        <w:ind w:firstLine="618" w:firstLineChars="200"/>
        <w:rPr>
          <w:rFonts w:eastAsia="仿宋_GB2312"/>
          <w:kern w:val="0"/>
          <w:sz w:val="32"/>
          <w:szCs w:val="32"/>
        </w:rPr>
      </w:pPr>
      <w:r>
        <w:rPr>
          <w:rFonts w:eastAsia="仿宋_GB2312"/>
          <w:b/>
          <w:sz w:val="32"/>
          <w:szCs w:val="32"/>
        </w:rPr>
        <w:t>第三条</w:t>
      </w:r>
      <w:r>
        <w:rPr>
          <w:rFonts w:eastAsia="仿宋_GB2312"/>
          <w:sz w:val="32"/>
          <w:szCs w:val="32"/>
        </w:rPr>
        <w:t xml:space="preserve">  </w:t>
      </w:r>
      <w:r>
        <w:rPr>
          <w:rFonts w:eastAsia="仿宋_GB2312"/>
          <w:kern w:val="0"/>
          <w:sz w:val="32"/>
          <w:szCs w:val="32"/>
        </w:rPr>
        <w:t>河南省住房和城乡建设厅负责全省行政区域内管道燃气特许经营评估的指导、监督工作。</w:t>
      </w:r>
      <w:r>
        <w:rPr>
          <w:rFonts w:eastAsia="仿宋_GB2312"/>
          <w:bCs/>
          <w:sz w:val="32"/>
          <w:szCs w:val="32"/>
        </w:rPr>
        <w:t>建立全省管道燃气特许经营评估专家库，明确专家入库条件和标准。</w:t>
      </w:r>
    </w:p>
    <w:p>
      <w:pPr>
        <w:spacing w:line="546" w:lineRule="exact"/>
        <w:ind w:firstLine="618" w:firstLineChars="200"/>
        <w:rPr>
          <w:rFonts w:eastAsia="仿宋_GB2312"/>
          <w:kern w:val="0"/>
          <w:sz w:val="32"/>
          <w:szCs w:val="32"/>
        </w:rPr>
      </w:pPr>
      <w:r>
        <w:rPr>
          <w:rFonts w:eastAsia="仿宋_GB2312"/>
          <w:b/>
          <w:sz w:val="32"/>
          <w:szCs w:val="32"/>
        </w:rPr>
        <w:t>第四条</w:t>
      </w:r>
      <w:r>
        <w:rPr>
          <w:rFonts w:eastAsia="仿宋_GB2312"/>
          <w:sz w:val="32"/>
          <w:szCs w:val="32"/>
        </w:rPr>
        <w:t xml:space="preserve">  </w:t>
      </w:r>
      <w:r>
        <w:rPr>
          <w:rFonts w:eastAsia="仿宋_GB2312"/>
          <w:kern w:val="0"/>
          <w:sz w:val="32"/>
          <w:szCs w:val="32"/>
        </w:rPr>
        <w:t>省辖市人民政府</w:t>
      </w:r>
      <w:r>
        <w:rPr>
          <w:rFonts w:eastAsia="仿宋_GB2312"/>
          <w:color w:val="000000"/>
          <w:sz w:val="32"/>
          <w:szCs w:val="32"/>
        </w:rPr>
        <w:t>、济源示范区管委会</w:t>
      </w:r>
      <w:r>
        <w:rPr>
          <w:rFonts w:eastAsia="仿宋_GB2312"/>
          <w:kern w:val="0"/>
          <w:sz w:val="32"/>
          <w:szCs w:val="32"/>
        </w:rPr>
        <w:t>应建立由政府统筹，相关部门协同配合的工作推进机制，成立由城管、住建、发改、公安、财政、自然资源、商务、应急管理、市场监管等部门组成的管道燃气特许经营评估工作领导小组（以下简称“评估领导小组”），负责</w:t>
      </w:r>
      <w:r>
        <w:rPr>
          <w:rFonts w:eastAsia="仿宋_GB2312"/>
          <w:color w:val="000000"/>
          <w:sz w:val="32"/>
          <w:szCs w:val="32"/>
        </w:rPr>
        <w:t>本行政区域</w:t>
      </w:r>
      <w:r>
        <w:rPr>
          <w:rFonts w:eastAsia="仿宋_GB2312"/>
          <w:kern w:val="0"/>
          <w:sz w:val="32"/>
          <w:szCs w:val="32"/>
        </w:rPr>
        <w:t>内特许经营评估工作。</w:t>
      </w:r>
    </w:p>
    <w:p>
      <w:pPr>
        <w:spacing w:line="546" w:lineRule="exact"/>
        <w:ind w:firstLine="618" w:firstLineChars="200"/>
        <w:rPr>
          <w:rFonts w:eastAsia="仿宋_GB2312"/>
          <w:kern w:val="0"/>
          <w:sz w:val="32"/>
          <w:szCs w:val="32"/>
        </w:rPr>
      </w:pPr>
      <w:r>
        <w:rPr>
          <w:rFonts w:eastAsia="仿宋_GB2312"/>
          <w:b/>
          <w:bCs/>
          <w:kern w:val="0"/>
          <w:sz w:val="32"/>
          <w:szCs w:val="32"/>
        </w:rPr>
        <w:t>第五条</w:t>
      </w:r>
      <w:r>
        <w:rPr>
          <w:rFonts w:eastAsia="仿宋_GB2312"/>
          <w:kern w:val="0"/>
          <w:sz w:val="32"/>
          <w:szCs w:val="32"/>
        </w:rPr>
        <w:t xml:space="preserve">  评估领导小组应当建立管道燃气特许经营评估举报受理制度，公开举报电话、信箱或电子邮件地址，受理有关举报。受理的举报事项经调查核实后，应当形成书面材料，督促管道燃气特许经营企业及相关方落实整改。</w:t>
      </w:r>
    </w:p>
    <w:p>
      <w:pPr>
        <w:autoSpaceDE w:val="0"/>
        <w:autoSpaceDN w:val="0"/>
        <w:adjustRightInd w:val="0"/>
        <w:spacing w:line="546" w:lineRule="exact"/>
        <w:jc w:val="center"/>
        <w:rPr>
          <w:rFonts w:eastAsia="黑体"/>
          <w:kern w:val="0"/>
          <w:sz w:val="32"/>
          <w:szCs w:val="32"/>
        </w:rPr>
      </w:pPr>
      <w:r>
        <w:rPr>
          <w:rFonts w:hAnsi="黑体" w:eastAsia="黑体"/>
          <w:kern w:val="0"/>
          <w:sz w:val="32"/>
          <w:szCs w:val="32"/>
        </w:rPr>
        <w:t>第三章</w:t>
      </w:r>
      <w:r>
        <w:rPr>
          <w:rFonts w:eastAsia="黑体"/>
          <w:kern w:val="0"/>
          <w:sz w:val="32"/>
          <w:szCs w:val="32"/>
        </w:rPr>
        <w:t xml:space="preserve"> </w:t>
      </w:r>
      <w:r>
        <w:rPr>
          <w:rFonts w:hAnsi="黑体" w:eastAsia="黑体"/>
          <w:kern w:val="0"/>
          <w:sz w:val="32"/>
          <w:szCs w:val="32"/>
        </w:rPr>
        <w:t>评估内容</w:t>
      </w:r>
    </w:p>
    <w:p>
      <w:pPr>
        <w:spacing w:line="546" w:lineRule="exact"/>
        <w:ind w:firstLine="618" w:firstLineChars="200"/>
        <w:rPr>
          <w:rFonts w:eastAsia="仿宋_GB2312"/>
          <w:kern w:val="0"/>
          <w:sz w:val="32"/>
          <w:szCs w:val="32"/>
        </w:rPr>
      </w:pPr>
      <w:r>
        <w:rPr>
          <w:rFonts w:eastAsia="仿宋_GB2312"/>
          <w:b/>
          <w:sz w:val="32"/>
          <w:szCs w:val="32"/>
        </w:rPr>
        <w:t>第六条</w:t>
      </w:r>
      <w:r>
        <w:rPr>
          <w:rFonts w:eastAsia="仿宋_GB2312"/>
          <w:sz w:val="32"/>
          <w:szCs w:val="32"/>
        </w:rPr>
        <w:t xml:space="preserve">  </w:t>
      </w:r>
      <w:r>
        <w:rPr>
          <w:rFonts w:eastAsia="仿宋_GB2312"/>
          <w:kern w:val="0"/>
          <w:sz w:val="32"/>
          <w:szCs w:val="32"/>
        </w:rPr>
        <w:t>管道燃气特许经营评估包括：</w:t>
      </w:r>
    </w:p>
    <w:p>
      <w:pPr>
        <w:spacing w:line="546" w:lineRule="exact"/>
        <w:ind w:firstLine="618" w:firstLineChars="200"/>
        <w:rPr>
          <w:rFonts w:eastAsia="仿宋_GB2312"/>
          <w:kern w:val="0"/>
          <w:sz w:val="32"/>
          <w:szCs w:val="32"/>
        </w:rPr>
      </w:pPr>
      <w:r>
        <w:rPr>
          <w:rFonts w:eastAsia="仿宋_GB2312"/>
          <w:kern w:val="0"/>
          <w:sz w:val="32"/>
          <w:szCs w:val="32"/>
        </w:rPr>
        <w:t>（一）特许经营协议合法性完整性评估；</w:t>
      </w:r>
    </w:p>
    <w:p>
      <w:pPr>
        <w:spacing w:line="546" w:lineRule="exact"/>
        <w:ind w:firstLine="618" w:firstLineChars="200"/>
        <w:rPr>
          <w:rFonts w:eastAsia="仿宋_GB2312"/>
          <w:kern w:val="0"/>
          <w:sz w:val="32"/>
          <w:szCs w:val="32"/>
        </w:rPr>
      </w:pPr>
      <w:r>
        <w:rPr>
          <w:rFonts w:eastAsia="仿宋_GB2312"/>
          <w:kern w:val="0"/>
          <w:sz w:val="32"/>
          <w:szCs w:val="32"/>
        </w:rPr>
        <w:t>（二）企业经营情况评估。</w:t>
      </w:r>
    </w:p>
    <w:p>
      <w:pPr>
        <w:spacing w:line="546" w:lineRule="exact"/>
        <w:ind w:firstLine="618" w:firstLineChars="200"/>
        <w:rPr>
          <w:rFonts w:eastAsia="仿宋_GB2312"/>
          <w:kern w:val="0"/>
          <w:sz w:val="32"/>
          <w:szCs w:val="32"/>
        </w:rPr>
      </w:pPr>
      <w:r>
        <w:rPr>
          <w:rFonts w:eastAsia="仿宋_GB2312"/>
          <w:b/>
          <w:sz w:val="32"/>
          <w:szCs w:val="32"/>
        </w:rPr>
        <w:t>第七条</w:t>
      </w:r>
      <w:r>
        <w:rPr>
          <w:rFonts w:eastAsia="仿宋_GB2312"/>
          <w:sz w:val="32"/>
          <w:szCs w:val="32"/>
        </w:rPr>
        <w:t xml:space="preserve">  </w:t>
      </w:r>
      <w:r>
        <w:rPr>
          <w:rFonts w:eastAsia="仿宋_GB2312"/>
          <w:kern w:val="0"/>
          <w:sz w:val="32"/>
          <w:szCs w:val="32"/>
        </w:rPr>
        <w:t>特许经营协议合法性完整性评估内容：</w:t>
      </w:r>
    </w:p>
    <w:p>
      <w:pPr>
        <w:spacing w:line="546" w:lineRule="exact"/>
        <w:ind w:firstLine="618" w:firstLineChars="200"/>
        <w:rPr>
          <w:rFonts w:eastAsia="仿宋_GB2312"/>
          <w:kern w:val="0"/>
          <w:sz w:val="32"/>
          <w:szCs w:val="32"/>
        </w:rPr>
      </w:pPr>
      <w:r>
        <w:rPr>
          <w:rFonts w:eastAsia="仿宋_GB2312"/>
          <w:kern w:val="0"/>
          <w:sz w:val="32"/>
          <w:szCs w:val="32"/>
        </w:rPr>
        <w:t>（一）特许经营权授予的合法性；</w:t>
      </w:r>
    </w:p>
    <w:p>
      <w:pPr>
        <w:spacing w:line="546" w:lineRule="exact"/>
        <w:ind w:firstLine="618" w:firstLineChars="200"/>
        <w:rPr>
          <w:rFonts w:eastAsia="仿宋_GB2312"/>
          <w:kern w:val="0"/>
          <w:sz w:val="32"/>
          <w:szCs w:val="32"/>
        </w:rPr>
      </w:pPr>
      <w:r>
        <w:rPr>
          <w:rFonts w:eastAsia="仿宋_GB2312"/>
          <w:kern w:val="0"/>
          <w:sz w:val="32"/>
          <w:szCs w:val="32"/>
        </w:rPr>
        <w:t>（二）协议条款的合法性；</w:t>
      </w:r>
    </w:p>
    <w:p>
      <w:pPr>
        <w:spacing w:line="546" w:lineRule="exact"/>
        <w:ind w:firstLine="618" w:firstLineChars="200"/>
        <w:rPr>
          <w:rFonts w:eastAsia="仿宋_GB2312"/>
          <w:kern w:val="0"/>
          <w:sz w:val="32"/>
          <w:szCs w:val="32"/>
        </w:rPr>
      </w:pPr>
      <w:r>
        <w:rPr>
          <w:rFonts w:eastAsia="仿宋_GB2312"/>
          <w:kern w:val="0"/>
          <w:sz w:val="32"/>
          <w:szCs w:val="32"/>
        </w:rPr>
        <w:t>（三）协议条款的完整性；</w:t>
      </w:r>
    </w:p>
    <w:p>
      <w:pPr>
        <w:autoSpaceDE w:val="0"/>
        <w:autoSpaceDN w:val="0"/>
        <w:adjustRightInd w:val="0"/>
        <w:spacing w:line="546" w:lineRule="exact"/>
        <w:ind w:firstLine="618" w:firstLineChars="200"/>
        <w:rPr>
          <w:rFonts w:eastAsia="仿宋_GB2312"/>
          <w:kern w:val="0"/>
          <w:sz w:val="32"/>
          <w:szCs w:val="32"/>
        </w:rPr>
      </w:pPr>
      <w:r>
        <w:rPr>
          <w:rFonts w:eastAsia="仿宋_GB2312"/>
          <w:kern w:val="0"/>
          <w:sz w:val="32"/>
          <w:szCs w:val="32"/>
        </w:rPr>
        <w:t>（四）应急预案的完整性；</w:t>
      </w:r>
    </w:p>
    <w:p>
      <w:pPr>
        <w:spacing w:line="546" w:lineRule="exact"/>
        <w:ind w:firstLine="618" w:firstLineChars="200"/>
        <w:rPr>
          <w:rFonts w:eastAsia="仿宋_GB2312"/>
          <w:kern w:val="0"/>
          <w:sz w:val="32"/>
          <w:szCs w:val="32"/>
        </w:rPr>
      </w:pPr>
      <w:r>
        <w:rPr>
          <w:rFonts w:eastAsia="仿宋_GB2312"/>
          <w:kern w:val="0"/>
          <w:sz w:val="32"/>
          <w:szCs w:val="32"/>
        </w:rPr>
        <w:t>（五）临时接管条件的完整性；</w:t>
      </w:r>
    </w:p>
    <w:p>
      <w:pPr>
        <w:spacing w:line="546" w:lineRule="exact"/>
        <w:ind w:firstLine="618" w:firstLineChars="200"/>
        <w:rPr>
          <w:rFonts w:eastAsia="仿宋_GB2312"/>
          <w:kern w:val="0"/>
          <w:sz w:val="32"/>
          <w:szCs w:val="32"/>
        </w:rPr>
      </w:pPr>
      <w:r>
        <w:rPr>
          <w:rFonts w:eastAsia="仿宋_GB2312"/>
          <w:kern w:val="0"/>
          <w:sz w:val="32"/>
          <w:szCs w:val="32"/>
        </w:rPr>
        <w:t>（六）协议双方全过程履行协议情况；</w:t>
      </w:r>
    </w:p>
    <w:p>
      <w:pPr>
        <w:spacing w:line="546" w:lineRule="exact"/>
        <w:ind w:firstLine="618" w:firstLineChars="200"/>
        <w:rPr>
          <w:rFonts w:eastAsia="仿宋_GB2312"/>
          <w:kern w:val="0"/>
          <w:sz w:val="32"/>
          <w:szCs w:val="32"/>
        </w:rPr>
      </w:pPr>
      <w:r>
        <w:rPr>
          <w:rFonts w:eastAsia="仿宋_GB2312"/>
          <w:kern w:val="0"/>
          <w:sz w:val="32"/>
          <w:szCs w:val="32"/>
        </w:rPr>
        <w:t>（七）其</w:t>
      </w:r>
      <w:r>
        <w:rPr>
          <w:rFonts w:hint="eastAsia" w:eastAsia="仿宋_GB2312"/>
          <w:kern w:val="0"/>
          <w:sz w:val="32"/>
          <w:szCs w:val="32"/>
        </w:rPr>
        <w:t>他</w:t>
      </w:r>
      <w:r>
        <w:rPr>
          <w:rFonts w:eastAsia="仿宋_GB2312"/>
          <w:kern w:val="0"/>
          <w:sz w:val="32"/>
          <w:szCs w:val="32"/>
        </w:rPr>
        <w:t>需要评估的相关内容。</w:t>
      </w:r>
    </w:p>
    <w:p>
      <w:pPr>
        <w:spacing w:line="546" w:lineRule="exact"/>
        <w:ind w:left="565" w:leftChars="284"/>
        <w:rPr>
          <w:rFonts w:eastAsia="仿宋_GB2312"/>
          <w:kern w:val="0"/>
          <w:sz w:val="32"/>
          <w:szCs w:val="32"/>
        </w:rPr>
      </w:pPr>
      <w:r>
        <w:rPr>
          <w:rFonts w:eastAsia="仿宋_GB2312"/>
          <w:b/>
          <w:sz w:val="32"/>
          <w:szCs w:val="32"/>
        </w:rPr>
        <w:t>第八条</w:t>
      </w:r>
      <w:r>
        <w:rPr>
          <w:rFonts w:eastAsia="仿宋_GB2312"/>
          <w:sz w:val="32"/>
          <w:szCs w:val="32"/>
        </w:rPr>
        <w:t xml:space="preserve">  企业</w:t>
      </w:r>
      <w:r>
        <w:rPr>
          <w:rFonts w:eastAsia="仿宋_GB2312"/>
          <w:kern w:val="0"/>
          <w:sz w:val="32"/>
          <w:szCs w:val="32"/>
        </w:rPr>
        <w:t>经营情况评估内容：</w:t>
      </w:r>
    </w:p>
    <w:p>
      <w:pPr>
        <w:spacing w:line="546" w:lineRule="exact"/>
        <w:ind w:firstLine="618" w:firstLineChars="200"/>
        <w:rPr>
          <w:rFonts w:eastAsia="仿宋_GB2312"/>
          <w:kern w:val="0"/>
          <w:sz w:val="32"/>
          <w:szCs w:val="32"/>
        </w:rPr>
      </w:pPr>
      <w:r>
        <w:rPr>
          <w:rFonts w:eastAsia="仿宋_GB2312"/>
          <w:kern w:val="0"/>
          <w:sz w:val="32"/>
          <w:szCs w:val="32"/>
        </w:rPr>
        <w:t>（一）</w:t>
      </w:r>
      <w:r>
        <w:rPr>
          <w:rFonts w:hint="eastAsia" w:eastAsia="仿宋_GB2312"/>
          <w:kern w:val="0"/>
          <w:sz w:val="32"/>
          <w:szCs w:val="32"/>
        </w:rPr>
        <w:t>协议</w:t>
      </w:r>
      <w:r>
        <w:rPr>
          <w:rFonts w:eastAsia="仿宋_GB2312"/>
          <w:kern w:val="0"/>
          <w:sz w:val="32"/>
          <w:szCs w:val="32"/>
        </w:rPr>
        <w:t>履行能力及供应保障能力；</w:t>
      </w:r>
    </w:p>
    <w:p>
      <w:pPr>
        <w:autoSpaceDE w:val="0"/>
        <w:autoSpaceDN w:val="0"/>
        <w:adjustRightInd w:val="0"/>
        <w:spacing w:line="546" w:lineRule="exact"/>
        <w:ind w:firstLine="618" w:firstLineChars="200"/>
        <w:jc w:val="left"/>
        <w:rPr>
          <w:rFonts w:eastAsia="仿宋_GB2312"/>
          <w:kern w:val="0"/>
          <w:sz w:val="32"/>
          <w:szCs w:val="32"/>
        </w:rPr>
      </w:pPr>
      <w:r>
        <w:rPr>
          <w:rFonts w:eastAsia="仿宋_GB2312"/>
          <w:kern w:val="0"/>
          <w:sz w:val="32"/>
          <w:szCs w:val="32"/>
        </w:rPr>
        <w:t>（二）规划符合性；</w:t>
      </w:r>
    </w:p>
    <w:p>
      <w:pPr>
        <w:autoSpaceDE w:val="0"/>
        <w:autoSpaceDN w:val="0"/>
        <w:adjustRightInd w:val="0"/>
        <w:spacing w:line="546" w:lineRule="exact"/>
        <w:ind w:firstLine="618" w:firstLineChars="200"/>
        <w:jc w:val="left"/>
        <w:rPr>
          <w:rFonts w:eastAsia="仿宋_GB2312"/>
          <w:kern w:val="0"/>
          <w:sz w:val="32"/>
          <w:szCs w:val="32"/>
        </w:rPr>
      </w:pPr>
      <w:r>
        <w:rPr>
          <w:rFonts w:eastAsia="仿宋_GB2312"/>
          <w:kern w:val="0"/>
          <w:sz w:val="32"/>
          <w:szCs w:val="32"/>
        </w:rPr>
        <w:t>（三）安全投入、生产管理及应急能力；</w:t>
      </w:r>
    </w:p>
    <w:p>
      <w:pPr>
        <w:autoSpaceDE w:val="0"/>
        <w:autoSpaceDN w:val="0"/>
        <w:adjustRightInd w:val="0"/>
        <w:spacing w:line="546" w:lineRule="exact"/>
        <w:ind w:firstLine="618" w:firstLineChars="200"/>
        <w:jc w:val="left"/>
        <w:rPr>
          <w:rFonts w:eastAsia="仿宋_GB2312"/>
          <w:kern w:val="0"/>
          <w:sz w:val="32"/>
          <w:szCs w:val="32"/>
        </w:rPr>
      </w:pPr>
      <w:r>
        <w:rPr>
          <w:rFonts w:eastAsia="仿宋_GB2312"/>
          <w:kern w:val="0"/>
          <w:sz w:val="32"/>
          <w:szCs w:val="32"/>
        </w:rPr>
        <w:t>（四）服务质量和用户投诉</w:t>
      </w:r>
      <w:r>
        <w:rPr>
          <w:rFonts w:hint="eastAsia" w:eastAsia="仿宋_GB2312"/>
          <w:kern w:val="0"/>
          <w:sz w:val="32"/>
          <w:szCs w:val="32"/>
        </w:rPr>
        <w:t>受</w:t>
      </w:r>
      <w:r>
        <w:rPr>
          <w:rFonts w:eastAsia="仿宋_GB2312"/>
          <w:kern w:val="0"/>
          <w:sz w:val="32"/>
          <w:szCs w:val="32"/>
        </w:rPr>
        <w:t>理；</w:t>
      </w:r>
    </w:p>
    <w:p>
      <w:pPr>
        <w:autoSpaceDE w:val="0"/>
        <w:autoSpaceDN w:val="0"/>
        <w:adjustRightInd w:val="0"/>
        <w:ind w:firstLine="618" w:firstLineChars="200"/>
        <w:jc w:val="left"/>
        <w:rPr>
          <w:rFonts w:hint="eastAsia" w:eastAsia="仿宋_GB2312"/>
          <w:kern w:val="0"/>
          <w:sz w:val="32"/>
          <w:szCs w:val="32"/>
        </w:rPr>
      </w:pPr>
      <w:r>
        <w:rPr>
          <w:rFonts w:eastAsia="仿宋_GB2312"/>
          <w:kern w:val="0"/>
          <w:sz w:val="32"/>
          <w:szCs w:val="32"/>
        </w:rPr>
        <w:t>（五）其</w:t>
      </w:r>
      <w:r>
        <w:rPr>
          <w:rFonts w:hint="eastAsia" w:eastAsia="仿宋_GB2312"/>
          <w:kern w:val="0"/>
          <w:sz w:val="32"/>
          <w:szCs w:val="32"/>
        </w:rPr>
        <w:t>他</w:t>
      </w:r>
      <w:r>
        <w:rPr>
          <w:rFonts w:eastAsia="仿宋_GB2312"/>
          <w:kern w:val="0"/>
          <w:sz w:val="32"/>
          <w:szCs w:val="32"/>
        </w:rPr>
        <w:t>需要评估的相关内容。</w:t>
      </w:r>
    </w:p>
    <w:p>
      <w:pPr>
        <w:autoSpaceDE w:val="0"/>
        <w:autoSpaceDN w:val="0"/>
        <w:adjustRightInd w:val="0"/>
        <w:spacing w:line="546" w:lineRule="exact"/>
        <w:jc w:val="center"/>
        <w:rPr>
          <w:rFonts w:eastAsia="黑体"/>
          <w:kern w:val="0"/>
          <w:sz w:val="32"/>
          <w:szCs w:val="32"/>
        </w:rPr>
      </w:pPr>
      <w:r>
        <w:rPr>
          <w:rFonts w:hAnsi="黑体" w:eastAsia="黑体"/>
          <w:kern w:val="0"/>
          <w:sz w:val="32"/>
          <w:szCs w:val="32"/>
        </w:rPr>
        <w:t>第四章</w:t>
      </w:r>
      <w:r>
        <w:rPr>
          <w:rFonts w:eastAsia="黑体"/>
          <w:kern w:val="0"/>
          <w:sz w:val="32"/>
          <w:szCs w:val="32"/>
        </w:rPr>
        <w:t xml:space="preserve">  </w:t>
      </w:r>
      <w:r>
        <w:rPr>
          <w:rFonts w:hAnsi="黑体" w:eastAsia="黑体"/>
          <w:kern w:val="0"/>
          <w:sz w:val="32"/>
          <w:szCs w:val="32"/>
        </w:rPr>
        <w:t>评估方式</w:t>
      </w:r>
    </w:p>
    <w:p>
      <w:pPr>
        <w:spacing w:line="546" w:lineRule="exact"/>
        <w:ind w:firstLine="618" w:firstLineChars="200"/>
        <w:rPr>
          <w:rFonts w:eastAsia="仿宋_GB2312"/>
          <w:sz w:val="32"/>
          <w:szCs w:val="32"/>
        </w:rPr>
      </w:pPr>
      <w:r>
        <w:rPr>
          <w:rFonts w:eastAsia="仿宋_GB2312"/>
          <w:b/>
          <w:bCs/>
          <w:sz w:val="32"/>
          <w:szCs w:val="32"/>
        </w:rPr>
        <w:t>第九条</w:t>
      </w:r>
      <w:r>
        <w:rPr>
          <w:rFonts w:eastAsia="仿宋_GB2312"/>
          <w:sz w:val="32"/>
          <w:szCs w:val="32"/>
        </w:rPr>
        <w:t xml:space="preserve"> 评估领导小组应根据法律法规要求，结合实际制定评估实施方案，开展评估工作，编制评估报告。</w:t>
      </w:r>
    </w:p>
    <w:p>
      <w:pPr>
        <w:spacing w:line="546" w:lineRule="exact"/>
        <w:ind w:firstLine="618" w:firstLineChars="200"/>
        <w:rPr>
          <w:rFonts w:eastAsia="仿宋_GB2312"/>
          <w:sz w:val="32"/>
          <w:szCs w:val="32"/>
        </w:rPr>
      </w:pPr>
      <w:r>
        <w:rPr>
          <w:rFonts w:eastAsia="仿宋_GB2312"/>
          <w:b/>
          <w:sz w:val="32"/>
          <w:szCs w:val="32"/>
        </w:rPr>
        <w:t>第十条</w:t>
      </w:r>
      <w:r>
        <w:rPr>
          <w:rFonts w:eastAsia="仿宋_GB2312"/>
          <w:sz w:val="32"/>
          <w:szCs w:val="32"/>
        </w:rPr>
        <w:t xml:space="preserve"> 管道燃气</w:t>
      </w:r>
      <w:r>
        <w:rPr>
          <w:rFonts w:hint="eastAsia" w:eastAsia="仿宋_GB2312"/>
          <w:sz w:val="32"/>
          <w:szCs w:val="32"/>
        </w:rPr>
        <w:t>特许</w:t>
      </w:r>
      <w:r>
        <w:rPr>
          <w:rFonts w:eastAsia="仿宋_GB2312"/>
          <w:sz w:val="32"/>
          <w:szCs w:val="32"/>
        </w:rPr>
        <w:t>经营企业应配合做好特许经营评估的相关工作。</w:t>
      </w:r>
    </w:p>
    <w:p>
      <w:pPr>
        <w:spacing w:line="546" w:lineRule="exact"/>
        <w:ind w:firstLine="618" w:firstLineChars="200"/>
        <w:rPr>
          <w:rFonts w:eastAsia="仿宋_GB2312"/>
          <w:kern w:val="0"/>
          <w:sz w:val="32"/>
          <w:szCs w:val="32"/>
        </w:rPr>
      </w:pPr>
      <w:r>
        <w:rPr>
          <w:rFonts w:eastAsia="仿宋_GB2312"/>
          <w:b/>
          <w:sz w:val="32"/>
          <w:szCs w:val="32"/>
        </w:rPr>
        <w:t>第十一条</w:t>
      </w:r>
      <w:r>
        <w:rPr>
          <w:rFonts w:eastAsia="仿宋_GB2312"/>
          <w:sz w:val="32"/>
          <w:szCs w:val="32"/>
        </w:rPr>
        <w:t xml:space="preserve">  </w:t>
      </w:r>
      <w:r>
        <w:rPr>
          <w:rFonts w:eastAsia="仿宋_GB2312"/>
          <w:kern w:val="0"/>
          <w:sz w:val="32"/>
          <w:szCs w:val="32"/>
        </w:rPr>
        <w:t>评估报告编制完成后，评估领导小组申请从全省管道燃气特许经营评估专家库中抽取5名专家组成专家组，对评估程序及评估报告的完整性合法性进行评审，评估领导小组应结合评估报告及专家意见做出“通过”或“不通过”的复核意见。复核意见为“不通过”的，应当重新进行评估。</w:t>
      </w:r>
    </w:p>
    <w:p>
      <w:pPr>
        <w:spacing w:line="546" w:lineRule="exact"/>
        <w:ind w:firstLine="618" w:firstLineChars="200"/>
        <w:rPr>
          <w:rFonts w:eastAsia="仿宋_GB2312"/>
          <w:spacing w:val="-8"/>
          <w:kern w:val="0"/>
          <w:sz w:val="32"/>
          <w:szCs w:val="32"/>
        </w:rPr>
      </w:pPr>
      <w:r>
        <w:rPr>
          <w:rFonts w:eastAsia="仿宋_GB2312"/>
          <w:b/>
          <w:sz w:val="32"/>
          <w:szCs w:val="32"/>
        </w:rPr>
        <w:t>第十二条</w:t>
      </w:r>
      <w:r>
        <w:rPr>
          <w:rFonts w:eastAsia="仿宋_GB2312"/>
          <w:sz w:val="32"/>
          <w:szCs w:val="32"/>
        </w:rPr>
        <w:t xml:space="preserve"> </w:t>
      </w:r>
      <w:r>
        <w:rPr>
          <w:rFonts w:eastAsia="仿宋_GB2312"/>
          <w:spacing w:val="-8"/>
          <w:sz w:val="32"/>
          <w:szCs w:val="32"/>
        </w:rPr>
        <w:t xml:space="preserve"> 评估报告</w:t>
      </w:r>
      <w:r>
        <w:rPr>
          <w:rFonts w:eastAsia="仿宋_GB2312"/>
          <w:spacing w:val="-8"/>
          <w:kern w:val="0"/>
          <w:sz w:val="32"/>
          <w:szCs w:val="32"/>
        </w:rPr>
        <w:t>评审完成后，评估领导小组应将报告在省辖市人民政府</w:t>
      </w:r>
      <w:r>
        <w:rPr>
          <w:rFonts w:eastAsia="仿宋_GB2312"/>
          <w:color w:val="000000"/>
          <w:spacing w:val="-8"/>
          <w:sz w:val="32"/>
          <w:szCs w:val="32"/>
        </w:rPr>
        <w:t>、济源示范区管委会</w:t>
      </w:r>
      <w:r>
        <w:rPr>
          <w:rFonts w:hint="eastAsia" w:eastAsia="仿宋_GB2312"/>
          <w:color w:val="000000"/>
          <w:spacing w:val="-8"/>
          <w:sz w:val="32"/>
          <w:szCs w:val="32"/>
        </w:rPr>
        <w:t>官方</w:t>
      </w:r>
      <w:r>
        <w:rPr>
          <w:rFonts w:eastAsia="仿宋_GB2312"/>
          <w:spacing w:val="-8"/>
          <w:kern w:val="0"/>
          <w:sz w:val="32"/>
          <w:szCs w:val="32"/>
        </w:rPr>
        <w:t>网站公示，时间不少于7个工作日。</w:t>
      </w:r>
    </w:p>
    <w:p>
      <w:pPr>
        <w:spacing w:line="546" w:lineRule="exact"/>
        <w:ind w:firstLine="618" w:firstLineChars="200"/>
        <w:rPr>
          <w:rFonts w:eastAsia="仿宋_GB2312"/>
          <w:b/>
          <w:sz w:val="32"/>
          <w:szCs w:val="32"/>
        </w:rPr>
      </w:pPr>
      <w:r>
        <w:rPr>
          <w:rFonts w:eastAsia="仿宋_GB2312"/>
          <w:kern w:val="0"/>
          <w:sz w:val="32"/>
          <w:szCs w:val="32"/>
        </w:rPr>
        <w:t>公示期间，对评估报告有异议的，可向评估领导小组提出书</w:t>
      </w:r>
      <w:r>
        <w:rPr>
          <w:rFonts w:eastAsia="仿宋_GB2312"/>
          <w:spacing w:val="-2"/>
          <w:kern w:val="0"/>
          <w:sz w:val="32"/>
          <w:szCs w:val="32"/>
        </w:rPr>
        <w:t>面意见，评估领导小组应及时受理并书面回复处理意见；对评估报告无异议的，评估领导小组应及时将评估报告报省辖市人民政府</w:t>
      </w:r>
      <w:r>
        <w:rPr>
          <w:rFonts w:hint="eastAsia" w:eastAsia="仿宋_GB2312"/>
          <w:spacing w:val="-2"/>
          <w:kern w:val="0"/>
          <w:sz w:val="32"/>
          <w:szCs w:val="32"/>
        </w:rPr>
        <w:t>、济源示范区管委会</w:t>
      </w:r>
      <w:r>
        <w:rPr>
          <w:rFonts w:eastAsia="仿宋_GB2312"/>
          <w:spacing w:val="-2"/>
          <w:kern w:val="0"/>
          <w:sz w:val="32"/>
          <w:szCs w:val="32"/>
        </w:rPr>
        <w:t>批准后书面告知</w:t>
      </w:r>
      <w:r>
        <w:rPr>
          <w:rFonts w:eastAsia="仿宋_GB2312"/>
          <w:spacing w:val="-2"/>
          <w:sz w:val="32"/>
          <w:szCs w:val="32"/>
        </w:rPr>
        <w:t>管道燃气</w:t>
      </w:r>
      <w:r>
        <w:rPr>
          <w:rFonts w:hint="eastAsia" w:eastAsia="仿宋_GB2312"/>
          <w:spacing w:val="-2"/>
          <w:sz w:val="32"/>
          <w:szCs w:val="32"/>
        </w:rPr>
        <w:t>特许</w:t>
      </w:r>
      <w:r>
        <w:rPr>
          <w:rFonts w:eastAsia="仿宋_GB2312"/>
          <w:spacing w:val="-2"/>
          <w:sz w:val="32"/>
          <w:szCs w:val="32"/>
        </w:rPr>
        <w:t>经营企业</w:t>
      </w:r>
      <w:r>
        <w:rPr>
          <w:rFonts w:eastAsia="仿宋_GB2312"/>
          <w:spacing w:val="-2"/>
          <w:kern w:val="0"/>
          <w:sz w:val="32"/>
          <w:szCs w:val="32"/>
        </w:rPr>
        <w:t>，并在批准后7个工作日内将评估报告报河南省住房和城乡建设厅备案。</w:t>
      </w:r>
    </w:p>
    <w:p>
      <w:pPr>
        <w:spacing w:line="546" w:lineRule="exact"/>
        <w:jc w:val="center"/>
        <w:rPr>
          <w:rFonts w:eastAsia="黑体"/>
          <w:bCs/>
          <w:sz w:val="32"/>
          <w:szCs w:val="32"/>
        </w:rPr>
      </w:pPr>
      <w:r>
        <w:rPr>
          <w:rFonts w:hAnsi="黑体" w:eastAsia="黑体"/>
          <w:bCs/>
          <w:sz w:val="32"/>
          <w:szCs w:val="32"/>
        </w:rPr>
        <w:t>第五章</w:t>
      </w:r>
      <w:r>
        <w:rPr>
          <w:rFonts w:eastAsia="黑体"/>
          <w:bCs/>
          <w:sz w:val="32"/>
          <w:szCs w:val="32"/>
        </w:rPr>
        <w:t xml:space="preserve">  </w:t>
      </w:r>
      <w:r>
        <w:rPr>
          <w:rFonts w:hAnsi="黑体" w:eastAsia="黑体"/>
          <w:bCs/>
          <w:sz w:val="32"/>
          <w:szCs w:val="32"/>
        </w:rPr>
        <w:t>评估管理</w:t>
      </w:r>
    </w:p>
    <w:p>
      <w:pPr>
        <w:spacing w:line="546" w:lineRule="exact"/>
        <w:ind w:firstLine="618" w:firstLineChars="200"/>
        <w:rPr>
          <w:rFonts w:eastAsia="仿宋_GB2312"/>
          <w:sz w:val="32"/>
          <w:szCs w:val="32"/>
        </w:rPr>
      </w:pPr>
      <w:r>
        <w:rPr>
          <w:rFonts w:eastAsia="仿宋_GB2312"/>
          <w:b/>
          <w:sz w:val="32"/>
          <w:szCs w:val="32"/>
        </w:rPr>
        <w:t>第十三条</w:t>
      </w:r>
      <w:r>
        <w:rPr>
          <w:rFonts w:eastAsia="仿宋_GB2312"/>
          <w:sz w:val="32"/>
          <w:szCs w:val="32"/>
        </w:rPr>
        <w:t xml:space="preserve">  对特许经营协议合法性完整性评估不通过的，省辖市、</w:t>
      </w:r>
      <w:r>
        <w:rPr>
          <w:rFonts w:eastAsia="仿宋_GB2312"/>
          <w:kern w:val="0"/>
          <w:sz w:val="32"/>
          <w:szCs w:val="32"/>
        </w:rPr>
        <w:t>县（含县级市）人民政府</w:t>
      </w:r>
      <w:r>
        <w:rPr>
          <w:rFonts w:hint="eastAsia" w:eastAsia="仿宋_GB2312"/>
          <w:kern w:val="0"/>
          <w:sz w:val="32"/>
          <w:szCs w:val="32"/>
        </w:rPr>
        <w:t>及</w:t>
      </w:r>
      <w:r>
        <w:rPr>
          <w:rFonts w:eastAsia="仿宋_GB2312"/>
          <w:color w:val="000000"/>
          <w:sz w:val="32"/>
          <w:szCs w:val="32"/>
        </w:rPr>
        <w:t>济源示范区管委会</w:t>
      </w:r>
      <w:r>
        <w:rPr>
          <w:rFonts w:eastAsia="仿宋_GB2312"/>
          <w:kern w:val="0"/>
          <w:sz w:val="32"/>
          <w:szCs w:val="32"/>
        </w:rPr>
        <w:t>应当根据评估意见组织整改。</w:t>
      </w:r>
    </w:p>
    <w:p>
      <w:pPr>
        <w:spacing w:line="546" w:lineRule="exact"/>
        <w:ind w:firstLine="618" w:firstLineChars="200"/>
        <w:rPr>
          <w:rFonts w:eastAsia="仿宋_GB2312"/>
          <w:sz w:val="32"/>
          <w:szCs w:val="32"/>
        </w:rPr>
      </w:pPr>
      <w:r>
        <w:rPr>
          <w:rFonts w:eastAsia="仿宋_GB2312"/>
          <w:b/>
          <w:sz w:val="32"/>
          <w:szCs w:val="32"/>
        </w:rPr>
        <w:t>第十四条</w:t>
      </w:r>
      <w:r>
        <w:rPr>
          <w:rFonts w:eastAsia="仿宋_GB2312"/>
          <w:kern w:val="0"/>
          <w:sz w:val="32"/>
          <w:szCs w:val="32"/>
        </w:rPr>
        <w:t xml:space="preserve">  </w:t>
      </w:r>
      <w:r>
        <w:rPr>
          <w:rFonts w:eastAsia="仿宋_GB2312"/>
          <w:sz w:val="32"/>
          <w:szCs w:val="32"/>
        </w:rPr>
        <w:t>企业经营情况评估结果分为合格、不合格两个档次。75分及以上为“合格”，75分以下为“不合格”。</w:t>
      </w:r>
    </w:p>
    <w:p>
      <w:pPr>
        <w:spacing w:line="546" w:lineRule="exact"/>
        <w:ind w:firstLine="618" w:firstLineChars="200"/>
        <w:rPr>
          <w:rFonts w:eastAsia="仿宋_GB2312"/>
          <w:sz w:val="32"/>
          <w:szCs w:val="32"/>
        </w:rPr>
      </w:pPr>
      <w:r>
        <w:rPr>
          <w:rFonts w:eastAsia="仿宋_GB2312"/>
          <w:sz w:val="32"/>
          <w:szCs w:val="32"/>
        </w:rPr>
        <w:t>评估分值依照《河南省管道燃气特许经营评估评分标准》（见附件）进行。</w:t>
      </w:r>
    </w:p>
    <w:p>
      <w:pPr>
        <w:spacing w:line="546" w:lineRule="exact"/>
        <w:ind w:firstLine="618" w:firstLineChars="200"/>
        <w:rPr>
          <w:rFonts w:eastAsia="仿宋_GB2312"/>
          <w:sz w:val="32"/>
          <w:szCs w:val="32"/>
        </w:rPr>
      </w:pPr>
      <w:r>
        <w:rPr>
          <w:rFonts w:eastAsia="仿宋_GB2312"/>
          <w:b/>
          <w:sz w:val="32"/>
          <w:szCs w:val="32"/>
        </w:rPr>
        <w:t>第十五条</w:t>
      </w:r>
      <w:r>
        <w:rPr>
          <w:rFonts w:eastAsia="仿宋_GB2312"/>
          <w:sz w:val="32"/>
          <w:szCs w:val="32"/>
        </w:rPr>
        <w:t xml:space="preserve">  企业经营情况评估结果为“合格”（75分及以上）</w:t>
      </w:r>
      <w:r>
        <w:rPr>
          <w:rFonts w:eastAsia="仿宋_GB2312"/>
          <w:kern w:val="0"/>
          <w:sz w:val="32"/>
          <w:szCs w:val="32"/>
        </w:rPr>
        <w:t>的，</w:t>
      </w:r>
      <w:r>
        <w:rPr>
          <w:rFonts w:eastAsia="仿宋_GB2312"/>
          <w:sz w:val="32"/>
          <w:szCs w:val="32"/>
        </w:rPr>
        <w:t>管道燃气</w:t>
      </w:r>
      <w:r>
        <w:rPr>
          <w:rFonts w:hint="eastAsia" w:eastAsia="仿宋_GB2312"/>
          <w:sz w:val="32"/>
          <w:szCs w:val="32"/>
        </w:rPr>
        <w:t>特许</w:t>
      </w:r>
      <w:r>
        <w:rPr>
          <w:rFonts w:eastAsia="仿宋_GB2312"/>
          <w:sz w:val="32"/>
          <w:szCs w:val="32"/>
        </w:rPr>
        <w:t>经营企业</w:t>
      </w:r>
      <w:r>
        <w:rPr>
          <w:rFonts w:eastAsia="仿宋_GB2312"/>
          <w:kern w:val="0"/>
          <w:sz w:val="32"/>
          <w:szCs w:val="32"/>
        </w:rPr>
        <w:t>应按照评估意见对存在问题进行整改，并在1个月内将整改情况报评估领导小组备案，评估领导小组可视情对整改情况进行核查。评估结果为“不合格”</w:t>
      </w:r>
      <w:r>
        <w:rPr>
          <w:rFonts w:hint="eastAsia" w:eastAsia="仿宋_GB2312"/>
          <w:kern w:val="0"/>
          <w:sz w:val="32"/>
          <w:szCs w:val="32"/>
        </w:rPr>
        <w:t>（75分以下）</w:t>
      </w:r>
      <w:r>
        <w:rPr>
          <w:rFonts w:eastAsia="仿宋_GB2312"/>
          <w:kern w:val="0"/>
          <w:sz w:val="32"/>
          <w:szCs w:val="32"/>
        </w:rPr>
        <w:t>的，应按照评估意见对存在问题进行整改，并在3个月内将整改情况报评估领导小组，</w:t>
      </w:r>
      <w:r>
        <w:rPr>
          <w:rFonts w:eastAsia="仿宋_GB2312"/>
          <w:sz w:val="32"/>
          <w:szCs w:val="32"/>
        </w:rPr>
        <w:t>评估领导小组应根据整改情况，重新组织评估。</w:t>
      </w:r>
    </w:p>
    <w:p>
      <w:pPr>
        <w:spacing w:line="546" w:lineRule="exact"/>
        <w:ind w:firstLine="618" w:firstLineChars="200"/>
        <w:rPr>
          <w:rFonts w:eastAsia="仿宋_GB2312"/>
          <w:sz w:val="32"/>
          <w:szCs w:val="32"/>
        </w:rPr>
      </w:pPr>
      <w:r>
        <w:rPr>
          <w:rFonts w:eastAsia="仿宋_GB2312"/>
          <w:b/>
          <w:sz w:val="32"/>
          <w:szCs w:val="32"/>
        </w:rPr>
        <w:t xml:space="preserve">第十六条  </w:t>
      </w:r>
      <w:r>
        <w:rPr>
          <w:rFonts w:eastAsia="仿宋_GB2312"/>
          <w:sz w:val="32"/>
          <w:szCs w:val="32"/>
        </w:rPr>
        <w:t>管道燃气</w:t>
      </w:r>
      <w:r>
        <w:rPr>
          <w:rFonts w:hint="eastAsia" w:eastAsia="仿宋_GB2312"/>
          <w:sz w:val="32"/>
          <w:szCs w:val="32"/>
        </w:rPr>
        <w:t>特许</w:t>
      </w:r>
      <w:r>
        <w:rPr>
          <w:rFonts w:eastAsia="仿宋_GB2312"/>
          <w:sz w:val="32"/>
          <w:szCs w:val="32"/>
        </w:rPr>
        <w:t>经营企业有下列情形之一的，</w:t>
      </w:r>
      <w:r>
        <w:rPr>
          <w:rFonts w:eastAsia="仿宋_GB2312"/>
          <w:kern w:val="0"/>
          <w:sz w:val="32"/>
          <w:szCs w:val="32"/>
        </w:rPr>
        <w:t>省辖市、县（含县级市）人民政府</w:t>
      </w:r>
      <w:r>
        <w:rPr>
          <w:rFonts w:hint="eastAsia" w:eastAsia="仿宋_GB2312"/>
          <w:kern w:val="0"/>
          <w:sz w:val="32"/>
          <w:szCs w:val="32"/>
        </w:rPr>
        <w:t>及</w:t>
      </w:r>
      <w:r>
        <w:rPr>
          <w:rFonts w:eastAsia="仿宋_GB2312"/>
          <w:sz w:val="32"/>
          <w:szCs w:val="32"/>
        </w:rPr>
        <w:t>济源示范区管委会</w:t>
      </w:r>
      <w:r>
        <w:rPr>
          <w:rFonts w:eastAsia="仿宋_GB2312"/>
          <w:kern w:val="0"/>
          <w:sz w:val="32"/>
          <w:szCs w:val="32"/>
        </w:rPr>
        <w:t>或地方燃气行政主管部门应当依法终止特许经营协议，取消其特许经营权，并可以实施临时接管：</w:t>
      </w:r>
    </w:p>
    <w:p>
      <w:pPr>
        <w:spacing w:line="546" w:lineRule="exact"/>
        <w:ind w:firstLine="618"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rPr>
        <w:t>一</w:t>
      </w:r>
      <w:r>
        <w:rPr>
          <w:rFonts w:eastAsia="仿宋_GB2312"/>
          <w:kern w:val="0"/>
          <w:sz w:val="32"/>
          <w:szCs w:val="32"/>
        </w:rPr>
        <w:t>）在规定的时间内拒不整改</w:t>
      </w:r>
      <w:r>
        <w:rPr>
          <w:rFonts w:hint="eastAsia" w:eastAsia="仿宋_GB2312"/>
          <w:kern w:val="0"/>
          <w:sz w:val="32"/>
          <w:szCs w:val="32"/>
        </w:rPr>
        <w:t>或</w:t>
      </w:r>
      <w:r>
        <w:rPr>
          <w:rFonts w:eastAsia="仿宋_GB2312"/>
          <w:kern w:val="0"/>
          <w:sz w:val="32"/>
          <w:szCs w:val="32"/>
        </w:rPr>
        <w:t>整改</w:t>
      </w:r>
      <w:r>
        <w:rPr>
          <w:rFonts w:hint="eastAsia" w:eastAsia="仿宋_GB2312"/>
          <w:kern w:val="0"/>
          <w:sz w:val="32"/>
          <w:szCs w:val="32"/>
        </w:rPr>
        <w:t>后</w:t>
      </w:r>
      <w:r>
        <w:rPr>
          <w:rFonts w:eastAsia="仿宋_GB2312"/>
          <w:kern w:val="0"/>
          <w:sz w:val="32"/>
          <w:szCs w:val="32"/>
        </w:rPr>
        <w:t>重新评估仍然不合格的；</w:t>
      </w:r>
    </w:p>
    <w:p>
      <w:pPr>
        <w:spacing w:line="546" w:lineRule="exact"/>
        <w:ind w:firstLine="618" w:firstLineChars="200"/>
        <w:rPr>
          <w:rFonts w:hint="eastAsia" w:eastAsia="仿宋_GB2312"/>
          <w:kern w:val="0"/>
          <w:sz w:val="32"/>
          <w:szCs w:val="32"/>
        </w:rPr>
      </w:pPr>
      <w:r>
        <w:rPr>
          <w:rFonts w:eastAsia="仿宋_GB2312"/>
          <w:kern w:val="0"/>
          <w:sz w:val="32"/>
          <w:szCs w:val="32"/>
        </w:rPr>
        <w:t>（</w:t>
      </w:r>
      <w:r>
        <w:rPr>
          <w:rFonts w:hint="eastAsia" w:eastAsia="仿宋_GB2312"/>
          <w:kern w:val="0"/>
          <w:sz w:val="32"/>
          <w:szCs w:val="32"/>
        </w:rPr>
        <w:t>二</w:t>
      </w:r>
      <w:r>
        <w:rPr>
          <w:rFonts w:eastAsia="仿宋_GB2312"/>
          <w:kern w:val="0"/>
          <w:sz w:val="32"/>
          <w:szCs w:val="32"/>
        </w:rPr>
        <w:t>）因管理不善，发生重大质量、安全事故的</w:t>
      </w:r>
      <w:r>
        <w:rPr>
          <w:rFonts w:hint="eastAsia" w:eastAsia="仿宋_GB2312"/>
          <w:kern w:val="0"/>
          <w:sz w:val="32"/>
          <w:szCs w:val="32"/>
        </w:rPr>
        <w:t>；</w:t>
      </w:r>
    </w:p>
    <w:p>
      <w:pPr>
        <w:spacing w:line="546" w:lineRule="exact"/>
        <w:ind w:firstLine="618" w:firstLineChars="200"/>
        <w:rPr>
          <w:rFonts w:hint="eastAsia" w:eastAsia="仿宋_GB2312"/>
          <w:kern w:val="0"/>
          <w:sz w:val="32"/>
          <w:szCs w:val="32"/>
        </w:rPr>
      </w:pPr>
      <w:r>
        <w:rPr>
          <w:rFonts w:hint="eastAsia" w:eastAsia="仿宋_GB2312"/>
          <w:kern w:val="0"/>
          <w:sz w:val="32"/>
          <w:szCs w:val="32"/>
        </w:rPr>
        <w:t>（三）擅自转让、出租特许经营权的；</w:t>
      </w:r>
    </w:p>
    <w:p>
      <w:pPr>
        <w:spacing w:line="546" w:lineRule="exact"/>
        <w:ind w:firstLine="618" w:firstLineChars="200"/>
        <w:rPr>
          <w:rFonts w:hint="eastAsia" w:eastAsia="仿宋_GB2312"/>
          <w:kern w:val="0"/>
          <w:sz w:val="32"/>
          <w:szCs w:val="32"/>
        </w:rPr>
      </w:pPr>
      <w:r>
        <w:rPr>
          <w:rFonts w:hint="eastAsia" w:eastAsia="仿宋_GB2312"/>
          <w:kern w:val="0"/>
          <w:sz w:val="32"/>
          <w:szCs w:val="32"/>
        </w:rPr>
        <w:t>（四）擅自将所经营的财产进行处置或者抵押的；</w:t>
      </w:r>
    </w:p>
    <w:p>
      <w:pPr>
        <w:spacing w:line="546" w:lineRule="exact"/>
        <w:ind w:firstLine="618" w:firstLineChars="200"/>
        <w:rPr>
          <w:rFonts w:hint="eastAsia" w:eastAsia="仿宋_GB2312"/>
          <w:kern w:val="0"/>
          <w:sz w:val="32"/>
          <w:szCs w:val="32"/>
        </w:rPr>
      </w:pPr>
      <w:r>
        <w:rPr>
          <w:rFonts w:hint="eastAsia" w:eastAsia="仿宋_GB2312"/>
          <w:kern w:val="0"/>
          <w:sz w:val="32"/>
          <w:szCs w:val="32"/>
        </w:rPr>
        <w:t>（五）擅自停业、歇业，严重影响到社会公共利益和安全的；</w:t>
      </w:r>
    </w:p>
    <w:p>
      <w:pPr>
        <w:spacing w:line="546" w:lineRule="exact"/>
        <w:ind w:firstLine="618" w:firstLineChars="200"/>
        <w:rPr>
          <w:rFonts w:hint="eastAsia" w:eastAsia="仿宋_GB2312"/>
          <w:kern w:val="0"/>
          <w:sz w:val="32"/>
          <w:szCs w:val="32"/>
        </w:rPr>
      </w:pPr>
      <w:r>
        <w:rPr>
          <w:rFonts w:hint="eastAsia" w:eastAsia="仿宋_GB2312"/>
          <w:kern w:val="0"/>
          <w:sz w:val="32"/>
          <w:szCs w:val="32"/>
        </w:rPr>
        <w:t>（六）法律、法规禁止的其他行为。</w:t>
      </w:r>
    </w:p>
    <w:p>
      <w:pPr>
        <w:spacing w:line="546" w:lineRule="exact"/>
        <w:ind w:firstLine="618" w:firstLineChars="200"/>
        <w:rPr>
          <w:rFonts w:eastAsia="仿宋_GB2312"/>
          <w:kern w:val="0"/>
          <w:sz w:val="32"/>
          <w:szCs w:val="32"/>
        </w:rPr>
      </w:pPr>
      <w:r>
        <w:rPr>
          <w:rFonts w:eastAsia="仿宋_GB2312"/>
          <w:kern w:val="0"/>
          <w:sz w:val="32"/>
          <w:szCs w:val="32"/>
        </w:rPr>
        <w:t>确需临时接管的，应按照有关法律、法规、规章的规定进行，并召开听证会。临时接管部门应当在举行听证会的7日前，书面通知</w:t>
      </w:r>
      <w:r>
        <w:rPr>
          <w:rFonts w:eastAsia="仿宋_GB2312"/>
          <w:sz w:val="32"/>
          <w:szCs w:val="32"/>
        </w:rPr>
        <w:t>管道燃气</w:t>
      </w:r>
      <w:r>
        <w:rPr>
          <w:rFonts w:hint="eastAsia" w:eastAsia="仿宋_GB2312"/>
          <w:sz w:val="32"/>
          <w:szCs w:val="32"/>
        </w:rPr>
        <w:t>特许</w:t>
      </w:r>
      <w:r>
        <w:rPr>
          <w:rFonts w:eastAsia="仿宋_GB2312"/>
          <w:sz w:val="32"/>
          <w:szCs w:val="32"/>
        </w:rPr>
        <w:t>经营企业</w:t>
      </w:r>
      <w:r>
        <w:rPr>
          <w:rFonts w:eastAsia="仿宋_GB2312"/>
          <w:kern w:val="0"/>
          <w:sz w:val="32"/>
          <w:szCs w:val="32"/>
        </w:rPr>
        <w:t>及利害关系人听证会的时间、地点，同时对外发布公告，公告应当载明听证会的时间、地点、参加人员等内容。</w:t>
      </w:r>
    </w:p>
    <w:p>
      <w:pPr>
        <w:spacing w:line="546" w:lineRule="exact"/>
        <w:ind w:firstLine="618" w:firstLineChars="200"/>
        <w:rPr>
          <w:rFonts w:eastAsia="仿宋_GB2312"/>
          <w:kern w:val="0"/>
          <w:sz w:val="32"/>
          <w:szCs w:val="32"/>
        </w:rPr>
      </w:pPr>
      <w:r>
        <w:rPr>
          <w:rFonts w:eastAsia="仿宋_GB2312"/>
          <w:kern w:val="0"/>
          <w:sz w:val="32"/>
          <w:szCs w:val="32"/>
        </w:rPr>
        <w:t>听证会相关资料随评估报告一同报河南省住房和城乡建设厅备案。</w:t>
      </w:r>
    </w:p>
    <w:p>
      <w:pPr>
        <w:spacing w:line="546" w:lineRule="exact"/>
        <w:jc w:val="center"/>
        <w:rPr>
          <w:rFonts w:eastAsia="黑体"/>
          <w:bCs/>
          <w:sz w:val="32"/>
          <w:szCs w:val="32"/>
        </w:rPr>
      </w:pPr>
      <w:r>
        <w:rPr>
          <w:rFonts w:hAnsi="黑体" w:eastAsia="黑体"/>
          <w:bCs/>
          <w:sz w:val="32"/>
          <w:szCs w:val="32"/>
        </w:rPr>
        <w:t>第六章</w:t>
      </w:r>
      <w:r>
        <w:rPr>
          <w:rFonts w:eastAsia="黑体"/>
          <w:bCs/>
          <w:sz w:val="32"/>
          <w:szCs w:val="32"/>
        </w:rPr>
        <w:t xml:space="preserve">  </w:t>
      </w:r>
      <w:r>
        <w:rPr>
          <w:rFonts w:hAnsi="黑体" w:eastAsia="黑体"/>
          <w:bCs/>
          <w:sz w:val="32"/>
          <w:szCs w:val="32"/>
        </w:rPr>
        <w:t>法律责任</w:t>
      </w:r>
    </w:p>
    <w:p>
      <w:pPr>
        <w:spacing w:line="546" w:lineRule="exact"/>
        <w:ind w:firstLine="618" w:firstLineChars="200"/>
        <w:rPr>
          <w:rFonts w:eastAsia="仿宋_GB2312"/>
          <w:kern w:val="0"/>
          <w:sz w:val="32"/>
          <w:szCs w:val="32"/>
        </w:rPr>
      </w:pPr>
      <w:r>
        <w:rPr>
          <w:rFonts w:eastAsia="仿宋_GB2312"/>
          <w:b/>
          <w:sz w:val="32"/>
          <w:szCs w:val="32"/>
        </w:rPr>
        <w:t>第十</w:t>
      </w:r>
      <w:r>
        <w:rPr>
          <w:rFonts w:hint="eastAsia" w:eastAsia="仿宋_GB2312"/>
          <w:b/>
          <w:sz w:val="32"/>
          <w:szCs w:val="32"/>
        </w:rPr>
        <w:t>七</w:t>
      </w:r>
      <w:r>
        <w:rPr>
          <w:rFonts w:eastAsia="仿宋_GB2312"/>
          <w:b/>
          <w:sz w:val="32"/>
          <w:szCs w:val="32"/>
        </w:rPr>
        <w:t>条</w:t>
      </w:r>
      <w:r>
        <w:rPr>
          <w:rFonts w:eastAsia="仿宋_GB2312"/>
          <w:sz w:val="32"/>
          <w:szCs w:val="32"/>
        </w:rPr>
        <w:t xml:space="preserve">  对</w:t>
      </w:r>
      <w:r>
        <w:rPr>
          <w:rFonts w:eastAsia="仿宋_GB2312"/>
          <w:kern w:val="0"/>
          <w:sz w:val="32"/>
          <w:szCs w:val="32"/>
        </w:rPr>
        <w:t>特许经营授予主体不合法的，应当依照《基础设施和公用事业特许经营管理办法》《市政公用事业特许经营管理办法》等有关法律法规妥善处理纠正，拒不整改纠正或整改纠正不到位的，应当依法追究相关部门及人员的责任。</w:t>
      </w:r>
    </w:p>
    <w:p>
      <w:pPr>
        <w:spacing w:line="546" w:lineRule="exact"/>
        <w:ind w:firstLine="618" w:firstLineChars="200"/>
      </w:pPr>
      <w:r>
        <w:rPr>
          <w:rFonts w:eastAsia="仿宋_GB2312"/>
          <w:b/>
          <w:sz w:val="32"/>
          <w:szCs w:val="32"/>
        </w:rPr>
        <w:t>第十</w:t>
      </w:r>
      <w:r>
        <w:rPr>
          <w:rFonts w:hint="eastAsia" w:eastAsia="仿宋_GB2312"/>
          <w:b/>
          <w:sz w:val="32"/>
          <w:szCs w:val="32"/>
        </w:rPr>
        <w:t>八</w:t>
      </w:r>
      <w:r>
        <w:rPr>
          <w:rFonts w:eastAsia="仿宋_GB2312"/>
          <w:b/>
          <w:sz w:val="32"/>
          <w:szCs w:val="32"/>
        </w:rPr>
        <w:t xml:space="preserve">条  </w:t>
      </w:r>
      <w:r>
        <w:rPr>
          <w:rFonts w:eastAsia="仿宋_GB2312"/>
          <w:kern w:val="0"/>
          <w:sz w:val="32"/>
          <w:szCs w:val="32"/>
        </w:rPr>
        <w:t>对评估过程中发现的违法</w:t>
      </w:r>
      <w:r>
        <w:rPr>
          <w:rFonts w:hint="eastAsia" w:eastAsia="仿宋_GB2312"/>
          <w:kern w:val="0"/>
          <w:sz w:val="32"/>
          <w:szCs w:val="32"/>
        </w:rPr>
        <w:t>违规</w:t>
      </w:r>
      <w:r>
        <w:rPr>
          <w:rFonts w:eastAsia="仿宋_GB2312"/>
          <w:kern w:val="0"/>
          <w:sz w:val="32"/>
          <w:szCs w:val="32"/>
        </w:rPr>
        <w:t>行为，应当移交有关部门依法</w:t>
      </w:r>
      <w:r>
        <w:rPr>
          <w:rFonts w:hint="eastAsia" w:eastAsia="仿宋_GB2312"/>
          <w:kern w:val="0"/>
          <w:sz w:val="32"/>
          <w:szCs w:val="32"/>
        </w:rPr>
        <w:t>依规</w:t>
      </w:r>
      <w:r>
        <w:rPr>
          <w:rFonts w:eastAsia="仿宋_GB2312"/>
          <w:kern w:val="0"/>
          <w:sz w:val="32"/>
          <w:szCs w:val="32"/>
        </w:rPr>
        <w:t>予以纠正或限期整改；对应当给予行政处罚的，及时移交有关部门依法</w:t>
      </w:r>
      <w:r>
        <w:rPr>
          <w:rFonts w:hint="eastAsia" w:eastAsia="仿宋_GB2312"/>
          <w:kern w:val="0"/>
          <w:sz w:val="32"/>
          <w:szCs w:val="32"/>
        </w:rPr>
        <w:t>依规</w:t>
      </w:r>
      <w:r>
        <w:rPr>
          <w:rFonts w:eastAsia="仿宋_GB2312"/>
          <w:kern w:val="0"/>
          <w:sz w:val="32"/>
          <w:szCs w:val="32"/>
        </w:rPr>
        <w:t>给予处罚；对阻碍评估工作或临时接管工作的单位和个人，构成违反治安管理行为的，由公安机关依法予以处罚。</w:t>
      </w:r>
    </w:p>
    <w:p>
      <w:pPr>
        <w:spacing w:line="546" w:lineRule="exact"/>
        <w:ind w:firstLine="602" w:firstLineChars="200"/>
        <w:rPr>
          <w:rFonts w:eastAsia="仿宋_GB2312"/>
          <w:spacing w:val="-4"/>
          <w:kern w:val="0"/>
          <w:sz w:val="32"/>
          <w:szCs w:val="32"/>
        </w:rPr>
      </w:pPr>
      <w:r>
        <w:rPr>
          <w:rFonts w:eastAsia="仿宋_GB2312"/>
          <w:b/>
          <w:bCs/>
          <w:spacing w:val="-4"/>
          <w:kern w:val="0"/>
          <w:sz w:val="32"/>
          <w:szCs w:val="32"/>
        </w:rPr>
        <w:t>第十九条</w:t>
      </w:r>
      <w:r>
        <w:rPr>
          <w:rFonts w:eastAsia="仿宋_GB2312"/>
          <w:spacing w:val="-4"/>
          <w:kern w:val="0"/>
          <w:sz w:val="32"/>
          <w:szCs w:val="32"/>
        </w:rPr>
        <w:t xml:space="preserve"> 对不按照规定要求实施评估或临时接管工作，造成质量安全责任事故或者群体性事件的，依法追究相关部门及</w:t>
      </w:r>
      <w:r>
        <w:rPr>
          <w:rFonts w:hint="eastAsia" w:eastAsia="仿宋_GB2312"/>
          <w:spacing w:val="-4"/>
          <w:kern w:val="0"/>
          <w:sz w:val="32"/>
          <w:szCs w:val="32"/>
        </w:rPr>
        <w:t>人员</w:t>
      </w:r>
      <w:r>
        <w:rPr>
          <w:rFonts w:eastAsia="仿宋_GB2312"/>
          <w:spacing w:val="-4"/>
          <w:kern w:val="0"/>
          <w:sz w:val="32"/>
          <w:szCs w:val="32"/>
        </w:rPr>
        <w:t xml:space="preserve">责任。 </w:t>
      </w:r>
    </w:p>
    <w:p>
      <w:pPr>
        <w:spacing w:line="546" w:lineRule="exact"/>
        <w:ind w:firstLine="618" w:firstLineChars="200"/>
        <w:rPr>
          <w:rFonts w:eastAsia="仿宋_GB2312"/>
          <w:kern w:val="0"/>
          <w:sz w:val="32"/>
          <w:szCs w:val="32"/>
        </w:rPr>
      </w:pPr>
      <w:r>
        <w:rPr>
          <w:rFonts w:eastAsia="仿宋_GB2312"/>
          <w:b/>
          <w:bCs/>
          <w:kern w:val="0"/>
          <w:sz w:val="32"/>
          <w:szCs w:val="32"/>
        </w:rPr>
        <w:t>第二十条</w:t>
      </w:r>
      <w:r>
        <w:rPr>
          <w:rFonts w:eastAsia="仿宋_GB2312"/>
          <w:kern w:val="0"/>
          <w:sz w:val="32"/>
          <w:szCs w:val="32"/>
        </w:rPr>
        <w:t xml:space="preserve">  违反本办法规定，法律、法规已有处罚规定的，适用其规定</w:t>
      </w:r>
      <w:r>
        <w:rPr>
          <w:rFonts w:hint="eastAsia" w:eastAsia="仿宋_GB2312"/>
          <w:kern w:val="0"/>
          <w:sz w:val="32"/>
          <w:szCs w:val="32"/>
        </w:rPr>
        <w:t>；</w:t>
      </w:r>
      <w:r>
        <w:rPr>
          <w:rFonts w:eastAsia="仿宋_GB2312"/>
          <w:kern w:val="0"/>
          <w:sz w:val="32"/>
          <w:szCs w:val="32"/>
        </w:rPr>
        <w:t>构成犯罪的，依法追究刑事责任。</w:t>
      </w:r>
    </w:p>
    <w:p>
      <w:pPr>
        <w:spacing w:line="546" w:lineRule="exact"/>
        <w:jc w:val="center"/>
        <w:rPr>
          <w:rFonts w:eastAsia="黑体"/>
          <w:bCs/>
          <w:sz w:val="32"/>
          <w:szCs w:val="32"/>
        </w:rPr>
      </w:pPr>
      <w:r>
        <w:rPr>
          <w:rFonts w:hAnsi="黑体" w:eastAsia="黑体"/>
          <w:bCs/>
          <w:sz w:val="32"/>
          <w:szCs w:val="32"/>
        </w:rPr>
        <w:t>第七章</w:t>
      </w:r>
      <w:r>
        <w:rPr>
          <w:rFonts w:eastAsia="黑体"/>
          <w:bCs/>
          <w:sz w:val="32"/>
          <w:szCs w:val="32"/>
        </w:rPr>
        <w:t xml:space="preserve"> </w:t>
      </w:r>
      <w:r>
        <w:rPr>
          <w:rFonts w:hAnsi="黑体" w:eastAsia="黑体"/>
          <w:bCs/>
          <w:sz w:val="32"/>
          <w:szCs w:val="32"/>
        </w:rPr>
        <w:t>附则</w:t>
      </w:r>
    </w:p>
    <w:p>
      <w:pPr>
        <w:spacing w:line="546" w:lineRule="exact"/>
        <w:ind w:firstLine="618" w:firstLineChars="200"/>
        <w:rPr>
          <w:rFonts w:eastAsia="仿宋_GB2312"/>
          <w:kern w:val="0"/>
          <w:sz w:val="32"/>
          <w:szCs w:val="32"/>
        </w:rPr>
      </w:pPr>
      <w:r>
        <w:rPr>
          <w:rFonts w:eastAsia="仿宋_GB2312"/>
          <w:b/>
          <w:sz w:val="32"/>
          <w:szCs w:val="32"/>
        </w:rPr>
        <w:t>第二十一条</w:t>
      </w:r>
      <w:r>
        <w:rPr>
          <w:rFonts w:eastAsia="仿宋_GB2312"/>
          <w:sz w:val="32"/>
          <w:szCs w:val="32"/>
        </w:rPr>
        <w:t xml:space="preserve">  </w:t>
      </w:r>
      <w:r>
        <w:rPr>
          <w:rFonts w:eastAsia="仿宋_GB2312"/>
          <w:kern w:val="0"/>
          <w:sz w:val="32"/>
          <w:szCs w:val="32"/>
        </w:rPr>
        <w:t>省辖市人民政府</w:t>
      </w:r>
      <w:r>
        <w:rPr>
          <w:rFonts w:eastAsia="仿宋_GB2312"/>
          <w:color w:val="000000"/>
          <w:sz w:val="32"/>
          <w:szCs w:val="32"/>
        </w:rPr>
        <w:t>、济源示范区管委会</w:t>
      </w:r>
      <w:r>
        <w:rPr>
          <w:rFonts w:eastAsia="仿宋_GB2312"/>
          <w:kern w:val="0"/>
          <w:sz w:val="32"/>
          <w:szCs w:val="32"/>
        </w:rPr>
        <w:t>应当每3年组织一次特许经营评估，建立</w:t>
      </w:r>
      <w:r>
        <w:rPr>
          <w:rFonts w:eastAsia="仿宋_GB2312"/>
          <w:sz w:val="32"/>
          <w:szCs w:val="32"/>
        </w:rPr>
        <w:t>管道燃气</w:t>
      </w:r>
      <w:r>
        <w:rPr>
          <w:rFonts w:hint="eastAsia" w:eastAsia="仿宋_GB2312"/>
          <w:sz w:val="32"/>
          <w:szCs w:val="32"/>
        </w:rPr>
        <w:t>特许</w:t>
      </w:r>
      <w:r>
        <w:rPr>
          <w:rFonts w:eastAsia="仿宋_GB2312"/>
          <w:sz w:val="32"/>
          <w:szCs w:val="32"/>
        </w:rPr>
        <w:t>经营企业</w:t>
      </w:r>
      <w:r>
        <w:rPr>
          <w:rFonts w:eastAsia="仿宋_GB2312"/>
          <w:kern w:val="0"/>
          <w:sz w:val="32"/>
          <w:szCs w:val="32"/>
        </w:rPr>
        <w:t>评估档案。</w:t>
      </w:r>
    </w:p>
    <w:p>
      <w:pPr>
        <w:spacing w:line="546" w:lineRule="exact"/>
        <w:ind w:firstLine="618" w:firstLineChars="200"/>
        <w:rPr>
          <w:rFonts w:eastAsia="仿宋_GB2312"/>
          <w:kern w:val="0"/>
          <w:sz w:val="32"/>
          <w:szCs w:val="32"/>
        </w:rPr>
      </w:pPr>
      <w:r>
        <w:rPr>
          <w:rFonts w:eastAsia="仿宋_GB2312"/>
          <w:b/>
          <w:sz w:val="32"/>
          <w:szCs w:val="32"/>
        </w:rPr>
        <w:t>第二十二条</w:t>
      </w:r>
      <w:r>
        <w:rPr>
          <w:rFonts w:eastAsia="仿宋_GB2312"/>
          <w:sz w:val="32"/>
          <w:szCs w:val="32"/>
        </w:rPr>
        <w:t xml:space="preserve">  </w:t>
      </w:r>
      <w:r>
        <w:rPr>
          <w:rFonts w:eastAsia="仿宋_GB2312"/>
          <w:kern w:val="0"/>
          <w:sz w:val="32"/>
          <w:szCs w:val="32"/>
        </w:rPr>
        <w:t>城镇燃气基础设施和管道燃气特许经营涉及国家安全审查的，按照国家有关规定执行。</w:t>
      </w:r>
    </w:p>
    <w:p>
      <w:pPr>
        <w:spacing w:line="546" w:lineRule="exact"/>
        <w:ind w:firstLine="618" w:firstLineChars="200"/>
        <w:rPr>
          <w:rFonts w:eastAsia="仿宋_GB2312"/>
          <w:kern w:val="0"/>
          <w:sz w:val="32"/>
          <w:szCs w:val="32"/>
        </w:rPr>
      </w:pPr>
      <w:r>
        <w:rPr>
          <w:rFonts w:eastAsia="仿宋_GB2312"/>
          <w:b/>
          <w:sz w:val="32"/>
          <w:szCs w:val="32"/>
        </w:rPr>
        <w:t xml:space="preserve">第二十三条 </w:t>
      </w:r>
      <w:r>
        <w:rPr>
          <w:rFonts w:eastAsia="仿宋_GB2312"/>
          <w:sz w:val="32"/>
          <w:szCs w:val="32"/>
        </w:rPr>
        <w:t xml:space="preserve"> </w:t>
      </w:r>
      <w:r>
        <w:rPr>
          <w:rFonts w:eastAsia="仿宋_GB2312"/>
          <w:kern w:val="0"/>
          <w:sz w:val="32"/>
          <w:szCs w:val="32"/>
        </w:rPr>
        <w:t>本办法由河南省住房和城乡建设厅负责解释。</w:t>
      </w:r>
    </w:p>
    <w:p>
      <w:pPr>
        <w:spacing w:line="546" w:lineRule="exact"/>
        <w:ind w:firstLine="618" w:firstLineChars="200"/>
        <w:rPr>
          <w:rFonts w:hint="eastAsia" w:eastAsia="仿宋_GB2312"/>
          <w:kern w:val="0"/>
          <w:sz w:val="32"/>
          <w:szCs w:val="32"/>
        </w:rPr>
      </w:pPr>
      <w:r>
        <w:rPr>
          <w:rFonts w:eastAsia="仿宋_GB2312"/>
          <w:b/>
          <w:sz w:val="32"/>
          <w:szCs w:val="32"/>
        </w:rPr>
        <w:t>第二十四条</w:t>
      </w:r>
      <w:r>
        <w:rPr>
          <w:rFonts w:eastAsia="仿宋_GB2312"/>
          <w:sz w:val="32"/>
          <w:szCs w:val="32"/>
        </w:rPr>
        <w:t xml:space="preserve">  </w:t>
      </w:r>
      <w:r>
        <w:rPr>
          <w:rFonts w:eastAsia="仿宋_GB2312"/>
          <w:kern w:val="0"/>
          <w:sz w:val="32"/>
          <w:szCs w:val="32"/>
        </w:rPr>
        <w:t>本办法自印发之日起施行。</w:t>
      </w:r>
    </w:p>
    <w:p>
      <w:pPr>
        <w:spacing w:line="546" w:lineRule="exact"/>
        <w:ind w:firstLine="618" w:firstLineChars="200"/>
        <w:rPr>
          <w:rFonts w:hint="eastAsia" w:eastAsia="仿宋_GB2312"/>
          <w:kern w:val="0"/>
          <w:sz w:val="32"/>
          <w:szCs w:val="32"/>
        </w:rPr>
      </w:pPr>
    </w:p>
    <w:p>
      <w:pPr>
        <w:spacing w:line="546" w:lineRule="exact"/>
        <w:ind w:firstLine="618" w:firstLineChars="200"/>
      </w:pPr>
      <w:r>
        <w:rPr>
          <w:rFonts w:eastAsia="仿宋_GB2312"/>
          <w:kern w:val="0"/>
          <w:sz w:val="32"/>
          <w:szCs w:val="32"/>
        </w:rPr>
        <w:t>附件：河南省管道燃气特许经营评估评分标准</w:t>
      </w:r>
      <w:r>
        <w:rPr>
          <w:rFonts w:eastAsia="仿宋_GB2312"/>
          <w:kern w:val="0"/>
          <w:sz w:val="30"/>
          <w:szCs w:val="30"/>
        </w:rPr>
        <w:t xml:space="preserve"> </w:t>
      </w:r>
    </w:p>
    <w:p>
      <w:pPr>
        <w:widowControl/>
        <w:jc w:val="left"/>
        <w:rPr>
          <w:rFonts w:eastAsia="仿宋_GB2312"/>
          <w:kern w:val="0"/>
          <w:sz w:val="30"/>
          <w:szCs w:val="30"/>
        </w:rPr>
        <w:sectPr>
          <w:footerReference r:id="rId3" w:type="default"/>
          <w:footerReference r:id="rId4" w:type="even"/>
          <w:pgSz w:w="11906" w:h="16838"/>
          <w:pgMar w:top="2098" w:right="1588" w:bottom="2098" w:left="1588" w:header="851" w:footer="1701" w:gutter="0"/>
          <w:cols w:space="720" w:num="1"/>
          <w:docGrid w:type="linesAndChars" w:linePitch="287" w:charSpace="-2374"/>
        </w:sectPr>
      </w:pPr>
    </w:p>
    <w:p>
      <w:pPr>
        <w:rPr>
          <w:rFonts w:eastAsia="黑体"/>
          <w:sz w:val="32"/>
          <w:szCs w:val="32"/>
        </w:rPr>
      </w:pPr>
      <w:r>
        <w:rPr>
          <w:rFonts w:hAnsi="黑体" w:eastAsia="黑体"/>
          <w:sz w:val="32"/>
          <w:szCs w:val="32"/>
        </w:rPr>
        <w:t>附</w:t>
      </w:r>
      <w:r>
        <w:rPr>
          <w:rFonts w:eastAsia="黑体"/>
          <w:sz w:val="32"/>
          <w:szCs w:val="32"/>
        </w:rPr>
        <w:t xml:space="preserve">  </w:t>
      </w:r>
      <w:r>
        <w:rPr>
          <w:rFonts w:hAnsi="黑体" w:eastAsia="黑体"/>
          <w:sz w:val="32"/>
          <w:szCs w:val="32"/>
        </w:rPr>
        <w:t>件</w:t>
      </w:r>
    </w:p>
    <w:p>
      <w:pPr>
        <w:jc w:val="center"/>
        <w:rPr>
          <w:rFonts w:eastAsia="方正小标宋简体"/>
          <w:sz w:val="44"/>
          <w:szCs w:val="44"/>
        </w:rPr>
      </w:pPr>
      <w:r>
        <w:rPr>
          <w:rFonts w:eastAsia="方正小标宋简体"/>
          <w:sz w:val="44"/>
          <w:szCs w:val="44"/>
        </w:rPr>
        <w:t>河南省管道燃气特许经营评估评分标准</w:t>
      </w:r>
    </w:p>
    <w:tbl>
      <w:tblPr>
        <w:tblStyle w:val="5"/>
        <w:tblW w:w="15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1750"/>
        <w:gridCol w:w="1184"/>
        <w:gridCol w:w="911"/>
        <w:gridCol w:w="9836"/>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53" w:type="dxa"/>
            <w:noWrap w:val="0"/>
            <w:vAlign w:val="center"/>
          </w:tcPr>
          <w:p>
            <w:pPr>
              <w:widowControl/>
              <w:spacing w:line="280" w:lineRule="exact"/>
              <w:jc w:val="center"/>
              <w:textAlignment w:val="center"/>
              <w:rPr>
                <w:rFonts w:eastAsia="黑体"/>
                <w:kern w:val="0"/>
                <w:szCs w:val="21"/>
              </w:rPr>
            </w:pPr>
            <w:r>
              <w:rPr>
                <w:rFonts w:hAnsi="黑体" w:eastAsia="黑体"/>
                <w:kern w:val="0"/>
                <w:szCs w:val="21"/>
              </w:rPr>
              <w:t>序号</w:t>
            </w:r>
          </w:p>
        </w:tc>
        <w:tc>
          <w:tcPr>
            <w:tcW w:w="1750" w:type="dxa"/>
            <w:noWrap w:val="0"/>
            <w:vAlign w:val="center"/>
          </w:tcPr>
          <w:p>
            <w:pPr>
              <w:widowControl/>
              <w:spacing w:line="280" w:lineRule="exact"/>
              <w:jc w:val="center"/>
              <w:textAlignment w:val="center"/>
              <w:rPr>
                <w:rFonts w:eastAsia="黑体"/>
                <w:kern w:val="0"/>
                <w:szCs w:val="21"/>
              </w:rPr>
            </w:pPr>
            <w:r>
              <w:rPr>
                <w:rFonts w:hAnsi="黑体" w:eastAsia="黑体"/>
                <w:kern w:val="0"/>
                <w:szCs w:val="21"/>
              </w:rPr>
              <w:t>评估</w:t>
            </w:r>
          </w:p>
          <w:p>
            <w:pPr>
              <w:widowControl/>
              <w:spacing w:line="280" w:lineRule="exact"/>
              <w:jc w:val="center"/>
              <w:textAlignment w:val="center"/>
              <w:rPr>
                <w:rFonts w:eastAsia="黑体"/>
                <w:kern w:val="0"/>
                <w:szCs w:val="21"/>
              </w:rPr>
            </w:pPr>
            <w:r>
              <w:rPr>
                <w:rFonts w:hAnsi="黑体" w:eastAsia="黑体"/>
                <w:kern w:val="0"/>
                <w:szCs w:val="21"/>
              </w:rPr>
              <w:t>项目</w:t>
            </w:r>
          </w:p>
        </w:tc>
        <w:tc>
          <w:tcPr>
            <w:tcW w:w="1184" w:type="dxa"/>
            <w:noWrap w:val="0"/>
            <w:vAlign w:val="center"/>
          </w:tcPr>
          <w:p>
            <w:pPr>
              <w:widowControl/>
              <w:spacing w:line="280" w:lineRule="exact"/>
              <w:jc w:val="center"/>
              <w:textAlignment w:val="center"/>
              <w:rPr>
                <w:rFonts w:eastAsia="黑体"/>
                <w:kern w:val="0"/>
                <w:szCs w:val="21"/>
              </w:rPr>
            </w:pPr>
            <w:r>
              <w:rPr>
                <w:rFonts w:hAnsi="黑体" w:eastAsia="黑体"/>
                <w:kern w:val="0"/>
                <w:szCs w:val="21"/>
              </w:rPr>
              <w:t>考评内容</w:t>
            </w:r>
          </w:p>
        </w:tc>
        <w:tc>
          <w:tcPr>
            <w:tcW w:w="911" w:type="dxa"/>
            <w:noWrap w:val="0"/>
            <w:vAlign w:val="center"/>
          </w:tcPr>
          <w:p>
            <w:pPr>
              <w:widowControl/>
              <w:spacing w:line="280" w:lineRule="exact"/>
              <w:jc w:val="center"/>
              <w:textAlignment w:val="center"/>
              <w:rPr>
                <w:rFonts w:eastAsia="黑体"/>
                <w:kern w:val="0"/>
                <w:szCs w:val="21"/>
              </w:rPr>
            </w:pPr>
            <w:r>
              <w:rPr>
                <w:rFonts w:hAnsi="黑体" w:eastAsia="黑体"/>
                <w:kern w:val="0"/>
                <w:szCs w:val="21"/>
              </w:rPr>
              <w:t>标准</w:t>
            </w:r>
          </w:p>
          <w:p>
            <w:pPr>
              <w:widowControl/>
              <w:spacing w:line="280" w:lineRule="exact"/>
              <w:jc w:val="center"/>
              <w:textAlignment w:val="center"/>
              <w:rPr>
                <w:rFonts w:eastAsia="黑体"/>
                <w:kern w:val="0"/>
                <w:szCs w:val="21"/>
              </w:rPr>
            </w:pPr>
            <w:r>
              <w:rPr>
                <w:rFonts w:hAnsi="黑体" w:eastAsia="黑体"/>
                <w:kern w:val="0"/>
                <w:szCs w:val="21"/>
              </w:rPr>
              <w:t>分值</w:t>
            </w:r>
          </w:p>
        </w:tc>
        <w:tc>
          <w:tcPr>
            <w:tcW w:w="9836" w:type="dxa"/>
            <w:noWrap w:val="0"/>
            <w:vAlign w:val="center"/>
          </w:tcPr>
          <w:p>
            <w:pPr>
              <w:widowControl/>
              <w:spacing w:line="280" w:lineRule="exact"/>
              <w:jc w:val="center"/>
              <w:textAlignment w:val="center"/>
              <w:rPr>
                <w:rFonts w:eastAsia="黑体"/>
                <w:bCs/>
                <w:szCs w:val="21"/>
              </w:rPr>
            </w:pPr>
            <w:r>
              <w:rPr>
                <w:rFonts w:hAnsi="黑体" w:eastAsia="黑体"/>
                <w:bCs/>
                <w:kern w:val="0"/>
                <w:szCs w:val="21"/>
              </w:rPr>
              <w:t>考评办法</w:t>
            </w:r>
          </w:p>
        </w:tc>
        <w:tc>
          <w:tcPr>
            <w:tcW w:w="797" w:type="dxa"/>
            <w:noWrap w:val="0"/>
            <w:vAlign w:val="center"/>
          </w:tcPr>
          <w:p>
            <w:pPr>
              <w:widowControl/>
              <w:spacing w:line="280" w:lineRule="exact"/>
              <w:jc w:val="center"/>
              <w:textAlignment w:val="center"/>
              <w:rPr>
                <w:rFonts w:eastAsia="黑体"/>
                <w:bCs/>
                <w:szCs w:val="21"/>
              </w:rPr>
            </w:pPr>
            <w:r>
              <w:rPr>
                <w:rFonts w:hAnsi="黑体" w:eastAsia="黑体"/>
                <w:bCs/>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4" w:hRule="atLeast"/>
          <w:jc w:val="center"/>
        </w:trPr>
        <w:tc>
          <w:tcPr>
            <w:tcW w:w="753" w:type="dxa"/>
            <w:noWrap w:val="0"/>
            <w:vAlign w:val="center"/>
          </w:tcPr>
          <w:p>
            <w:pPr>
              <w:widowControl/>
              <w:spacing w:line="280" w:lineRule="exact"/>
              <w:jc w:val="center"/>
              <w:textAlignment w:val="center"/>
              <w:rPr>
                <w:rFonts w:hAnsi="黑体" w:eastAsia="黑体"/>
                <w:kern w:val="0"/>
                <w:szCs w:val="21"/>
              </w:rPr>
            </w:pPr>
            <w:r>
              <w:rPr>
                <w:kern w:val="0"/>
                <w:szCs w:val="21"/>
              </w:rPr>
              <w:t>1</w:t>
            </w:r>
          </w:p>
        </w:tc>
        <w:tc>
          <w:tcPr>
            <w:tcW w:w="1750" w:type="dxa"/>
            <w:vMerge w:val="restart"/>
            <w:noWrap w:val="0"/>
            <w:vAlign w:val="center"/>
          </w:tcPr>
          <w:p>
            <w:pPr>
              <w:widowControl/>
              <w:spacing w:line="280" w:lineRule="exact"/>
              <w:jc w:val="center"/>
              <w:textAlignment w:val="center"/>
              <w:rPr>
                <w:kern w:val="0"/>
                <w:szCs w:val="21"/>
              </w:rPr>
            </w:pPr>
            <w:r>
              <w:rPr>
                <w:rFonts w:hAnsi="宋体"/>
                <w:kern w:val="0"/>
                <w:szCs w:val="21"/>
              </w:rPr>
              <w:t>一、</w:t>
            </w:r>
            <w:r>
              <w:rPr>
                <w:rFonts w:hint="eastAsia" w:hAnsi="宋体"/>
                <w:kern w:val="0"/>
                <w:szCs w:val="21"/>
              </w:rPr>
              <w:t>协议</w:t>
            </w:r>
            <w:r>
              <w:rPr>
                <w:rFonts w:hAnsi="宋体"/>
                <w:kern w:val="0"/>
                <w:szCs w:val="21"/>
              </w:rPr>
              <w:t>履行及供应保障能力（</w:t>
            </w:r>
            <w:r>
              <w:rPr>
                <w:kern w:val="0"/>
                <w:szCs w:val="21"/>
              </w:rPr>
              <w:t>17</w:t>
            </w:r>
            <w:r>
              <w:rPr>
                <w:rFonts w:hAnsi="宋体"/>
                <w:kern w:val="0"/>
                <w:szCs w:val="21"/>
              </w:rPr>
              <w:t>分）</w:t>
            </w:r>
          </w:p>
        </w:tc>
        <w:tc>
          <w:tcPr>
            <w:tcW w:w="1184" w:type="dxa"/>
            <w:noWrap w:val="0"/>
            <w:vAlign w:val="center"/>
          </w:tcPr>
          <w:p>
            <w:pPr>
              <w:widowControl/>
              <w:spacing w:line="280" w:lineRule="exact"/>
              <w:jc w:val="center"/>
              <w:textAlignment w:val="center"/>
              <w:rPr>
                <w:kern w:val="0"/>
                <w:szCs w:val="21"/>
              </w:rPr>
            </w:pPr>
            <w:r>
              <w:rPr>
                <w:rFonts w:hAnsi="宋体"/>
                <w:kern w:val="0"/>
                <w:szCs w:val="21"/>
              </w:rPr>
              <w:t>气源站</w:t>
            </w:r>
          </w:p>
        </w:tc>
        <w:tc>
          <w:tcPr>
            <w:tcW w:w="911" w:type="dxa"/>
            <w:noWrap w:val="0"/>
            <w:vAlign w:val="center"/>
          </w:tcPr>
          <w:p>
            <w:pPr>
              <w:widowControl/>
              <w:spacing w:line="280" w:lineRule="exact"/>
              <w:jc w:val="center"/>
              <w:textAlignment w:val="center"/>
              <w:rPr>
                <w:kern w:val="0"/>
                <w:szCs w:val="21"/>
              </w:rPr>
            </w:pPr>
            <w:r>
              <w:rPr>
                <w:kern w:val="0"/>
                <w:szCs w:val="21"/>
              </w:rPr>
              <w:t>2</w:t>
            </w:r>
          </w:p>
        </w:tc>
        <w:tc>
          <w:tcPr>
            <w:tcW w:w="9836" w:type="dxa"/>
            <w:noWrap w:val="0"/>
            <w:vAlign w:val="center"/>
          </w:tcPr>
          <w:p>
            <w:pPr>
              <w:widowControl/>
              <w:spacing w:line="280" w:lineRule="exact"/>
              <w:jc w:val="left"/>
              <w:textAlignment w:val="center"/>
              <w:rPr>
                <w:szCs w:val="21"/>
              </w:rPr>
            </w:pPr>
            <w:r>
              <w:rPr>
                <w:rFonts w:hAnsi="宋体"/>
                <w:kern w:val="0"/>
                <w:szCs w:val="21"/>
              </w:rPr>
              <w:t>具有城镇燃气门站或储配站的，得</w:t>
            </w:r>
            <w:r>
              <w:rPr>
                <w:kern w:val="0"/>
                <w:szCs w:val="21"/>
              </w:rPr>
              <w:t>1</w:t>
            </w:r>
            <w:r>
              <w:rPr>
                <w:rFonts w:hAnsi="宋体"/>
                <w:kern w:val="0"/>
                <w:szCs w:val="21"/>
              </w:rPr>
              <w:t>分。每增加</w:t>
            </w:r>
            <w:r>
              <w:rPr>
                <w:kern w:val="0"/>
                <w:szCs w:val="21"/>
              </w:rPr>
              <w:t>1</w:t>
            </w:r>
            <w:r>
              <w:rPr>
                <w:rFonts w:hAnsi="宋体"/>
                <w:kern w:val="0"/>
                <w:szCs w:val="21"/>
              </w:rPr>
              <w:t>座得</w:t>
            </w:r>
            <w:r>
              <w:rPr>
                <w:kern w:val="0"/>
                <w:szCs w:val="21"/>
              </w:rPr>
              <w:t>0.5</w:t>
            </w:r>
            <w:r>
              <w:rPr>
                <w:rFonts w:hAnsi="宋体"/>
                <w:kern w:val="0"/>
                <w:szCs w:val="21"/>
              </w:rPr>
              <w:t>分，最高得</w:t>
            </w:r>
            <w:r>
              <w:rPr>
                <w:kern w:val="0"/>
                <w:szCs w:val="21"/>
              </w:rPr>
              <w:t>2</w:t>
            </w:r>
            <w:r>
              <w:rPr>
                <w:rFonts w:hAnsi="宋体"/>
                <w:kern w:val="0"/>
                <w:szCs w:val="21"/>
              </w:rPr>
              <w:t>分。城市周边仅有单气源的，具有</w:t>
            </w:r>
            <w:r>
              <w:rPr>
                <w:kern w:val="0"/>
                <w:szCs w:val="21"/>
              </w:rPr>
              <w:t>1</w:t>
            </w:r>
            <w:r>
              <w:rPr>
                <w:rFonts w:hAnsi="宋体"/>
                <w:kern w:val="0"/>
                <w:szCs w:val="21"/>
              </w:rPr>
              <w:t>座城镇燃气门站或储配站可得</w:t>
            </w:r>
            <w:r>
              <w:rPr>
                <w:kern w:val="0"/>
                <w:szCs w:val="21"/>
              </w:rPr>
              <w:t>2</w:t>
            </w:r>
            <w:r>
              <w:rPr>
                <w:rFonts w:hAnsi="宋体"/>
                <w:kern w:val="0"/>
                <w:szCs w:val="21"/>
              </w:rPr>
              <w:t>分。</w:t>
            </w:r>
            <w:r>
              <w:rPr>
                <w:kern w:val="0"/>
                <w:szCs w:val="21"/>
              </w:rPr>
              <w:br w:type="textWrapping"/>
            </w:r>
            <w:r>
              <w:rPr>
                <w:rFonts w:hAnsi="宋体"/>
                <w:kern w:val="0"/>
                <w:szCs w:val="21"/>
              </w:rPr>
              <w:t>注：门站或储配站之后的调压站、计量站等不计入</w:t>
            </w:r>
            <w:r>
              <w:rPr>
                <w:rFonts w:hint="eastAsia" w:hAnsi="宋体"/>
                <w:kern w:val="0"/>
                <w:szCs w:val="21"/>
              </w:rPr>
              <w:t>该项考评内容</w:t>
            </w:r>
            <w:r>
              <w:rPr>
                <w:rFonts w:hAnsi="宋体"/>
                <w:kern w:val="0"/>
                <w:szCs w:val="21"/>
              </w:rPr>
              <w:t>；未按基本建设程序办理有关审批、验收手续的场站不计分；</w:t>
            </w:r>
            <w:r>
              <w:rPr>
                <w:kern w:val="0"/>
                <w:szCs w:val="21"/>
              </w:rPr>
              <w:t>1</w:t>
            </w:r>
            <w:r>
              <w:rPr>
                <w:rFonts w:hAnsi="宋体"/>
                <w:kern w:val="0"/>
                <w:szCs w:val="21"/>
              </w:rPr>
              <w:t>个场站同时具备管输和非管输气源，按</w:t>
            </w:r>
            <w:r>
              <w:rPr>
                <w:kern w:val="0"/>
                <w:szCs w:val="21"/>
              </w:rPr>
              <w:t>2</w:t>
            </w:r>
            <w:r>
              <w:rPr>
                <w:rFonts w:hAnsi="宋体"/>
                <w:kern w:val="0"/>
                <w:szCs w:val="21"/>
              </w:rPr>
              <w:t>座气源站计分；瓶组供应站不计分。</w:t>
            </w:r>
          </w:p>
        </w:tc>
        <w:tc>
          <w:tcPr>
            <w:tcW w:w="797" w:type="dxa"/>
            <w:noWrap w:val="0"/>
            <w:vAlign w:val="center"/>
          </w:tcPr>
          <w:p>
            <w:pPr>
              <w:widowControl/>
              <w:spacing w:line="280" w:lineRule="exact"/>
              <w:jc w:val="center"/>
              <w:textAlignment w:val="center"/>
              <w:rPr>
                <w:rFonts w:hAnsi="黑体" w:eastAsia="黑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5" w:hRule="atLeast"/>
          <w:jc w:val="center"/>
        </w:trPr>
        <w:tc>
          <w:tcPr>
            <w:tcW w:w="753" w:type="dxa"/>
            <w:noWrap w:val="0"/>
            <w:vAlign w:val="center"/>
          </w:tcPr>
          <w:p>
            <w:pPr>
              <w:widowControl/>
              <w:spacing w:line="280" w:lineRule="exact"/>
              <w:jc w:val="center"/>
              <w:textAlignment w:val="center"/>
              <w:rPr>
                <w:rFonts w:hAnsi="黑体" w:eastAsia="黑体"/>
                <w:kern w:val="0"/>
                <w:szCs w:val="21"/>
              </w:rPr>
            </w:pPr>
            <w:r>
              <w:rPr>
                <w:kern w:val="0"/>
                <w:szCs w:val="21"/>
              </w:rPr>
              <w:t>2</w:t>
            </w:r>
          </w:p>
        </w:tc>
        <w:tc>
          <w:tcPr>
            <w:tcW w:w="1750" w:type="dxa"/>
            <w:vMerge w:val="continue"/>
            <w:noWrap w:val="0"/>
            <w:vAlign w:val="center"/>
          </w:tcPr>
          <w:p>
            <w:pPr>
              <w:widowControl/>
              <w:spacing w:line="280" w:lineRule="exact"/>
              <w:jc w:val="center"/>
              <w:textAlignment w:val="center"/>
              <w:rPr>
                <w:rFonts w:hAnsi="黑体" w:eastAsia="黑体"/>
                <w:kern w:val="0"/>
                <w:szCs w:val="21"/>
              </w:rPr>
            </w:pPr>
          </w:p>
        </w:tc>
        <w:tc>
          <w:tcPr>
            <w:tcW w:w="1184" w:type="dxa"/>
            <w:noWrap w:val="0"/>
            <w:vAlign w:val="center"/>
          </w:tcPr>
          <w:p>
            <w:pPr>
              <w:widowControl/>
              <w:spacing w:line="280" w:lineRule="exact"/>
              <w:jc w:val="center"/>
              <w:textAlignment w:val="center"/>
              <w:rPr>
                <w:kern w:val="0"/>
                <w:szCs w:val="21"/>
              </w:rPr>
            </w:pPr>
            <w:r>
              <w:rPr>
                <w:rFonts w:hAnsi="宋体"/>
                <w:kern w:val="0"/>
                <w:szCs w:val="21"/>
              </w:rPr>
              <w:t>气源供应</w:t>
            </w:r>
          </w:p>
        </w:tc>
        <w:tc>
          <w:tcPr>
            <w:tcW w:w="911" w:type="dxa"/>
            <w:noWrap w:val="0"/>
            <w:vAlign w:val="center"/>
          </w:tcPr>
          <w:p>
            <w:pPr>
              <w:widowControl/>
              <w:spacing w:line="280" w:lineRule="exact"/>
              <w:jc w:val="center"/>
              <w:textAlignment w:val="center"/>
              <w:rPr>
                <w:kern w:val="0"/>
                <w:szCs w:val="21"/>
              </w:rPr>
            </w:pPr>
            <w:r>
              <w:rPr>
                <w:kern w:val="0"/>
                <w:szCs w:val="21"/>
              </w:rPr>
              <w:t>2</w:t>
            </w:r>
          </w:p>
        </w:tc>
        <w:tc>
          <w:tcPr>
            <w:tcW w:w="9836" w:type="dxa"/>
            <w:noWrap w:val="0"/>
            <w:vAlign w:val="center"/>
          </w:tcPr>
          <w:p>
            <w:pPr>
              <w:widowControl/>
              <w:spacing w:line="280" w:lineRule="exact"/>
              <w:jc w:val="left"/>
              <w:textAlignment w:val="center"/>
              <w:rPr>
                <w:kern w:val="0"/>
                <w:szCs w:val="21"/>
              </w:rPr>
            </w:pPr>
            <w:r>
              <w:rPr>
                <w:rFonts w:hAnsi="宋体"/>
                <w:kern w:val="0"/>
                <w:szCs w:val="21"/>
              </w:rPr>
              <w:t>与上游供气企业签订长期气源采购合同：</w:t>
            </w:r>
            <w:r>
              <w:rPr>
                <w:kern w:val="0"/>
                <w:szCs w:val="21"/>
              </w:rPr>
              <w:br w:type="textWrapping"/>
            </w:r>
            <w:r>
              <w:rPr>
                <w:rFonts w:hAnsi="宋体"/>
                <w:kern w:val="0"/>
                <w:szCs w:val="21"/>
              </w:rPr>
              <w:t>（</w:t>
            </w:r>
            <w:r>
              <w:rPr>
                <w:kern w:val="0"/>
                <w:szCs w:val="21"/>
              </w:rPr>
              <w:t>1</w:t>
            </w:r>
            <w:r>
              <w:rPr>
                <w:rFonts w:hAnsi="宋体"/>
                <w:kern w:val="0"/>
                <w:szCs w:val="21"/>
              </w:rPr>
              <w:t>）合同气量占年度用气量</w:t>
            </w:r>
            <w:r>
              <w:rPr>
                <w:kern w:val="0"/>
                <w:szCs w:val="21"/>
              </w:rPr>
              <w:t>90%</w:t>
            </w:r>
            <w:r>
              <w:rPr>
                <w:rFonts w:hAnsi="宋体"/>
                <w:kern w:val="0"/>
                <w:szCs w:val="21"/>
              </w:rPr>
              <w:t>（含）以上的，得</w:t>
            </w:r>
            <w:r>
              <w:rPr>
                <w:kern w:val="0"/>
                <w:szCs w:val="21"/>
              </w:rPr>
              <w:t>2</w:t>
            </w:r>
            <w:r>
              <w:rPr>
                <w:rFonts w:hAnsi="宋体"/>
                <w:kern w:val="0"/>
                <w:szCs w:val="21"/>
              </w:rPr>
              <w:t>分；</w:t>
            </w:r>
            <w:r>
              <w:rPr>
                <w:kern w:val="0"/>
                <w:szCs w:val="21"/>
              </w:rPr>
              <w:br w:type="textWrapping"/>
            </w:r>
            <w:r>
              <w:rPr>
                <w:rFonts w:hAnsi="宋体"/>
                <w:kern w:val="0"/>
                <w:szCs w:val="21"/>
              </w:rPr>
              <w:t>（</w:t>
            </w:r>
            <w:r>
              <w:rPr>
                <w:kern w:val="0"/>
                <w:szCs w:val="21"/>
              </w:rPr>
              <w:t>2</w:t>
            </w:r>
            <w:r>
              <w:rPr>
                <w:rFonts w:hAnsi="宋体"/>
                <w:kern w:val="0"/>
                <w:szCs w:val="21"/>
              </w:rPr>
              <w:t>）合同气量占年度用气量</w:t>
            </w:r>
            <w:r>
              <w:rPr>
                <w:kern w:val="0"/>
                <w:szCs w:val="21"/>
              </w:rPr>
              <w:t>60%</w:t>
            </w:r>
            <w:r>
              <w:rPr>
                <w:rFonts w:hAnsi="宋体"/>
                <w:kern w:val="0"/>
                <w:szCs w:val="21"/>
              </w:rPr>
              <w:t>（含）</w:t>
            </w:r>
            <w:r>
              <w:rPr>
                <w:kern w:val="0"/>
                <w:szCs w:val="21"/>
              </w:rPr>
              <w:t>-90%</w:t>
            </w:r>
            <w:r>
              <w:rPr>
                <w:rFonts w:hAnsi="宋体"/>
                <w:kern w:val="0"/>
                <w:szCs w:val="21"/>
              </w:rPr>
              <w:t>的，得</w:t>
            </w:r>
            <w:r>
              <w:rPr>
                <w:kern w:val="0"/>
                <w:szCs w:val="21"/>
              </w:rPr>
              <w:t>1</w:t>
            </w:r>
            <w:r>
              <w:rPr>
                <w:rFonts w:hAnsi="宋体"/>
                <w:kern w:val="0"/>
                <w:szCs w:val="21"/>
              </w:rPr>
              <w:t>分；</w:t>
            </w:r>
            <w:r>
              <w:rPr>
                <w:kern w:val="0"/>
                <w:szCs w:val="21"/>
              </w:rPr>
              <w:br w:type="textWrapping"/>
            </w:r>
            <w:r>
              <w:rPr>
                <w:rFonts w:hAnsi="宋体"/>
                <w:kern w:val="0"/>
                <w:szCs w:val="21"/>
              </w:rPr>
              <w:t>（</w:t>
            </w:r>
            <w:r>
              <w:rPr>
                <w:kern w:val="0"/>
                <w:szCs w:val="21"/>
              </w:rPr>
              <w:t>3</w:t>
            </w:r>
            <w:r>
              <w:rPr>
                <w:rFonts w:hAnsi="宋体"/>
                <w:kern w:val="0"/>
                <w:szCs w:val="21"/>
              </w:rPr>
              <w:t>）合同气量占年度用气量</w:t>
            </w:r>
            <w:r>
              <w:rPr>
                <w:kern w:val="0"/>
                <w:szCs w:val="21"/>
              </w:rPr>
              <w:t>60%</w:t>
            </w:r>
            <w:r>
              <w:rPr>
                <w:rFonts w:hAnsi="宋体"/>
                <w:kern w:val="0"/>
                <w:szCs w:val="21"/>
              </w:rPr>
              <w:t>以下的，不得分；</w:t>
            </w:r>
          </w:p>
          <w:p>
            <w:pPr>
              <w:widowControl/>
              <w:spacing w:line="280" w:lineRule="exact"/>
              <w:jc w:val="left"/>
              <w:textAlignment w:val="center"/>
              <w:rPr>
                <w:szCs w:val="21"/>
              </w:rPr>
            </w:pPr>
            <w:r>
              <w:rPr>
                <w:rFonts w:hAnsi="宋体"/>
                <w:kern w:val="0"/>
                <w:szCs w:val="21"/>
              </w:rPr>
              <w:t>（</w:t>
            </w:r>
            <w:r>
              <w:rPr>
                <w:kern w:val="0"/>
                <w:szCs w:val="21"/>
              </w:rPr>
              <w:t>4</w:t>
            </w:r>
            <w:r>
              <w:rPr>
                <w:rFonts w:hAnsi="宋体"/>
                <w:kern w:val="0"/>
                <w:szCs w:val="21"/>
              </w:rPr>
              <w:t>）未与上游供气企业签订长期且稳定气源合同的，不得参加特许经营评估。整改合格后，方可重新参加特许经营评估。</w:t>
            </w:r>
            <w:r>
              <w:rPr>
                <w:kern w:val="0"/>
                <w:szCs w:val="21"/>
              </w:rPr>
              <w:br w:type="textWrapping"/>
            </w:r>
            <w:r>
              <w:rPr>
                <w:rFonts w:hAnsi="宋体"/>
                <w:kern w:val="0"/>
                <w:szCs w:val="21"/>
              </w:rPr>
              <w:t>注：</w:t>
            </w:r>
            <w:r>
              <w:rPr>
                <w:kern w:val="0"/>
                <w:szCs w:val="21"/>
              </w:rPr>
              <w:t>a.</w:t>
            </w:r>
            <w:r>
              <w:rPr>
                <w:rFonts w:hAnsi="宋体"/>
                <w:kern w:val="0"/>
                <w:szCs w:val="21"/>
              </w:rPr>
              <w:t>长期气源采购合同指购气合同年限为一年及以上的合同（一年内分采暖季和非采暖季的购气也可计算在内），不包括零星采购的现货合同或短期合同。</w:t>
            </w:r>
            <w:r>
              <w:rPr>
                <w:kern w:val="0"/>
                <w:szCs w:val="21"/>
              </w:rPr>
              <w:t>b.</w:t>
            </w:r>
            <w:r>
              <w:rPr>
                <w:rFonts w:hAnsi="宋体"/>
                <w:kern w:val="0"/>
                <w:szCs w:val="21"/>
              </w:rPr>
              <w:t>上游供气企业指具有相关资质且拥有稳定可靠的国产或进口气源的企业。包括天然气生产企业、天然气进口企业、液化天然气接收站企业、天然气储气企业、天然气批发零售企业等。</w:t>
            </w:r>
          </w:p>
        </w:tc>
        <w:tc>
          <w:tcPr>
            <w:tcW w:w="797" w:type="dxa"/>
            <w:noWrap w:val="0"/>
            <w:vAlign w:val="center"/>
          </w:tcPr>
          <w:p>
            <w:pPr>
              <w:widowControl/>
              <w:spacing w:line="280" w:lineRule="exact"/>
              <w:jc w:val="center"/>
              <w:textAlignment w:val="center"/>
              <w:rPr>
                <w:rFonts w:hAnsi="黑体" w:eastAsia="黑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jc w:val="center"/>
        </w:trPr>
        <w:tc>
          <w:tcPr>
            <w:tcW w:w="753" w:type="dxa"/>
            <w:noWrap w:val="0"/>
            <w:vAlign w:val="center"/>
          </w:tcPr>
          <w:p>
            <w:pPr>
              <w:widowControl/>
              <w:spacing w:line="280" w:lineRule="exact"/>
              <w:jc w:val="center"/>
              <w:textAlignment w:val="center"/>
              <w:rPr>
                <w:rFonts w:hint="eastAsia" w:hAnsi="黑体" w:eastAsia="黑体"/>
                <w:kern w:val="0"/>
                <w:szCs w:val="21"/>
              </w:rPr>
            </w:pPr>
            <w:r>
              <w:rPr>
                <w:rFonts w:hint="eastAsia" w:hAnsi="黑体" w:eastAsia="黑体"/>
                <w:kern w:val="0"/>
                <w:szCs w:val="21"/>
              </w:rPr>
              <w:t>3</w:t>
            </w:r>
          </w:p>
        </w:tc>
        <w:tc>
          <w:tcPr>
            <w:tcW w:w="1750" w:type="dxa"/>
            <w:vMerge w:val="continue"/>
            <w:noWrap w:val="0"/>
            <w:vAlign w:val="center"/>
          </w:tcPr>
          <w:p>
            <w:pPr>
              <w:widowControl/>
              <w:spacing w:line="280" w:lineRule="exact"/>
              <w:jc w:val="center"/>
              <w:textAlignment w:val="center"/>
              <w:rPr>
                <w:rFonts w:hAnsi="黑体" w:eastAsia="黑体"/>
                <w:kern w:val="0"/>
                <w:szCs w:val="21"/>
              </w:rPr>
            </w:pPr>
          </w:p>
        </w:tc>
        <w:tc>
          <w:tcPr>
            <w:tcW w:w="1184" w:type="dxa"/>
            <w:noWrap w:val="0"/>
            <w:vAlign w:val="center"/>
          </w:tcPr>
          <w:p>
            <w:pPr>
              <w:widowControl/>
              <w:spacing w:line="280" w:lineRule="exact"/>
              <w:jc w:val="center"/>
              <w:textAlignment w:val="center"/>
              <w:rPr>
                <w:kern w:val="0"/>
                <w:szCs w:val="21"/>
              </w:rPr>
            </w:pPr>
            <w:r>
              <w:rPr>
                <w:rFonts w:hAnsi="宋体"/>
                <w:kern w:val="0"/>
                <w:szCs w:val="21"/>
              </w:rPr>
              <w:t>应急储气</w:t>
            </w:r>
          </w:p>
        </w:tc>
        <w:tc>
          <w:tcPr>
            <w:tcW w:w="911" w:type="dxa"/>
            <w:noWrap w:val="0"/>
            <w:vAlign w:val="center"/>
          </w:tcPr>
          <w:p>
            <w:pPr>
              <w:widowControl/>
              <w:spacing w:line="280" w:lineRule="exact"/>
              <w:jc w:val="center"/>
              <w:textAlignment w:val="center"/>
              <w:rPr>
                <w:kern w:val="0"/>
                <w:szCs w:val="21"/>
              </w:rPr>
            </w:pPr>
            <w:r>
              <w:rPr>
                <w:kern w:val="0"/>
                <w:szCs w:val="21"/>
              </w:rPr>
              <w:t>4</w:t>
            </w:r>
          </w:p>
        </w:tc>
        <w:tc>
          <w:tcPr>
            <w:tcW w:w="9836" w:type="dxa"/>
            <w:noWrap w:val="0"/>
            <w:vAlign w:val="center"/>
          </w:tcPr>
          <w:p>
            <w:pPr>
              <w:widowControl/>
              <w:spacing w:line="280" w:lineRule="exact"/>
              <w:jc w:val="left"/>
              <w:textAlignment w:val="center"/>
              <w:rPr>
                <w:szCs w:val="21"/>
              </w:rPr>
            </w:pPr>
            <w:r>
              <w:rPr>
                <w:rFonts w:hAnsi="宋体"/>
                <w:kern w:val="0"/>
                <w:szCs w:val="21"/>
              </w:rPr>
              <w:t>储气能力不低于其上一年供气量</w:t>
            </w:r>
            <w:r>
              <w:rPr>
                <w:kern w:val="0"/>
                <w:szCs w:val="21"/>
              </w:rPr>
              <w:t>5%</w:t>
            </w:r>
            <w:r>
              <w:rPr>
                <w:rFonts w:hAnsi="宋体"/>
                <w:kern w:val="0"/>
                <w:szCs w:val="21"/>
              </w:rPr>
              <w:t>，得</w:t>
            </w:r>
            <w:r>
              <w:rPr>
                <w:kern w:val="0"/>
                <w:szCs w:val="21"/>
              </w:rPr>
              <w:t>4</w:t>
            </w:r>
            <w:r>
              <w:rPr>
                <w:rFonts w:hAnsi="宋体"/>
                <w:kern w:val="0"/>
                <w:szCs w:val="21"/>
              </w:rPr>
              <w:t>分；否则不得分；</w:t>
            </w:r>
            <w:r>
              <w:rPr>
                <w:kern w:val="0"/>
                <w:szCs w:val="21"/>
              </w:rPr>
              <w:br w:type="textWrapping"/>
            </w:r>
            <w:r>
              <w:rPr>
                <w:rFonts w:hAnsi="宋体"/>
                <w:kern w:val="0"/>
                <w:szCs w:val="21"/>
              </w:rPr>
              <w:t>注：储气能力的计算要求根据</w:t>
            </w:r>
            <w:r>
              <w:rPr>
                <w:kern w:val="0"/>
                <w:szCs w:val="21"/>
              </w:rPr>
              <w:t>“</w:t>
            </w:r>
            <w:r>
              <w:rPr>
                <w:rFonts w:hAnsi="宋体"/>
                <w:kern w:val="0"/>
                <w:szCs w:val="21"/>
              </w:rPr>
              <w:t>发改能源规〔</w:t>
            </w:r>
            <w:r>
              <w:rPr>
                <w:kern w:val="0"/>
                <w:szCs w:val="21"/>
              </w:rPr>
              <w:t>2018</w:t>
            </w:r>
            <w:r>
              <w:rPr>
                <w:rFonts w:hAnsi="宋体"/>
                <w:kern w:val="0"/>
                <w:szCs w:val="21"/>
              </w:rPr>
              <w:t>〕</w:t>
            </w:r>
            <w:r>
              <w:rPr>
                <w:kern w:val="0"/>
                <w:szCs w:val="21"/>
              </w:rPr>
              <w:t>637</w:t>
            </w:r>
            <w:r>
              <w:rPr>
                <w:rFonts w:hAnsi="宋体"/>
                <w:kern w:val="0"/>
                <w:szCs w:val="21"/>
              </w:rPr>
              <w:t>号</w:t>
            </w:r>
            <w:r>
              <w:rPr>
                <w:kern w:val="0"/>
                <w:szCs w:val="21"/>
              </w:rPr>
              <w:t>”</w:t>
            </w:r>
            <w:r>
              <w:rPr>
                <w:rFonts w:hAnsi="宋体"/>
                <w:kern w:val="0"/>
                <w:szCs w:val="21"/>
              </w:rPr>
              <w:t>文件。包含以租赁库容及签订气源认购协议等方式获得储气能力的情况。</w:t>
            </w:r>
          </w:p>
        </w:tc>
        <w:tc>
          <w:tcPr>
            <w:tcW w:w="797" w:type="dxa"/>
            <w:noWrap w:val="0"/>
            <w:vAlign w:val="center"/>
          </w:tcPr>
          <w:p>
            <w:pPr>
              <w:widowControl/>
              <w:spacing w:line="280" w:lineRule="exact"/>
              <w:jc w:val="center"/>
              <w:textAlignment w:val="center"/>
              <w:rPr>
                <w:rFonts w:hAnsi="黑体" w:eastAsia="黑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jc w:val="center"/>
        </w:trPr>
        <w:tc>
          <w:tcPr>
            <w:tcW w:w="753" w:type="dxa"/>
            <w:noWrap w:val="0"/>
            <w:vAlign w:val="center"/>
          </w:tcPr>
          <w:p>
            <w:pPr>
              <w:widowControl/>
              <w:spacing w:line="280" w:lineRule="exact"/>
              <w:jc w:val="center"/>
              <w:textAlignment w:val="center"/>
              <w:rPr>
                <w:rFonts w:hint="eastAsia" w:hAnsi="黑体" w:eastAsia="黑体"/>
                <w:kern w:val="0"/>
                <w:szCs w:val="21"/>
              </w:rPr>
            </w:pPr>
            <w:r>
              <w:rPr>
                <w:rFonts w:hint="eastAsia" w:hAnsi="黑体" w:eastAsia="黑体"/>
                <w:kern w:val="0"/>
                <w:szCs w:val="21"/>
              </w:rPr>
              <w:t>4</w:t>
            </w:r>
          </w:p>
        </w:tc>
        <w:tc>
          <w:tcPr>
            <w:tcW w:w="1750" w:type="dxa"/>
            <w:vMerge w:val="restart"/>
            <w:noWrap w:val="0"/>
            <w:vAlign w:val="center"/>
          </w:tcPr>
          <w:p>
            <w:pPr>
              <w:widowControl/>
              <w:spacing w:line="280" w:lineRule="exact"/>
              <w:jc w:val="center"/>
              <w:textAlignment w:val="center"/>
              <w:rPr>
                <w:kern w:val="0"/>
                <w:szCs w:val="21"/>
              </w:rPr>
            </w:pPr>
            <w:r>
              <w:rPr>
                <w:rFonts w:hAnsi="宋体"/>
                <w:kern w:val="0"/>
                <w:szCs w:val="21"/>
              </w:rPr>
              <w:t>一、</w:t>
            </w:r>
            <w:r>
              <w:rPr>
                <w:rFonts w:hint="eastAsia" w:hAnsi="宋体"/>
                <w:kern w:val="0"/>
                <w:szCs w:val="21"/>
              </w:rPr>
              <w:t>协议</w:t>
            </w:r>
            <w:r>
              <w:rPr>
                <w:rFonts w:hAnsi="宋体"/>
                <w:kern w:val="0"/>
                <w:szCs w:val="21"/>
              </w:rPr>
              <w:t>履行及供应保障能力（</w:t>
            </w:r>
            <w:r>
              <w:rPr>
                <w:kern w:val="0"/>
                <w:szCs w:val="21"/>
              </w:rPr>
              <w:t>17</w:t>
            </w:r>
            <w:r>
              <w:rPr>
                <w:rFonts w:hAnsi="宋体"/>
                <w:kern w:val="0"/>
                <w:szCs w:val="21"/>
              </w:rPr>
              <w:t>分）</w:t>
            </w:r>
          </w:p>
        </w:tc>
        <w:tc>
          <w:tcPr>
            <w:tcW w:w="1184" w:type="dxa"/>
            <w:noWrap w:val="0"/>
            <w:vAlign w:val="center"/>
          </w:tcPr>
          <w:p>
            <w:pPr>
              <w:widowControl/>
              <w:spacing w:line="280" w:lineRule="exact"/>
              <w:jc w:val="center"/>
              <w:textAlignment w:val="center"/>
              <w:rPr>
                <w:kern w:val="0"/>
                <w:szCs w:val="21"/>
              </w:rPr>
            </w:pPr>
            <w:r>
              <w:rPr>
                <w:rFonts w:hAnsi="宋体"/>
                <w:kern w:val="0"/>
                <w:szCs w:val="21"/>
              </w:rPr>
              <w:t>调峰能力</w:t>
            </w:r>
          </w:p>
        </w:tc>
        <w:tc>
          <w:tcPr>
            <w:tcW w:w="911" w:type="dxa"/>
            <w:noWrap w:val="0"/>
            <w:vAlign w:val="center"/>
          </w:tcPr>
          <w:p>
            <w:pPr>
              <w:widowControl/>
              <w:spacing w:line="280" w:lineRule="exact"/>
              <w:jc w:val="center"/>
              <w:textAlignment w:val="center"/>
              <w:rPr>
                <w:kern w:val="0"/>
                <w:szCs w:val="21"/>
              </w:rPr>
            </w:pPr>
            <w:r>
              <w:rPr>
                <w:kern w:val="0"/>
                <w:szCs w:val="21"/>
              </w:rPr>
              <w:t>2</w:t>
            </w:r>
          </w:p>
        </w:tc>
        <w:tc>
          <w:tcPr>
            <w:tcW w:w="9836" w:type="dxa"/>
            <w:noWrap w:val="0"/>
            <w:vAlign w:val="center"/>
          </w:tcPr>
          <w:p>
            <w:pPr>
              <w:widowControl/>
              <w:spacing w:line="280" w:lineRule="exact"/>
              <w:jc w:val="left"/>
              <w:textAlignment w:val="center"/>
              <w:rPr>
                <w:szCs w:val="21"/>
              </w:rPr>
            </w:pPr>
            <w:r>
              <w:rPr>
                <w:rFonts w:hAnsi="宋体"/>
                <w:kern w:val="0"/>
                <w:szCs w:val="21"/>
              </w:rPr>
              <w:t>（</w:t>
            </w:r>
            <w:r>
              <w:rPr>
                <w:kern w:val="0"/>
                <w:szCs w:val="21"/>
              </w:rPr>
              <w:t>1</w:t>
            </w:r>
            <w:r>
              <w:rPr>
                <w:rFonts w:hAnsi="宋体"/>
                <w:kern w:val="0"/>
                <w:szCs w:val="21"/>
              </w:rPr>
              <w:t>）承担所供市场全部小时调峰责任，得</w:t>
            </w:r>
            <w:r>
              <w:rPr>
                <w:kern w:val="0"/>
                <w:szCs w:val="21"/>
              </w:rPr>
              <w:t>2</w:t>
            </w:r>
            <w:r>
              <w:rPr>
                <w:rFonts w:hAnsi="宋体"/>
                <w:kern w:val="0"/>
                <w:szCs w:val="21"/>
              </w:rPr>
              <w:t>分；</w:t>
            </w:r>
            <w:r>
              <w:rPr>
                <w:kern w:val="0"/>
                <w:szCs w:val="21"/>
              </w:rPr>
              <w:br w:type="textWrapping"/>
            </w:r>
            <w:r>
              <w:rPr>
                <w:rFonts w:hAnsi="宋体"/>
                <w:kern w:val="0"/>
                <w:szCs w:val="21"/>
              </w:rPr>
              <w:t>（</w:t>
            </w:r>
            <w:r>
              <w:rPr>
                <w:kern w:val="0"/>
                <w:szCs w:val="21"/>
              </w:rPr>
              <w:t>2</w:t>
            </w:r>
            <w:r>
              <w:rPr>
                <w:rFonts w:hAnsi="宋体"/>
                <w:kern w:val="0"/>
                <w:szCs w:val="21"/>
              </w:rPr>
              <w:t>）承担所供市场</w:t>
            </w:r>
            <w:r>
              <w:rPr>
                <w:kern w:val="0"/>
                <w:szCs w:val="21"/>
              </w:rPr>
              <w:t>50%</w:t>
            </w:r>
            <w:r>
              <w:rPr>
                <w:rFonts w:hAnsi="宋体"/>
                <w:kern w:val="0"/>
                <w:szCs w:val="21"/>
              </w:rPr>
              <w:t>（含）以上小时调峰责任，得</w:t>
            </w:r>
            <w:r>
              <w:rPr>
                <w:kern w:val="0"/>
                <w:szCs w:val="21"/>
              </w:rPr>
              <w:t>1</w:t>
            </w:r>
            <w:r>
              <w:rPr>
                <w:rFonts w:hAnsi="宋体"/>
                <w:kern w:val="0"/>
                <w:szCs w:val="21"/>
              </w:rPr>
              <w:t>分；</w:t>
            </w:r>
            <w:r>
              <w:rPr>
                <w:kern w:val="0"/>
                <w:szCs w:val="21"/>
              </w:rPr>
              <w:br w:type="textWrapping"/>
            </w:r>
            <w:r>
              <w:rPr>
                <w:rFonts w:hAnsi="宋体"/>
                <w:kern w:val="0"/>
                <w:szCs w:val="21"/>
              </w:rPr>
              <w:t>（</w:t>
            </w:r>
            <w:r>
              <w:rPr>
                <w:kern w:val="0"/>
                <w:szCs w:val="21"/>
              </w:rPr>
              <w:t>3</w:t>
            </w:r>
            <w:r>
              <w:rPr>
                <w:rFonts w:hAnsi="宋体"/>
                <w:kern w:val="0"/>
                <w:szCs w:val="21"/>
              </w:rPr>
              <w:t>）承担所供市场</w:t>
            </w:r>
            <w:r>
              <w:rPr>
                <w:kern w:val="0"/>
                <w:szCs w:val="21"/>
              </w:rPr>
              <w:t>50%</w:t>
            </w:r>
            <w:r>
              <w:rPr>
                <w:rFonts w:hAnsi="宋体"/>
                <w:kern w:val="0"/>
                <w:szCs w:val="21"/>
              </w:rPr>
              <w:t>以下小时调峰责任，不得分。</w:t>
            </w:r>
            <w:r>
              <w:rPr>
                <w:kern w:val="0"/>
                <w:szCs w:val="21"/>
              </w:rPr>
              <w:br w:type="textWrapping"/>
            </w:r>
            <w:r>
              <w:rPr>
                <w:rFonts w:hAnsi="宋体"/>
                <w:kern w:val="0"/>
                <w:szCs w:val="21"/>
              </w:rPr>
              <w:t>注：与供气企业签订协议购买小时调峰服务的，可计入管道燃气特许经营企业小时调峰能力。</w:t>
            </w:r>
          </w:p>
        </w:tc>
        <w:tc>
          <w:tcPr>
            <w:tcW w:w="797" w:type="dxa"/>
            <w:noWrap w:val="0"/>
            <w:vAlign w:val="center"/>
          </w:tcPr>
          <w:p>
            <w:pPr>
              <w:widowControl/>
              <w:spacing w:line="280" w:lineRule="exact"/>
              <w:jc w:val="center"/>
              <w:textAlignment w:val="center"/>
              <w:rPr>
                <w:rFonts w:hAnsi="黑体" w:eastAsia="黑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3" w:hRule="atLeast"/>
          <w:jc w:val="center"/>
        </w:trPr>
        <w:tc>
          <w:tcPr>
            <w:tcW w:w="753" w:type="dxa"/>
            <w:noWrap w:val="0"/>
            <w:vAlign w:val="center"/>
          </w:tcPr>
          <w:p>
            <w:pPr>
              <w:widowControl/>
              <w:spacing w:line="280" w:lineRule="exact"/>
              <w:jc w:val="center"/>
              <w:textAlignment w:val="center"/>
              <w:rPr>
                <w:rFonts w:hint="eastAsia" w:hAnsi="黑体" w:eastAsia="黑体"/>
                <w:kern w:val="0"/>
                <w:szCs w:val="21"/>
              </w:rPr>
            </w:pPr>
            <w:r>
              <w:rPr>
                <w:rFonts w:hint="eastAsia" w:hAnsi="黑体" w:eastAsia="黑体"/>
                <w:kern w:val="0"/>
                <w:szCs w:val="21"/>
              </w:rPr>
              <w:t>5</w:t>
            </w:r>
          </w:p>
        </w:tc>
        <w:tc>
          <w:tcPr>
            <w:tcW w:w="1750" w:type="dxa"/>
            <w:vMerge w:val="continue"/>
            <w:noWrap w:val="0"/>
            <w:vAlign w:val="center"/>
          </w:tcPr>
          <w:p>
            <w:pPr>
              <w:widowControl/>
              <w:spacing w:line="280" w:lineRule="exact"/>
              <w:jc w:val="center"/>
              <w:textAlignment w:val="center"/>
              <w:rPr>
                <w:rFonts w:hAnsi="黑体" w:eastAsia="黑体"/>
                <w:kern w:val="0"/>
                <w:szCs w:val="21"/>
              </w:rPr>
            </w:pPr>
          </w:p>
        </w:tc>
        <w:tc>
          <w:tcPr>
            <w:tcW w:w="1184" w:type="dxa"/>
            <w:noWrap w:val="0"/>
            <w:vAlign w:val="center"/>
          </w:tcPr>
          <w:p>
            <w:pPr>
              <w:widowControl/>
              <w:spacing w:line="280" w:lineRule="exact"/>
              <w:jc w:val="center"/>
              <w:textAlignment w:val="center"/>
              <w:rPr>
                <w:kern w:val="0"/>
                <w:szCs w:val="21"/>
              </w:rPr>
            </w:pPr>
            <w:r>
              <w:rPr>
                <w:rFonts w:hAnsi="宋体"/>
                <w:kern w:val="0"/>
                <w:szCs w:val="21"/>
              </w:rPr>
              <w:t>互联互通</w:t>
            </w:r>
          </w:p>
        </w:tc>
        <w:tc>
          <w:tcPr>
            <w:tcW w:w="911" w:type="dxa"/>
            <w:noWrap w:val="0"/>
            <w:vAlign w:val="center"/>
          </w:tcPr>
          <w:p>
            <w:pPr>
              <w:widowControl/>
              <w:spacing w:line="280" w:lineRule="exact"/>
              <w:jc w:val="center"/>
              <w:textAlignment w:val="center"/>
              <w:rPr>
                <w:kern w:val="0"/>
                <w:szCs w:val="21"/>
              </w:rPr>
            </w:pPr>
            <w:r>
              <w:rPr>
                <w:kern w:val="0"/>
                <w:szCs w:val="21"/>
              </w:rPr>
              <w:t>3</w:t>
            </w:r>
          </w:p>
        </w:tc>
        <w:tc>
          <w:tcPr>
            <w:tcW w:w="9836" w:type="dxa"/>
            <w:noWrap w:val="0"/>
            <w:vAlign w:val="center"/>
          </w:tcPr>
          <w:p>
            <w:pPr>
              <w:widowControl/>
              <w:spacing w:line="280" w:lineRule="exact"/>
              <w:jc w:val="left"/>
              <w:textAlignment w:val="center"/>
              <w:rPr>
                <w:szCs w:val="21"/>
              </w:rPr>
            </w:pPr>
            <w:r>
              <w:rPr>
                <w:rFonts w:hAnsi="宋体"/>
                <w:kern w:val="0"/>
                <w:szCs w:val="21"/>
              </w:rPr>
              <w:t>（</w:t>
            </w:r>
            <w:r>
              <w:rPr>
                <w:kern w:val="0"/>
                <w:szCs w:val="21"/>
              </w:rPr>
              <w:t>1</w:t>
            </w:r>
            <w:r>
              <w:rPr>
                <w:rFonts w:hAnsi="宋体"/>
                <w:kern w:val="0"/>
                <w:szCs w:val="21"/>
              </w:rPr>
              <w:t>）与经营区域范围外的其他燃气管网实现互联互通，得</w:t>
            </w:r>
            <w:r>
              <w:rPr>
                <w:kern w:val="0"/>
                <w:szCs w:val="21"/>
              </w:rPr>
              <w:t>1</w:t>
            </w:r>
            <w:r>
              <w:rPr>
                <w:rFonts w:hAnsi="宋体"/>
                <w:kern w:val="0"/>
                <w:szCs w:val="21"/>
              </w:rPr>
              <w:t>分；</w:t>
            </w:r>
            <w:r>
              <w:rPr>
                <w:kern w:val="0"/>
                <w:szCs w:val="21"/>
              </w:rPr>
              <w:br w:type="textWrapping"/>
            </w:r>
            <w:r>
              <w:rPr>
                <w:rFonts w:hAnsi="宋体"/>
                <w:kern w:val="0"/>
                <w:szCs w:val="21"/>
              </w:rPr>
              <w:t>（</w:t>
            </w:r>
            <w:r>
              <w:rPr>
                <w:kern w:val="0"/>
                <w:szCs w:val="21"/>
              </w:rPr>
              <w:t>2</w:t>
            </w:r>
            <w:r>
              <w:rPr>
                <w:rFonts w:hAnsi="宋体"/>
                <w:kern w:val="0"/>
                <w:szCs w:val="21"/>
              </w:rPr>
              <w:t>）燃气主管网通达经营区域范围内</w:t>
            </w:r>
            <w:r>
              <w:rPr>
                <w:kern w:val="0"/>
                <w:szCs w:val="21"/>
              </w:rPr>
              <w:t>50%</w:t>
            </w:r>
            <w:r>
              <w:rPr>
                <w:rFonts w:hAnsi="宋体"/>
                <w:kern w:val="0"/>
                <w:szCs w:val="21"/>
              </w:rPr>
              <w:t>（含）以上乡镇的，得</w:t>
            </w:r>
            <w:r>
              <w:rPr>
                <w:kern w:val="0"/>
                <w:szCs w:val="21"/>
              </w:rPr>
              <w:t>1</w:t>
            </w:r>
            <w:r>
              <w:rPr>
                <w:rFonts w:hAnsi="宋体"/>
                <w:kern w:val="0"/>
                <w:szCs w:val="21"/>
              </w:rPr>
              <w:t>分；通达经营区域范围内</w:t>
            </w:r>
            <w:r>
              <w:rPr>
                <w:kern w:val="0"/>
                <w:szCs w:val="21"/>
              </w:rPr>
              <w:t>80%</w:t>
            </w:r>
            <w:r>
              <w:rPr>
                <w:rFonts w:hAnsi="宋体"/>
                <w:kern w:val="0"/>
                <w:szCs w:val="21"/>
              </w:rPr>
              <w:t>（含）以上乡镇的，得</w:t>
            </w:r>
            <w:r>
              <w:rPr>
                <w:kern w:val="0"/>
                <w:szCs w:val="21"/>
              </w:rPr>
              <w:t>2</w:t>
            </w:r>
            <w:r>
              <w:rPr>
                <w:rFonts w:hAnsi="宋体"/>
                <w:kern w:val="0"/>
                <w:szCs w:val="21"/>
              </w:rPr>
              <w:t>分。经营区域不含乡镇的，此条视为满分。</w:t>
            </w:r>
          </w:p>
        </w:tc>
        <w:tc>
          <w:tcPr>
            <w:tcW w:w="797" w:type="dxa"/>
            <w:noWrap w:val="0"/>
            <w:vAlign w:val="center"/>
          </w:tcPr>
          <w:p>
            <w:pPr>
              <w:widowControl/>
              <w:spacing w:line="280" w:lineRule="exact"/>
              <w:jc w:val="center"/>
              <w:textAlignment w:val="center"/>
              <w:rPr>
                <w:rFonts w:hAnsi="黑体" w:eastAsia="黑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3" w:hRule="atLeast"/>
          <w:jc w:val="center"/>
        </w:trPr>
        <w:tc>
          <w:tcPr>
            <w:tcW w:w="753" w:type="dxa"/>
            <w:noWrap w:val="0"/>
            <w:vAlign w:val="center"/>
          </w:tcPr>
          <w:p>
            <w:pPr>
              <w:widowControl/>
              <w:spacing w:line="280" w:lineRule="exact"/>
              <w:jc w:val="center"/>
              <w:textAlignment w:val="center"/>
              <w:rPr>
                <w:rFonts w:hint="eastAsia" w:hAnsi="黑体" w:eastAsia="黑体"/>
                <w:kern w:val="0"/>
                <w:szCs w:val="21"/>
              </w:rPr>
            </w:pPr>
            <w:r>
              <w:rPr>
                <w:rFonts w:hint="eastAsia" w:hAnsi="黑体" w:eastAsia="黑体"/>
                <w:kern w:val="0"/>
                <w:szCs w:val="21"/>
              </w:rPr>
              <w:t>6</w:t>
            </w:r>
          </w:p>
        </w:tc>
        <w:tc>
          <w:tcPr>
            <w:tcW w:w="1750" w:type="dxa"/>
            <w:vMerge w:val="continue"/>
            <w:noWrap w:val="0"/>
            <w:vAlign w:val="center"/>
          </w:tcPr>
          <w:p>
            <w:pPr>
              <w:widowControl/>
              <w:spacing w:line="280" w:lineRule="exact"/>
              <w:jc w:val="center"/>
              <w:textAlignment w:val="center"/>
              <w:rPr>
                <w:rFonts w:hAnsi="黑体" w:eastAsia="黑体"/>
                <w:kern w:val="0"/>
                <w:szCs w:val="21"/>
              </w:rPr>
            </w:pPr>
          </w:p>
        </w:tc>
        <w:tc>
          <w:tcPr>
            <w:tcW w:w="1184" w:type="dxa"/>
            <w:noWrap w:val="0"/>
            <w:vAlign w:val="center"/>
          </w:tcPr>
          <w:p>
            <w:pPr>
              <w:widowControl/>
              <w:spacing w:line="280" w:lineRule="exact"/>
              <w:jc w:val="center"/>
              <w:textAlignment w:val="center"/>
              <w:rPr>
                <w:kern w:val="0"/>
                <w:szCs w:val="21"/>
              </w:rPr>
            </w:pPr>
            <w:r>
              <w:rPr>
                <w:rFonts w:hAnsi="宋体"/>
                <w:kern w:val="0"/>
                <w:szCs w:val="21"/>
              </w:rPr>
              <w:t>市场份额</w:t>
            </w:r>
          </w:p>
        </w:tc>
        <w:tc>
          <w:tcPr>
            <w:tcW w:w="911" w:type="dxa"/>
            <w:noWrap w:val="0"/>
            <w:vAlign w:val="center"/>
          </w:tcPr>
          <w:p>
            <w:pPr>
              <w:widowControl/>
              <w:spacing w:line="280" w:lineRule="exact"/>
              <w:jc w:val="center"/>
              <w:textAlignment w:val="center"/>
              <w:rPr>
                <w:kern w:val="0"/>
                <w:szCs w:val="21"/>
              </w:rPr>
            </w:pPr>
            <w:r>
              <w:rPr>
                <w:kern w:val="0"/>
                <w:szCs w:val="21"/>
              </w:rPr>
              <w:t>4</w:t>
            </w:r>
          </w:p>
        </w:tc>
        <w:tc>
          <w:tcPr>
            <w:tcW w:w="9836" w:type="dxa"/>
            <w:noWrap w:val="0"/>
            <w:vAlign w:val="center"/>
          </w:tcPr>
          <w:p>
            <w:pPr>
              <w:widowControl/>
              <w:spacing w:line="280" w:lineRule="exact"/>
              <w:jc w:val="left"/>
              <w:textAlignment w:val="center"/>
              <w:rPr>
                <w:szCs w:val="21"/>
              </w:rPr>
            </w:pPr>
            <w:r>
              <w:rPr>
                <w:rFonts w:hAnsi="宋体"/>
                <w:kern w:val="0"/>
                <w:szCs w:val="21"/>
              </w:rPr>
              <w:t>（</w:t>
            </w:r>
            <w:r>
              <w:rPr>
                <w:kern w:val="0"/>
                <w:szCs w:val="21"/>
              </w:rPr>
              <w:t>1</w:t>
            </w:r>
            <w:r>
              <w:rPr>
                <w:rFonts w:hAnsi="宋体"/>
                <w:kern w:val="0"/>
                <w:szCs w:val="21"/>
              </w:rPr>
              <w:t>）年供气量（</w:t>
            </w:r>
            <w:r>
              <w:rPr>
                <w:kern w:val="0"/>
                <w:szCs w:val="21"/>
              </w:rPr>
              <w:t>2</w:t>
            </w:r>
            <w:r>
              <w:rPr>
                <w:rFonts w:hAnsi="宋体"/>
                <w:kern w:val="0"/>
                <w:szCs w:val="21"/>
              </w:rPr>
              <w:t>分）</w:t>
            </w:r>
            <w:r>
              <w:rPr>
                <w:kern w:val="0"/>
                <w:szCs w:val="21"/>
              </w:rPr>
              <w:br w:type="textWrapping"/>
            </w:r>
            <w:r>
              <w:rPr>
                <w:kern w:val="0"/>
                <w:szCs w:val="21"/>
              </w:rPr>
              <w:t>1)</w:t>
            </w:r>
            <w:r>
              <w:rPr>
                <w:rFonts w:hAnsi="宋体"/>
                <w:kern w:val="0"/>
                <w:szCs w:val="21"/>
              </w:rPr>
              <w:t>企业年供气量占当地全部管道气年用气量</w:t>
            </w:r>
            <w:r>
              <w:rPr>
                <w:kern w:val="0"/>
                <w:szCs w:val="21"/>
              </w:rPr>
              <w:t>80%</w:t>
            </w:r>
            <w:r>
              <w:rPr>
                <w:rFonts w:hAnsi="宋体"/>
                <w:kern w:val="0"/>
                <w:szCs w:val="21"/>
              </w:rPr>
              <w:t>（含）以上的，得</w:t>
            </w:r>
            <w:r>
              <w:rPr>
                <w:kern w:val="0"/>
                <w:szCs w:val="21"/>
              </w:rPr>
              <w:t>2</w:t>
            </w:r>
            <w:r>
              <w:rPr>
                <w:rFonts w:hAnsi="宋体"/>
                <w:kern w:val="0"/>
                <w:szCs w:val="21"/>
              </w:rPr>
              <w:t>分；</w:t>
            </w:r>
            <w:r>
              <w:rPr>
                <w:kern w:val="0"/>
                <w:szCs w:val="21"/>
              </w:rPr>
              <w:br w:type="textWrapping"/>
            </w:r>
            <w:r>
              <w:rPr>
                <w:kern w:val="0"/>
                <w:szCs w:val="21"/>
              </w:rPr>
              <w:t>2)</w:t>
            </w:r>
            <w:r>
              <w:rPr>
                <w:rFonts w:hAnsi="宋体"/>
                <w:kern w:val="0"/>
                <w:szCs w:val="21"/>
              </w:rPr>
              <w:t>企业年供气量占当地全部管道气年用气量</w:t>
            </w:r>
            <w:r>
              <w:rPr>
                <w:kern w:val="0"/>
                <w:szCs w:val="21"/>
              </w:rPr>
              <w:t>50%</w:t>
            </w:r>
            <w:r>
              <w:rPr>
                <w:rFonts w:hAnsi="宋体"/>
                <w:kern w:val="0"/>
                <w:szCs w:val="21"/>
              </w:rPr>
              <w:t>（含）</w:t>
            </w:r>
            <w:r>
              <w:rPr>
                <w:kern w:val="0"/>
                <w:szCs w:val="21"/>
              </w:rPr>
              <w:t>-80%</w:t>
            </w:r>
            <w:r>
              <w:rPr>
                <w:rFonts w:hAnsi="宋体"/>
                <w:kern w:val="0"/>
                <w:szCs w:val="21"/>
              </w:rPr>
              <w:t>的，得</w:t>
            </w:r>
            <w:r>
              <w:rPr>
                <w:kern w:val="0"/>
                <w:szCs w:val="21"/>
              </w:rPr>
              <w:t>1</w:t>
            </w:r>
            <w:r>
              <w:rPr>
                <w:rFonts w:hAnsi="宋体"/>
                <w:kern w:val="0"/>
                <w:szCs w:val="21"/>
              </w:rPr>
              <w:t>分；</w:t>
            </w:r>
            <w:r>
              <w:rPr>
                <w:kern w:val="0"/>
                <w:szCs w:val="21"/>
              </w:rPr>
              <w:br w:type="textWrapping"/>
            </w:r>
            <w:r>
              <w:rPr>
                <w:kern w:val="0"/>
                <w:szCs w:val="21"/>
              </w:rPr>
              <w:t>3)</w:t>
            </w:r>
            <w:r>
              <w:rPr>
                <w:rFonts w:hAnsi="宋体"/>
                <w:kern w:val="0"/>
                <w:szCs w:val="21"/>
              </w:rPr>
              <w:t>企业年供气量占当地全部管道气年用气量</w:t>
            </w:r>
            <w:r>
              <w:rPr>
                <w:kern w:val="0"/>
                <w:szCs w:val="21"/>
              </w:rPr>
              <w:t>20%</w:t>
            </w:r>
            <w:r>
              <w:rPr>
                <w:rFonts w:hAnsi="宋体"/>
                <w:kern w:val="0"/>
                <w:szCs w:val="21"/>
              </w:rPr>
              <w:t>（含）</w:t>
            </w:r>
            <w:r>
              <w:rPr>
                <w:kern w:val="0"/>
                <w:szCs w:val="21"/>
              </w:rPr>
              <w:t>-50%</w:t>
            </w:r>
            <w:r>
              <w:rPr>
                <w:rFonts w:hAnsi="宋体"/>
                <w:kern w:val="0"/>
                <w:szCs w:val="21"/>
              </w:rPr>
              <w:t>的，得</w:t>
            </w:r>
            <w:r>
              <w:rPr>
                <w:kern w:val="0"/>
                <w:szCs w:val="21"/>
              </w:rPr>
              <w:t>0.5</w:t>
            </w:r>
            <w:r>
              <w:rPr>
                <w:rFonts w:hAnsi="宋体"/>
                <w:kern w:val="0"/>
                <w:szCs w:val="21"/>
              </w:rPr>
              <w:t>分；</w:t>
            </w:r>
            <w:r>
              <w:rPr>
                <w:kern w:val="0"/>
                <w:szCs w:val="21"/>
              </w:rPr>
              <w:br w:type="textWrapping"/>
            </w:r>
            <w:r>
              <w:rPr>
                <w:kern w:val="0"/>
                <w:szCs w:val="21"/>
              </w:rPr>
              <w:t>4)</w:t>
            </w:r>
            <w:r>
              <w:rPr>
                <w:rFonts w:hAnsi="宋体"/>
                <w:kern w:val="0"/>
                <w:szCs w:val="21"/>
              </w:rPr>
              <w:t>企业年供气量占当地全部管道气年用气量</w:t>
            </w:r>
            <w:r>
              <w:rPr>
                <w:kern w:val="0"/>
                <w:szCs w:val="21"/>
              </w:rPr>
              <w:t>20%</w:t>
            </w:r>
            <w:r>
              <w:rPr>
                <w:rFonts w:hAnsi="宋体"/>
                <w:kern w:val="0"/>
                <w:szCs w:val="21"/>
              </w:rPr>
              <w:t>以下的，不得分。</w:t>
            </w:r>
            <w:r>
              <w:rPr>
                <w:kern w:val="0"/>
                <w:szCs w:val="21"/>
              </w:rPr>
              <w:br w:type="textWrapping"/>
            </w:r>
            <w:r>
              <w:rPr>
                <w:rFonts w:hAnsi="宋体"/>
                <w:kern w:val="0"/>
                <w:szCs w:val="21"/>
              </w:rPr>
              <w:t>（</w:t>
            </w:r>
            <w:r>
              <w:rPr>
                <w:kern w:val="0"/>
                <w:szCs w:val="21"/>
              </w:rPr>
              <w:t>2</w:t>
            </w:r>
            <w:r>
              <w:rPr>
                <w:rFonts w:hAnsi="宋体"/>
                <w:kern w:val="0"/>
                <w:szCs w:val="21"/>
              </w:rPr>
              <w:t>）居民通气户数（</w:t>
            </w:r>
            <w:r>
              <w:rPr>
                <w:kern w:val="0"/>
                <w:szCs w:val="21"/>
              </w:rPr>
              <w:t>2</w:t>
            </w:r>
            <w:r>
              <w:rPr>
                <w:rFonts w:hAnsi="宋体"/>
                <w:kern w:val="0"/>
                <w:szCs w:val="21"/>
              </w:rPr>
              <w:t>分）</w:t>
            </w:r>
            <w:r>
              <w:rPr>
                <w:kern w:val="0"/>
                <w:szCs w:val="21"/>
              </w:rPr>
              <w:br w:type="textWrapping"/>
            </w:r>
            <w:r>
              <w:rPr>
                <w:kern w:val="0"/>
                <w:szCs w:val="21"/>
              </w:rPr>
              <w:t>1</w:t>
            </w:r>
            <w:r>
              <w:rPr>
                <w:rFonts w:hAnsi="宋体"/>
                <w:kern w:val="0"/>
                <w:szCs w:val="21"/>
              </w:rPr>
              <w:t>）占当地全部通气户数</w:t>
            </w:r>
            <w:r>
              <w:rPr>
                <w:kern w:val="0"/>
                <w:szCs w:val="21"/>
              </w:rPr>
              <w:t>80%</w:t>
            </w:r>
            <w:r>
              <w:rPr>
                <w:rFonts w:hAnsi="宋体"/>
                <w:kern w:val="0"/>
                <w:szCs w:val="21"/>
              </w:rPr>
              <w:t>（含）以上的，得</w:t>
            </w:r>
            <w:r>
              <w:rPr>
                <w:kern w:val="0"/>
                <w:szCs w:val="21"/>
              </w:rPr>
              <w:t>2</w:t>
            </w:r>
            <w:r>
              <w:rPr>
                <w:rFonts w:hAnsi="宋体"/>
                <w:kern w:val="0"/>
                <w:szCs w:val="21"/>
              </w:rPr>
              <w:t>分；</w:t>
            </w:r>
            <w:r>
              <w:rPr>
                <w:kern w:val="0"/>
                <w:szCs w:val="21"/>
              </w:rPr>
              <w:br w:type="textWrapping"/>
            </w:r>
            <w:r>
              <w:rPr>
                <w:kern w:val="0"/>
                <w:szCs w:val="21"/>
              </w:rPr>
              <w:t>2</w:t>
            </w:r>
            <w:r>
              <w:rPr>
                <w:rFonts w:hAnsi="宋体"/>
                <w:kern w:val="0"/>
                <w:szCs w:val="21"/>
              </w:rPr>
              <w:t>）占当地全部通气户数</w:t>
            </w:r>
            <w:r>
              <w:rPr>
                <w:kern w:val="0"/>
                <w:szCs w:val="21"/>
              </w:rPr>
              <w:t>50%</w:t>
            </w:r>
            <w:r>
              <w:rPr>
                <w:rFonts w:hAnsi="宋体"/>
                <w:kern w:val="0"/>
                <w:szCs w:val="21"/>
              </w:rPr>
              <w:t>（含）</w:t>
            </w:r>
            <w:r>
              <w:rPr>
                <w:kern w:val="0"/>
                <w:szCs w:val="21"/>
              </w:rPr>
              <w:t>-80%</w:t>
            </w:r>
            <w:r>
              <w:rPr>
                <w:rFonts w:hAnsi="宋体"/>
                <w:kern w:val="0"/>
                <w:szCs w:val="21"/>
              </w:rPr>
              <w:t>的，得</w:t>
            </w:r>
            <w:r>
              <w:rPr>
                <w:kern w:val="0"/>
                <w:szCs w:val="21"/>
              </w:rPr>
              <w:t>1</w:t>
            </w:r>
            <w:r>
              <w:rPr>
                <w:rFonts w:hAnsi="宋体"/>
                <w:kern w:val="0"/>
                <w:szCs w:val="21"/>
              </w:rPr>
              <w:t>分；</w:t>
            </w:r>
            <w:r>
              <w:rPr>
                <w:kern w:val="0"/>
                <w:szCs w:val="21"/>
              </w:rPr>
              <w:br w:type="textWrapping"/>
            </w:r>
            <w:r>
              <w:rPr>
                <w:kern w:val="0"/>
                <w:szCs w:val="21"/>
              </w:rPr>
              <w:t>3</w:t>
            </w:r>
            <w:r>
              <w:rPr>
                <w:rFonts w:hAnsi="宋体"/>
                <w:kern w:val="0"/>
                <w:szCs w:val="21"/>
              </w:rPr>
              <w:t>）占当地全部通气户数</w:t>
            </w:r>
            <w:r>
              <w:rPr>
                <w:kern w:val="0"/>
                <w:szCs w:val="21"/>
              </w:rPr>
              <w:t>20%</w:t>
            </w:r>
            <w:r>
              <w:rPr>
                <w:rFonts w:hAnsi="宋体"/>
                <w:kern w:val="0"/>
                <w:szCs w:val="21"/>
              </w:rPr>
              <w:t>（含）</w:t>
            </w:r>
            <w:r>
              <w:rPr>
                <w:kern w:val="0"/>
                <w:szCs w:val="21"/>
              </w:rPr>
              <w:t>-50%</w:t>
            </w:r>
            <w:r>
              <w:rPr>
                <w:rFonts w:hAnsi="宋体"/>
                <w:kern w:val="0"/>
                <w:szCs w:val="21"/>
              </w:rPr>
              <w:t>的，得</w:t>
            </w:r>
            <w:r>
              <w:rPr>
                <w:kern w:val="0"/>
                <w:szCs w:val="21"/>
              </w:rPr>
              <w:t>0.5</w:t>
            </w:r>
            <w:r>
              <w:rPr>
                <w:rFonts w:hAnsi="宋体"/>
                <w:kern w:val="0"/>
                <w:szCs w:val="21"/>
              </w:rPr>
              <w:t>分；</w:t>
            </w:r>
            <w:r>
              <w:rPr>
                <w:kern w:val="0"/>
                <w:szCs w:val="21"/>
              </w:rPr>
              <w:br w:type="textWrapping"/>
            </w:r>
            <w:r>
              <w:rPr>
                <w:kern w:val="0"/>
                <w:szCs w:val="21"/>
              </w:rPr>
              <w:t>4</w:t>
            </w:r>
            <w:r>
              <w:rPr>
                <w:rFonts w:hAnsi="宋体"/>
                <w:kern w:val="0"/>
                <w:szCs w:val="21"/>
              </w:rPr>
              <w:t>）占当地全部通气户数</w:t>
            </w:r>
            <w:r>
              <w:rPr>
                <w:kern w:val="0"/>
                <w:szCs w:val="21"/>
              </w:rPr>
              <w:t>20%</w:t>
            </w:r>
            <w:r>
              <w:rPr>
                <w:rFonts w:hAnsi="宋体"/>
                <w:kern w:val="0"/>
                <w:szCs w:val="21"/>
              </w:rPr>
              <w:t>以下的，不得分。</w:t>
            </w:r>
            <w:r>
              <w:rPr>
                <w:kern w:val="0"/>
                <w:szCs w:val="21"/>
              </w:rPr>
              <w:br w:type="textWrapping"/>
            </w:r>
            <w:r>
              <w:rPr>
                <w:rFonts w:hAnsi="宋体"/>
                <w:kern w:val="0"/>
                <w:szCs w:val="21"/>
              </w:rPr>
              <w:t>注：</w:t>
            </w:r>
            <w:r>
              <w:rPr>
                <w:kern w:val="0"/>
                <w:szCs w:val="21"/>
              </w:rPr>
              <w:t>a.“</w:t>
            </w:r>
            <w:r>
              <w:rPr>
                <w:rFonts w:hAnsi="宋体"/>
                <w:kern w:val="0"/>
                <w:szCs w:val="21"/>
              </w:rPr>
              <w:t>当地</w:t>
            </w:r>
            <w:r>
              <w:rPr>
                <w:kern w:val="0"/>
                <w:szCs w:val="21"/>
              </w:rPr>
              <w:t>”</w:t>
            </w:r>
            <w:r>
              <w:rPr>
                <w:rFonts w:hAnsi="宋体"/>
                <w:kern w:val="0"/>
                <w:szCs w:val="21"/>
              </w:rPr>
              <w:t>的区域范围为市县所辖行政区域。</w:t>
            </w:r>
            <w:r>
              <w:rPr>
                <w:kern w:val="0"/>
                <w:szCs w:val="21"/>
              </w:rPr>
              <w:t>b.</w:t>
            </w:r>
            <w:r>
              <w:rPr>
                <w:rFonts w:hAnsi="宋体"/>
                <w:kern w:val="0"/>
                <w:szCs w:val="21"/>
              </w:rPr>
              <w:t>当地全部管道气年用气量，不含用户自建气源站的用气量，不含天然气电厂、热电厂等上游直供用户的用气量。</w:t>
            </w:r>
            <w:r>
              <w:rPr>
                <w:kern w:val="0"/>
                <w:szCs w:val="21"/>
              </w:rPr>
              <w:t>c.</w:t>
            </w:r>
            <w:r>
              <w:rPr>
                <w:rFonts w:hAnsi="宋体"/>
                <w:kern w:val="0"/>
                <w:szCs w:val="21"/>
              </w:rPr>
              <w:t>企业年供气量，不含向其他城燃企业转输的气量。</w:t>
            </w:r>
          </w:p>
        </w:tc>
        <w:tc>
          <w:tcPr>
            <w:tcW w:w="797" w:type="dxa"/>
            <w:noWrap w:val="0"/>
            <w:vAlign w:val="center"/>
          </w:tcPr>
          <w:p>
            <w:pPr>
              <w:widowControl/>
              <w:spacing w:line="280" w:lineRule="exact"/>
              <w:jc w:val="center"/>
              <w:textAlignment w:val="center"/>
              <w:rPr>
                <w:rFonts w:hAnsi="黑体" w:eastAsia="黑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3" w:hRule="atLeast"/>
          <w:jc w:val="center"/>
        </w:trPr>
        <w:tc>
          <w:tcPr>
            <w:tcW w:w="753" w:type="dxa"/>
            <w:noWrap w:val="0"/>
            <w:vAlign w:val="center"/>
          </w:tcPr>
          <w:p>
            <w:pPr>
              <w:widowControl/>
              <w:spacing w:line="280" w:lineRule="exact"/>
              <w:jc w:val="center"/>
              <w:textAlignment w:val="center"/>
              <w:rPr>
                <w:kern w:val="0"/>
                <w:szCs w:val="21"/>
              </w:rPr>
            </w:pPr>
            <w:r>
              <w:rPr>
                <w:kern w:val="0"/>
                <w:szCs w:val="21"/>
              </w:rPr>
              <w:t>7</w:t>
            </w:r>
          </w:p>
        </w:tc>
        <w:tc>
          <w:tcPr>
            <w:tcW w:w="1750" w:type="dxa"/>
            <w:noWrap w:val="0"/>
            <w:vAlign w:val="center"/>
          </w:tcPr>
          <w:p>
            <w:pPr>
              <w:widowControl/>
              <w:spacing w:line="260" w:lineRule="exact"/>
              <w:jc w:val="center"/>
              <w:textAlignment w:val="center"/>
              <w:rPr>
                <w:rFonts w:hint="eastAsia" w:hAnsi="宋体"/>
                <w:kern w:val="0"/>
                <w:szCs w:val="21"/>
              </w:rPr>
            </w:pPr>
            <w:r>
              <w:rPr>
                <w:rFonts w:hAnsi="宋体"/>
                <w:kern w:val="0"/>
                <w:szCs w:val="21"/>
              </w:rPr>
              <w:t>二、规划符合性</w:t>
            </w:r>
          </w:p>
          <w:p>
            <w:pPr>
              <w:widowControl/>
              <w:spacing w:line="260" w:lineRule="exact"/>
              <w:jc w:val="center"/>
              <w:textAlignment w:val="center"/>
              <w:rPr>
                <w:kern w:val="0"/>
                <w:szCs w:val="21"/>
              </w:rPr>
            </w:pPr>
            <w:r>
              <w:rPr>
                <w:rFonts w:hAnsi="宋体"/>
                <w:kern w:val="0"/>
                <w:szCs w:val="21"/>
              </w:rPr>
              <w:t>（</w:t>
            </w:r>
            <w:r>
              <w:rPr>
                <w:kern w:val="0"/>
                <w:szCs w:val="21"/>
              </w:rPr>
              <w:t>12</w:t>
            </w:r>
            <w:r>
              <w:rPr>
                <w:rFonts w:hAnsi="宋体"/>
                <w:kern w:val="0"/>
                <w:szCs w:val="21"/>
              </w:rPr>
              <w:t>分）</w:t>
            </w:r>
          </w:p>
        </w:tc>
        <w:tc>
          <w:tcPr>
            <w:tcW w:w="1184" w:type="dxa"/>
            <w:noWrap w:val="0"/>
            <w:vAlign w:val="center"/>
          </w:tcPr>
          <w:p>
            <w:pPr>
              <w:widowControl/>
              <w:spacing w:line="260" w:lineRule="exact"/>
              <w:jc w:val="center"/>
              <w:textAlignment w:val="center"/>
              <w:rPr>
                <w:kern w:val="0"/>
                <w:szCs w:val="21"/>
              </w:rPr>
            </w:pPr>
            <w:r>
              <w:rPr>
                <w:rFonts w:hAnsi="宋体"/>
                <w:kern w:val="0"/>
                <w:szCs w:val="21"/>
              </w:rPr>
              <w:t>规划符合性</w:t>
            </w:r>
          </w:p>
        </w:tc>
        <w:tc>
          <w:tcPr>
            <w:tcW w:w="911" w:type="dxa"/>
            <w:noWrap w:val="0"/>
            <w:vAlign w:val="center"/>
          </w:tcPr>
          <w:p>
            <w:pPr>
              <w:widowControl/>
              <w:spacing w:line="260" w:lineRule="exact"/>
              <w:jc w:val="center"/>
              <w:textAlignment w:val="center"/>
              <w:rPr>
                <w:kern w:val="0"/>
                <w:szCs w:val="21"/>
              </w:rPr>
            </w:pPr>
            <w:r>
              <w:rPr>
                <w:kern w:val="0"/>
                <w:szCs w:val="21"/>
              </w:rPr>
              <w:t>12</w:t>
            </w:r>
          </w:p>
        </w:tc>
        <w:tc>
          <w:tcPr>
            <w:tcW w:w="9836" w:type="dxa"/>
            <w:noWrap w:val="0"/>
            <w:vAlign w:val="center"/>
          </w:tcPr>
          <w:p>
            <w:pPr>
              <w:widowControl/>
              <w:spacing w:line="260" w:lineRule="exact"/>
              <w:jc w:val="left"/>
              <w:textAlignment w:val="center"/>
              <w:rPr>
                <w:szCs w:val="21"/>
              </w:rPr>
            </w:pPr>
            <w:r>
              <w:rPr>
                <w:rFonts w:hAnsi="宋体"/>
                <w:kern w:val="0"/>
                <w:szCs w:val="21"/>
              </w:rPr>
              <w:t>（</w:t>
            </w:r>
            <w:r>
              <w:rPr>
                <w:kern w:val="0"/>
                <w:szCs w:val="21"/>
              </w:rPr>
              <w:t>1</w:t>
            </w:r>
            <w:r>
              <w:rPr>
                <w:rFonts w:hAnsi="宋体"/>
                <w:kern w:val="0"/>
                <w:szCs w:val="21"/>
              </w:rPr>
              <w:t>）管道燃气企业发展规划和年度计划符合地方燃气专项规划和其它相关要求，得</w:t>
            </w:r>
            <w:r>
              <w:rPr>
                <w:kern w:val="0"/>
                <w:szCs w:val="21"/>
              </w:rPr>
              <w:t>2</w:t>
            </w:r>
            <w:r>
              <w:rPr>
                <w:rFonts w:hAnsi="宋体"/>
                <w:kern w:val="0"/>
                <w:szCs w:val="21"/>
              </w:rPr>
              <w:t>分；否则不得分。</w:t>
            </w:r>
            <w:r>
              <w:rPr>
                <w:kern w:val="0"/>
                <w:szCs w:val="21"/>
              </w:rPr>
              <w:br w:type="textWrapping"/>
            </w:r>
            <w:r>
              <w:rPr>
                <w:rFonts w:hAnsi="宋体"/>
                <w:kern w:val="0"/>
                <w:szCs w:val="21"/>
              </w:rPr>
              <w:t>（</w:t>
            </w:r>
            <w:r>
              <w:rPr>
                <w:kern w:val="0"/>
                <w:szCs w:val="21"/>
              </w:rPr>
              <w:t>2</w:t>
            </w:r>
            <w:r>
              <w:rPr>
                <w:rFonts w:hAnsi="宋体"/>
                <w:kern w:val="0"/>
                <w:szCs w:val="21"/>
              </w:rPr>
              <w:t>）燃气场站（不含汽车加气站及偏远地区微管网独立气源站）按规划进度建设的，得</w:t>
            </w:r>
            <w:r>
              <w:rPr>
                <w:kern w:val="0"/>
                <w:szCs w:val="21"/>
              </w:rPr>
              <w:t>2</w:t>
            </w:r>
            <w:r>
              <w:rPr>
                <w:rFonts w:hAnsi="宋体"/>
                <w:kern w:val="0"/>
                <w:szCs w:val="21"/>
              </w:rPr>
              <w:t>分；每存在</w:t>
            </w:r>
            <w:r>
              <w:rPr>
                <w:kern w:val="0"/>
                <w:szCs w:val="21"/>
              </w:rPr>
              <w:t>1</w:t>
            </w:r>
            <w:r>
              <w:rPr>
                <w:rFonts w:hAnsi="宋体"/>
                <w:kern w:val="0"/>
                <w:szCs w:val="21"/>
              </w:rPr>
              <w:t>座燃气场站未按规划建设的扣</w:t>
            </w:r>
            <w:r>
              <w:rPr>
                <w:kern w:val="0"/>
                <w:szCs w:val="21"/>
              </w:rPr>
              <w:t>1</w:t>
            </w:r>
            <w:r>
              <w:rPr>
                <w:rFonts w:hAnsi="宋体"/>
                <w:kern w:val="0"/>
                <w:szCs w:val="21"/>
              </w:rPr>
              <w:t>分，扣完为止。</w:t>
            </w:r>
            <w:r>
              <w:rPr>
                <w:kern w:val="0"/>
                <w:szCs w:val="21"/>
              </w:rPr>
              <w:br w:type="textWrapping"/>
            </w:r>
            <w:r>
              <w:rPr>
                <w:rFonts w:hAnsi="宋体"/>
                <w:kern w:val="0"/>
                <w:szCs w:val="21"/>
              </w:rPr>
              <w:t>（</w:t>
            </w:r>
            <w:r>
              <w:rPr>
                <w:kern w:val="0"/>
                <w:szCs w:val="21"/>
              </w:rPr>
              <w:t>3</w:t>
            </w:r>
            <w:r>
              <w:rPr>
                <w:rFonts w:hAnsi="宋体"/>
                <w:kern w:val="0"/>
                <w:szCs w:val="21"/>
              </w:rPr>
              <w:t>）高压管道、次高压管道等按规划进度建设的，得</w:t>
            </w:r>
            <w:r>
              <w:rPr>
                <w:kern w:val="0"/>
                <w:szCs w:val="21"/>
              </w:rPr>
              <w:t>2</w:t>
            </w:r>
            <w:r>
              <w:rPr>
                <w:rFonts w:hAnsi="宋体"/>
                <w:kern w:val="0"/>
                <w:szCs w:val="21"/>
              </w:rPr>
              <w:t>分；建设进度低于规划指标</w:t>
            </w:r>
            <w:r>
              <w:rPr>
                <w:kern w:val="0"/>
                <w:szCs w:val="21"/>
              </w:rPr>
              <w:t>10%</w:t>
            </w:r>
            <w:r>
              <w:rPr>
                <w:rFonts w:hAnsi="宋体"/>
                <w:kern w:val="0"/>
                <w:szCs w:val="21"/>
              </w:rPr>
              <w:t>以下的，不扣分；建设进度低于规划指标</w:t>
            </w:r>
            <w:r>
              <w:rPr>
                <w:kern w:val="0"/>
                <w:szCs w:val="21"/>
              </w:rPr>
              <w:t>10%</w:t>
            </w:r>
            <w:r>
              <w:rPr>
                <w:rFonts w:hAnsi="宋体"/>
                <w:kern w:val="0"/>
                <w:szCs w:val="21"/>
              </w:rPr>
              <w:t>（含）</w:t>
            </w:r>
            <w:r>
              <w:rPr>
                <w:kern w:val="0"/>
                <w:szCs w:val="21"/>
              </w:rPr>
              <w:t>-20%</w:t>
            </w:r>
            <w:r>
              <w:rPr>
                <w:rFonts w:hAnsi="宋体"/>
                <w:kern w:val="0"/>
                <w:szCs w:val="21"/>
              </w:rPr>
              <w:t>的，扣</w:t>
            </w:r>
            <w:r>
              <w:rPr>
                <w:kern w:val="0"/>
                <w:szCs w:val="21"/>
              </w:rPr>
              <w:t>0.5</w:t>
            </w:r>
            <w:r>
              <w:rPr>
                <w:rFonts w:hAnsi="宋体"/>
                <w:kern w:val="0"/>
                <w:szCs w:val="21"/>
              </w:rPr>
              <w:t>分；建设进度低于规划指标</w:t>
            </w:r>
            <w:r>
              <w:rPr>
                <w:kern w:val="0"/>
                <w:szCs w:val="21"/>
              </w:rPr>
              <w:t>20%</w:t>
            </w:r>
            <w:r>
              <w:rPr>
                <w:rFonts w:hAnsi="宋体"/>
                <w:kern w:val="0"/>
                <w:szCs w:val="21"/>
              </w:rPr>
              <w:t>（含）以上的，不得分。</w:t>
            </w:r>
            <w:r>
              <w:rPr>
                <w:kern w:val="0"/>
                <w:szCs w:val="21"/>
              </w:rPr>
              <w:br w:type="textWrapping"/>
            </w:r>
            <w:r>
              <w:rPr>
                <w:rFonts w:hAnsi="宋体"/>
                <w:kern w:val="0"/>
                <w:szCs w:val="21"/>
              </w:rPr>
              <w:t>（</w:t>
            </w:r>
            <w:r>
              <w:rPr>
                <w:kern w:val="0"/>
                <w:szCs w:val="21"/>
              </w:rPr>
              <w:t>4</w:t>
            </w:r>
            <w:r>
              <w:rPr>
                <w:rFonts w:hAnsi="宋体"/>
                <w:kern w:val="0"/>
                <w:szCs w:val="21"/>
              </w:rPr>
              <w:t>）中压管道等按规划进度建设的，得</w:t>
            </w:r>
            <w:r>
              <w:rPr>
                <w:kern w:val="0"/>
                <w:szCs w:val="21"/>
              </w:rPr>
              <w:t>2</w:t>
            </w:r>
            <w:r>
              <w:rPr>
                <w:rFonts w:hAnsi="宋体"/>
                <w:kern w:val="0"/>
                <w:szCs w:val="21"/>
              </w:rPr>
              <w:t>分；建设进度低于规划指标</w:t>
            </w:r>
            <w:r>
              <w:rPr>
                <w:kern w:val="0"/>
                <w:szCs w:val="21"/>
              </w:rPr>
              <w:t>10%</w:t>
            </w:r>
            <w:r>
              <w:rPr>
                <w:rFonts w:hAnsi="宋体"/>
                <w:kern w:val="0"/>
                <w:szCs w:val="21"/>
              </w:rPr>
              <w:t>以下的，不扣分；建设进度低于规划指标</w:t>
            </w:r>
            <w:r>
              <w:rPr>
                <w:kern w:val="0"/>
                <w:szCs w:val="21"/>
              </w:rPr>
              <w:t>10%</w:t>
            </w:r>
            <w:r>
              <w:rPr>
                <w:rFonts w:hAnsi="宋体"/>
                <w:kern w:val="0"/>
                <w:szCs w:val="21"/>
              </w:rPr>
              <w:t>（含）</w:t>
            </w:r>
            <w:r>
              <w:rPr>
                <w:kern w:val="0"/>
                <w:szCs w:val="21"/>
              </w:rPr>
              <w:t>-20%</w:t>
            </w:r>
            <w:r>
              <w:rPr>
                <w:rFonts w:hAnsi="宋体"/>
                <w:kern w:val="0"/>
                <w:szCs w:val="21"/>
              </w:rPr>
              <w:t>的，扣</w:t>
            </w:r>
            <w:r>
              <w:rPr>
                <w:kern w:val="0"/>
                <w:szCs w:val="21"/>
              </w:rPr>
              <w:t>1</w:t>
            </w:r>
            <w:r>
              <w:rPr>
                <w:rFonts w:hAnsi="宋体"/>
                <w:kern w:val="0"/>
                <w:szCs w:val="21"/>
              </w:rPr>
              <w:t>分；建设进度低于规划指标</w:t>
            </w:r>
            <w:r>
              <w:rPr>
                <w:kern w:val="0"/>
                <w:szCs w:val="21"/>
              </w:rPr>
              <w:t>20%</w:t>
            </w:r>
            <w:r>
              <w:rPr>
                <w:rFonts w:hAnsi="宋体"/>
                <w:kern w:val="0"/>
                <w:szCs w:val="21"/>
              </w:rPr>
              <w:t>（含）以上的，不得分。</w:t>
            </w:r>
            <w:r>
              <w:rPr>
                <w:kern w:val="0"/>
                <w:szCs w:val="21"/>
              </w:rPr>
              <w:br w:type="textWrapping"/>
            </w:r>
            <w:r>
              <w:rPr>
                <w:rFonts w:hAnsi="宋体"/>
                <w:kern w:val="0"/>
                <w:szCs w:val="21"/>
              </w:rPr>
              <w:t>（</w:t>
            </w:r>
            <w:r>
              <w:rPr>
                <w:kern w:val="0"/>
                <w:szCs w:val="21"/>
              </w:rPr>
              <w:t>5</w:t>
            </w:r>
            <w:r>
              <w:rPr>
                <w:rFonts w:hAnsi="宋体"/>
                <w:kern w:val="0"/>
                <w:szCs w:val="21"/>
              </w:rPr>
              <w:t>）居民管道燃气气化率达到规划指标的，得</w:t>
            </w:r>
            <w:r>
              <w:rPr>
                <w:kern w:val="0"/>
                <w:szCs w:val="21"/>
              </w:rPr>
              <w:t>3</w:t>
            </w:r>
            <w:r>
              <w:rPr>
                <w:rFonts w:hAnsi="宋体"/>
                <w:kern w:val="0"/>
                <w:szCs w:val="21"/>
              </w:rPr>
              <w:t>分；低于规划指标</w:t>
            </w:r>
            <w:r>
              <w:rPr>
                <w:kern w:val="0"/>
                <w:szCs w:val="21"/>
              </w:rPr>
              <w:t>10%</w:t>
            </w:r>
            <w:r>
              <w:rPr>
                <w:rFonts w:hAnsi="宋体"/>
                <w:kern w:val="0"/>
                <w:szCs w:val="21"/>
              </w:rPr>
              <w:t>以下的，不扣分；低于规划指标</w:t>
            </w:r>
            <w:r>
              <w:rPr>
                <w:kern w:val="0"/>
                <w:szCs w:val="21"/>
              </w:rPr>
              <w:t>10%</w:t>
            </w:r>
            <w:r>
              <w:rPr>
                <w:rFonts w:hAnsi="宋体"/>
                <w:kern w:val="0"/>
                <w:szCs w:val="21"/>
              </w:rPr>
              <w:t>（含）</w:t>
            </w:r>
            <w:r>
              <w:rPr>
                <w:kern w:val="0"/>
                <w:szCs w:val="21"/>
              </w:rPr>
              <w:t>-20%</w:t>
            </w:r>
            <w:r>
              <w:rPr>
                <w:rFonts w:hAnsi="宋体"/>
                <w:kern w:val="0"/>
                <w:szCs w:val="21"/>
              </w:rPr>
              <w:t>的，扣</w:t>
            </w:r>
            <w:r>
              <w:rPr>
                <w:kern w:val="0"/>
                <w:szCs w:val="21"/>
              </w:rPr>
              <w:t>1</w:t>
            </w:r>
            <w:r>
              <w:rPr>
                <w:rFonts w:hAnsi="宋体"/>
                <w:kern w:val="0"/>
                <w:szCs w:val="21"/>
              </w:rPr>
              <w:t>分；低于规划指标</w:t>
            </w:r>
            <w:r>
              <w:rPr>
                <w:kern w:val="0"/>
                <w:szCs w:val="21"/>
              </w:rPr>
              <w:t>20%</w:t>
            </w:r>
            <w:r>
              <w:rPr>
                <w:rFonts w:hAnsi="宋体"/>
                <w:kern w:val="0"/>
                <w:szCs w:val="21"/>
              </w:rPr>
              <w:t>（含）以上的，不得分。</w:t>
            </w:r>
            <w:r>
              <w:rPr>
                <w:kern w:val="0"/>
                <w:szCs w:val="21"/>
              </w:rPr>
              <w:br w:type="textWrapping"/>
            </w:r>
            <w:r>
              <w:rPr>
                <w:rFonts w:hAnsi="宋体"/>
                <w:kern w:val="0"/>
                <w:szCs w:val="21"/>
              </w:rPr>
              <w:t>（</w:t>
            </w:r>
            <w:r>
              <w:rPr>
                <w:kern w:val="0"/>
                <w:szCs w:val="21"/>
              </w:rPr>
              <w:t>6</w:t>
            </w:r>
            <w:r>
              <w:rPr>
                <w:rFonts w:hAnsi="宋体"/>
                <w:kern w:val="0"/>
                <w:szCs w:val="21"/>
              </w:rPr>
              <w:t>）偏远地区微管网独立气源站（含气化站和瓶组站）按规划进度建设的，得</w:t>
            </w:r>
            <w:r>
              <w:rPr>
                <w:kern w:val="0"/>
                <w:szCs w:val="21"/>
              </w:rPr>
              <w:t>1</w:t>
            </w:r>
            <w:r>
              <w:rPr>
                <w:rFonts w:hAnsi="宋体"/>
                <w:kern w:val="0"/>
                <w:szCs w:val="21"/>
              </w:rPr>
              <w:t>分；每存在</w:t>
            </w:r>
            <w:r>
              <w:rPr>
                <w:kern w:val="0"/>
                <w:szCs w:val="21"/>
              </w:rPr>
              <w:t>1</w:t>
            </w:r>
            <w:r>
              <w:rPr>
                <w:rFonts w:hAnsi="宋体"/>
                <w:kern w:val="0"/>
                <w:szCs w:val="21"/>
              </w:rPr>
              <w:t>座气源站未按规划建设的扣</w:t>
            </w:r>
            <w:r>
              <w:rPr>
                <w:kern w:val="0"/>
                <w:szCs w:val="21"/>
              </w:rPr>
              <w:t>0.5</w:t>
            </w:r>
            <w:r>
              <w:rPr>
                <w:rFonts w:hAnsi="宋体"/>
                <w:kern w:val="0"/>
                <w:szCs w:val="21"/>
              </w:rPr>
              <w:t>分，扣完为止。</w:t>
            </w:r>
            <w:r>
              <w:rPr>
                <w:kern w:val="0"/>
                <w:szCs w:val="21"/>
              </w:rPr>
              <w:br w:type="textWrapping"/>
            </w:r>
            <w:r>
              <w:rPr>
                <w:rFonts w:hAnsi="宋体"/>
                <w:kern w:val="0"/>
                <w:szCs w:val="21"/>
              </w:rPr>
              <w:t>注：本项所有指标范围均指燃气企业特许经营区域内；若当地燃气专项规划在评估期内无相关考核指标的，该小项得满分；评估期内当地燃气规划尚未发布的，以上一轮规划期末指标为基数，结合省规划</w:t>
            </w:r>
            <w:r>
              <w:rPr>
                <w:kern w:val="0"/>
                <w:szCs w:val="21"/>
              </w:rPr>
              <w:t>“</w:t>
            </w:r>
            <w:r>
              <w:rPr>
                <w:rFonts w:hAnsi="宋体"/>
                <w:kern w:val="0"/>
                <w:szCs w:val="21"/>
              </w:rPr>
              <w:t>十四五</w:t>
            </w:r>
            <w:r>
              <w:rPr>
                <w:kern w:val="0"/>
                <w:szCs w:val="21"/>
              </w:rPr>
              <w:t>”</w:t>
            </w:r>
            <w:r>
              <w:rPr>
                <w:rFonts w:hAnsi="宋体"/>
                <w:kern w:val="0"/>
                <w:szCs w:val="21"/>
              </w:rPr>
              <w:t>末考核指标计算当期目标。</w:t>
            </w:r>
          </w:p>
        </w:tc>
        <w:tc>
          <w:tcPr>
            <w:tcW w:w="797" w:type="dxa"/>
            <w:noWrap w:val="0"/>
            <w:vAlign w:val="center"/>
          </w:tcPr>
          <w:p>
            <w:pPr>
              <w:spacing w:line="28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53" w:type="dxa"/>
            <w:noWrap w:val="0"/>
            <w:vAlign w:val="center"/>
          </w:tcPr>
          <w:p>
            <w:pPr>
              <w:widowControl/>
              <w:spacing w:line="280" w:lineRule="exact"/>
              <w:jc w:val="center"/>
              <w:textAlignment w:val="center"/>
              <w:rPr>
                <w:rFonts w:hint="eastAsia"/>
                <w:kern w:val="0"/>
                <w:szCs w:val="21"/>
              </w:rPr>
            </w:pPr>
            <w:r>
              <w:rPr>
                <w:rFonts w:hint="eastAsia"/>
                <w:kern w:val="0"/>
                <w:szCs w:val="21"/>
              </w:rPr>
              <w:t>8</w:t>
            </w:r>
          </w:p>
        </w:tc>
        <w:tc>
          <w:tcPr>
            <w:tcW w:w="1750" w:type="dxa"/>
            <w:vMerge w:val="restart"/>
            <w:noWrap w:val="0"/>
            <w:vAlign w:val="center"/>
          </w:tcPr>
          <w:p>
            <w:pPr>
              <w:widowControl/>
              <w:spacing w:line="260" w:lineRule="exact"/>
              <w:jc w:val="center"/>
              <w:rPr>
                <w:rFonts w:hint="eastAsia" w:hAnsi="宋体"/>
                <w:kern w:val="0"/>
                <w:szCs w:val="21"/>
              </w:rPr>
            </w:pPr>
            <w:r>
              <w:rPr>
                <w:rFonts w:hAnsi="宋体"/>
                <w:kern w:val="0"/>
                <w:szCs w:val="21"/>
              </w:rPr>
              <w:t>三、安全投入、生产管理及应急能力</w:t>
            </w:r>
          </w:p>
          <w:p>
            <w:pPr>
              <w:widowControl/>
              <w:spacing w:line="260" w:lineRule="exact"/>
              <w:jc w:val="center"/>
              <w:rPr>
                <w:kern w:val="0"/>
                <w:szCs w:val="21"/>
              </w:rPr>
            </w:pPr>
            <w:r>
              <w:rPr>
                <w:rFonts w:hAnsi="宋体"/>
                <w:kern w:val="0"/>
                <w:szCs w:val="21"/>
              </w:rPr>
              <w:t>（</w:t>
            </w:r>
            <w:r>
              <w:rPr>
                <w:kern w:val="0"/>
                <w:szCs w:val="21"/>
              </w:rPr>
              <w:t>49</w:t>
            </w:r>
            <w:r>
              <w:rPr>
                <w:rFonts w:hAnsi="宋体"/>
                <w:kern w:val="0"/>
                <w:szCs w:val="21"/>
              </w:rPr>
              <w:t>分）</w:t>
            </w:r>
          </w:p>
        </w:tc>
        <w:tc>
          <w:tcPr>
            <w:tcW w:w="1184" w:type="dxa"/>
            <w:noWrap w:val="0"/>
            <w:vAlign w:val="center"/>
          </w:tcPr>
          <w:p>
            <w:pPr>
              <w:widowControl/>
              <w:spacing w:line="260" w:lineRule="exact"/>
              <w:jc w:val="center"/>
              <w:textAlignment w:val="center"/>
              <w:rPr>
                <w:kern w:val="0"/>
                <w:szCs w:val="21"/>
              </w:rPr>
            </w:pPr>
            <w:r>
              <w:rPr>
                <w:rFonts w:hAnsi="宋体"/>
                <w:kern w:val="0"/>
                <w:szCs w:val="21"/>
              </w:rPr>
              <w:t>双重预防</w:t>
            </w:r>
          </w:p>
        </w:tc>
        <w:tc>
          <w:tcPr>
            <w:tcW w:w="911" w:type="dxa"/>
            <w:noWrap w:val="0"/>
            <w:vAlign w:val="center"/>
          </w:tcPr>
          <w:p>
            <w:pPr>
              <w:widowControl/>
              <w:spacing w:line="260" w:lineRule="exact"/>
              <w:jc w:val="center"/>
              <w:textAlignment w:val="center"/>
              <w:rPr>
                <w:kern w:val="0"/>
                <w:szCs w:val="21"/>
              </w:rPr>
            </w:pPr>
            <w:r>
              <w:rPr>
                <w:kern w:val="0"/>
                <w:szCs w:val="21"/>
              </w:rPr>
              <w:t>5</w:t>
            </w:r>
          </w:p>
        </w:tc>
        <w:tc>
          <w:tcPr>
            <w:tcW w:w="9836" w:type="dxa"/>
            <w:noWrap w:val="0"/>
            <w:vAlign w:val="center"/>
          </w:tcPr>
          <w:p>
            <w:pPr>
              <w:widowControl/>
              <w:spacing w:line="260" w:lineRule="exact"/>
              <w:jc w:val="left"/>
              <w:textAlignment w:val="center"/>
              <w:rPr>
                <w:szCs w:val="21"/>
              </w:rPr>
            </w:pPr>
            <w:r>
              <w:rPr>
                <w:rFonts w:hAnsi="宋体"/>
                <w:kern w:val="0"/>
                <w:szCs w:val="21"/>
              </w:rPr>
              <w:t>（</w:t>
            </w:r>
            <w:r>
              <w:rPr>
                <w:kern w:val="0"/>
                <w:szCs w:val="21"/>
              </w:rPr>
              <w:t>1</w:t>
            </w:r>
            <w:r>
              <w:rPr>
                <w:rFonts w:hAnsi="宋体"/>
                <w:kern w:val="0"/>
                <w:szCs w:val="21"/>
              </w:rPr>
              <w:t>）按规定建立风险</w:t>
            </w:r>
            <w:r>
              <w:rPr>
                <w:rFonts w:hint="eastAsia" w:hAnsi="宋体"/>
                <w:kern w:val="0"/>
                <w:szCs w:val="21"/>
              </w:rPr>
              <w:t>分级</w:t>
            </w:r>
            <w:r>
              <w:rPr>
                <w:rFonts w:hAnsi="宋体"/>
                <w:kern w:val="0"/>
                <w:szCs w:val="21"/>
              </w:rPr>
              <w:t>管控</w:t>
            </w:r>
            <w:r>
              <w:rPr>
                <w:rFonts w:hint="eastAsia" w:hAnsi="宋体"/>
                <w:kern w:val="0"/>
                <w:szCs w:val="21"/>
              </w:rPr>
              <w:t>和</w:t>
            </w:r>
            <w:r>
              <w:rPr>
                <w:rFonts w:hAnsi="宋体"/>
                <w:kern w:val="0"/>
                <w:szCs w:val="21"/>
              </w:rPr>
              <w:t>隐患排查治理双重预防机制的，得</w:t>
            </w:r>
            <w:r>
              <w:rPr>
                <w:kern w:val="0"/>
                <w:szCs w:val="21"/>
              </w:rPr>
              <w:t>1</w:t>
            </w:r>
            <w:r>
              <w:rPr>
                <w:rFonts w:hAnsi="宋体"/>
                <w:kern w:val="0"/>
                <w:szCs w:val="21"/>
              </w:rPr>
              <w:t>分；</w:t>
            </w:r>
            <w:r>
              <w:rPr>
                <w:kern w:val="0"/>
                <w:szCs w:val="21"/>
              </w:rPr>
              <w:br w:type="textWrapping"/>
            </w:r>
            <w:r>
              <w:rPr>
                <w:rFonts w:hAnsi="宋体"/>
                <w:kern w:val="0"/>
                <w:szCs w:val="21"/>
              </w:rPr>
              <w:t>（</w:t>
            </w:r>
            <w:r>
              <w:rPr>
                <w:kern w:val="0"/>
                <w:szCs w:val="21"/>
              </w:rPr>
              <w:t>2</w:t>
            </w:r>
            <w:r>
              <w:rPr>
                <w:rFonts w:hAnsi="宋体"/>
                <w:kern w:val="0"/>
                <w:szCs w:val="21"/>
              </w:rPr>
              <w:t>）按要求定期开展风险识别和隐患排查治理，建立隐患台账，并形成治理闭环的，得</w:t>
            </w:r>
            <w:r>
              <w:rPr>
                <w:kern w:val="0"/>
                <w:szCs w:val="21"/>
              </w:rPr>
              <w:t>3</w:t>
            </w:r>
            <w:r>
              <w:rPr>
                <w:rFonts w:hAnsi="宋体"/>
                <w:kern w:val="0"/>
                <w:szCs w:val="21"/>
              </w:rPr>
              <w:t>分；有一项隐患未整改完成扣</w:t>
            </w:r>
            <w:r>
              <w:rPr>
                <w:kern w:val="0"/>
                <w:szCs w:val="21"/>
              </w:rPr>
              <w:t>0.5</w:t>
            </w:r>
            <w:r>
              <w:rPr>
                <w:rFonts w:hAnsi="宋体"/>
                <w:kern w:val="0"/>
                <w:szCs w:val="21"/>
              </w:rPr>
              <w:t>分，扣完为止；</w:t>
            </w:r>
            <w:r>
              <w:rPr>
                <w:kern w:val="0"/>
                <w:szCs w:val="21"/>
              </w:rPr>
              <w:br w:type="textWrapping"/>
            </w:r>
            <w:r>
              <w:rPr>
                <w:rFonts w:hAnsi="宋体"/>
                <w:kern w:val="0"/>
                <w:szCs w:val="21"/>
              </w:rPr>
              <w:t>（</w:t>
            </w:r>
            <w:r>
              <w:rPr>
                <w:kern w:val="0"/>
                <w:szCs w:val="21"/>
              </w:rPr>
              <w:t>3</w:t>
            </w:r>
            <w:r>
              <w:rPr>
                <w:rFonts w:hAnsi="宋体"/>
                <w:kern w:val="0"/>
                <w:szCs w:val="21"/>
              </w:rPr>
              <w:t>）将隐患排查情况定期上报管理部门的，得</w:t>
            </w:r>
            <w:r>
              <w:rPr>
                <w:kern w:val="0"/>
                <w:szCs w:val="21"/>
              </w:rPr>
              <w:t>1</w:t>
            </w:r>
            <w:r>
              <w:rPr>
                <w:rFonts w:hAnsi="宋体"/>
                <w:kern w:val="0"/>
                <w:szCs w:val="21"/>
              </w:rPr>
              <w:t>分。</w:t>
            </w:r>
          </w:p>
        </w:tc>
        <w:tc>
          <w:tcPr>
            <w:tcW w:w="797" w:type="dxa"/>
            <w:noWrap w:val="0"/>
            <w:vAlign w:val="center"/>
          </w:tcPr>
          <w:p>
            <w:pPr>
              <w:spacing w:line="28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3" w:type="dxa"/>
            <w:noWrap w:val="0"/>
            <w:vAlign w:val="center"/>
          </w:tcPr>
          <w:p>
            <w:pPr>
              <w:widowControl/>
              <w:spacing w:line="280" w:lineRule="exact"/>
              <w:jc w:val="center"/>
              <w:textAlignment w:val="center"/>
              <w:rPr>
                <w:rFonts w:hint="eastAsia"/>
                <w:kern w:val="0"/>
                <w:szCs w:val="21"/>
              </w:rPr>
            </w:pPr>
            <w:r>
              <w:rPr>
                <w:rFonts w:hint="eastAsia"/>
                <w:kern w:val="0"/>
                <w:szCs w:val="21"/>
              </w:rPr>
              <w:t>9</w:t>
            </w:r>
          </w:p>
        </w:tc>
        <w:tc>
          <w:tcPr>
            <w:tcW w:w="1750" w:type="dxa"/>
            <w:vMerge w:val="continue"/>
            <w:noWrap w:val="0"/>
            <w:vAlign w:val="center"/>
          </w:tcPr>
          <w:p>
            <w:pPr>
              <w:widowControl/>
              <w:spacing w:line="260" w:lineRule="exact"/>
              <w:jc w:val="left"/>
              <w:rPr>
                <w:kern w:val="0"/>
                <w:szCs w:val="21"/>
              </w:rPr>
            </w:pPr>
          </w:p>
        </w:tc>
        <w:tc>
          <w:tcPr>
            <w:tcW w:w="1184" w:type="dxa"/>
            <w:noWrap w:val="0"/>
            <w:vAlign w:val="center"/>
          </w:tcPr>
          <w:p>
            <w:pPr>
              <w:widowControl/>
              <w:spacing w:line="260" w:lineRule="exact"/>
              <w:jc w:val="center"/>
              <w:textAlignment w:val="center"/>
              <w:rPr>
                <w:kern w:val="0"/>
                <w:szCs w:val="21"/>
              </w:rPr>
            </w:pPr>
            <w:r>
              <w:rPr>
                <w:rFonts w:hAnsi="宋体"/>
                <w:kern w:val="0"/>
                <w:szCs w:val="21"/>
              </w:rPr>
              <w:t>应急能力</w:t>
            </w:r>
          </w:p>
        </w:tc>
        <w:tc>
          <w:tcPr>
            <w:tcW w:w="911" w:type="dxa"/>
            <w:noWrap w:val="0"/>
            <w:vAlign w:val="center"/>
          </w:tcPr>
          <w:p>
            <w:pPr>
              <w:widowControl/>
              <w:spacing w:line="260" w:lineRule="exact"/>
              <w:jc w:val="center"/>
              <w:textAlignment w:val="center"/>
              <w:rPr>
                <w:kern w:val="0"/>
                <w:szCs w:val="21"/>
              </w:rPr>
            </w:pPr>
            <w:r>
              <w:rPr>
                <w:kern w:val="0"/>
                <w:szCs w:val="21"/>
              </w:rPr>
              <w:t>6</w:t>
            </w:r>
          </w:p>
        </w:tc>
        <w:tc>
          <w:tcPr>
            <w:tcW w:w="9836" w:type="dxa"/>
            <w:noWrap w:val="0"/>
            <w:vAlign w:val="center"/>
          </w:tcPr>
          <w:p>
            <w:pPr>
              <w:widowControl/>
              <w:tabs>
                <w:tab w:val="left" w:pos="9367"/>
              </w:tabs>
              <w:spacing w:line="260" w:lineRule="exact"/>
              <w:jc w:val="left"/>
              <w:textAlignment w:val="center"/>
              <w:rPr>
                <w:kern w:val="0"/>
                <w:szCs w:val="21"/>
              </w:rPr>
            </w:pPr>
            <w:r>
              <w:rPr>
                <w:rFonts w:hAnsi="宋体"/>
                <w:kern w:val="0"/>
                <w:szCs w:val="21"/>
              </w:rPr>
              <w:t>（</w:t>
            </w:r>
            <w:r>
              <w:rPr>
                <w:kern w:val="0"/>
                <w:szCs w:val="21"/>
              </w:rPr>
              <w:t>1</w:t>
            </w:r>
            <w:r>
              <w:rPr>
                <w:rFonts w:hAnsi="宋体"/>
                <w:kern w:val="0"/>
                <w:szCs w:val="21"/>
              </w:rPr>
              <w:t>）应急预案</w:t>
            </w:r>
            <w:r>
              <w:rPr>
                <w:kern w:val="0"/>
                <w:szCs w:val="21"/>
              </w:rPr>
              <w:br w:type="textWrapping"/>
            </w:r>
            <w:r>
              <w:rPr>
                <w:kern w:val="0"/>
                <w:szCs w:val="21"/>
              </w:rPr>
              <w:t>1</w:t>
            </w:r>
            <w:r>
              <w:rPr>
                <w:rFonts w:hAnsi="宋体"/>
                <w:kern w:val="0"/>
                <w:szCs w:val="21"/>
              </w:rPr>
              <w:t>）按国家和地方相关要求，建立完整的企业应急预案体系，得</w:t>
            </w:r>
            <w:r>
              <w:rPr>
                <w:kern w:val="0"/>
                <w:szCs w:val="21"/>
              </w:rPr>
              <w:t>1</w:t>
            </w:r>
            <w:r>
              <w:rPr>
                <w:rFonts w:hAnsi="宋体"/>
                <w:kern w:val="0"/>
                <w:szCs w:val="21"/>
              </w:rPr>
              <w:t>分，有一项不合格扣</w:t>
            </w:r>
            <w:r>
              <w:rPr>
                <w:kern w:val="0"/>
                <w:szCs w:val="21"/>
              </w:rPr>
              <w:t>0.5</w:t>
            </w:r>
            <w:r>
              <w:rPr>
                <w:rFonts w:hAnsi="宋体"/>
                <w:kern w:val="0"/>
                <w:szCs w:val="21"/>
              </w:rPr>
              <w:t>分，扣完为止；</w:t>
            </w:r>
            <w:r>
              <w:rPr>
                <w:kern w:val="0"/>
                <w:szCs w:val="21"/>
              </w:rPr>
              <w:br w:type="textWrapping"/>
            </w:r>
            <w:r>
              <w:rPr>
                <w:kern w:val="0"/>
                <w:szCs w:val="21"/>
              </w:rPr>
              <w:t>2</w:t>
            </w:r>
            <w:r>
              <w:rPr>
                <w:rFonts w:hAnsi="宋体"/>
                <w:kern w:val="0"/>
                <w:szCs w:val="21"/>
              </w:rPr>
              <w:t>）应急预案进行评审后，经单位主要负责人签署实施，报燃气主管部门或应急管理部门备案，并按要求持续修订完善的，得</w:t>
            </w:r>
            <w:r>
              <w:rPr>
                <w:kern w:val="0"/>
                <w:szCs w:val="21"/>
              </w:rPr>
              <w:t>1</w:t>
            </w:r>
            <w:r>
              <w:rPr>
                <w:rFonts w:hAnsi="宋体"/>
                <w:kern w:val="0"/>
                <w:szCs w:val="21"/>
              </w:rPr>
              <w:t>分；有一项不合格扣</w:t>
            </w:r>
            <w:r>
              <w:rPr>
                <w:kern w:val="0"/>
                <w:szCs w:val="21"/>
              </w:rPr>
              <w:t>0.5</w:t>
            </w:r>
            <w:r>
              <w:rPr>
                <w:rFonts w:hAnsi="宋体"/>
                <w:kern w:val="0"/>
                <w:szCs w:val="21"/>
              </w:rPr>
              <w:t>分，扣完为止；</w:t>
            </w:r>
            <w:r>
              <w:rPr>
                <w:kern w:val="0"/>
                <w:szCs w:val="21"/>
              </w:rPr>
              <w:br w:type="textWrapping"/>
            </w:r>
            <w:r>
              <w:rPr>
                <w:rFonts w:hAnsi="宋体"/>
                <w:kern w:val="0"/>
                <w:szCs w:val="21"/>
              </w:rPr>
              <w:t>（</w:t>
            </w:r>
            <w:r>
              <w:rPr>
                <w:kern w:val="0"/>
                <w:szCs w:val="21"/>
              </w:rPr>
              <w:t>2</w:t>
            </w:r>
            <w:r>
              <w:rPr>
                <w:rFonts w:hAnsi="宋体"/>
                <w:kern w:val="0"/>
                <w:szCs w:val="21"/>
              </w:rPr>
              <w:t>）按要求制定应急预案演练计划</w:t>
            </w:r>
            <w:r>
              <w:rPr>
                <w:kern w:val="0"/>
                <w:szCs w:val="21"/>
              </w:rPr>
              <w:t>(0.5</w:t>
            </w:r>
            <w:r>
              <w:rPr>
                <w:rFonts w:hAnsi="宋体"/>
                <w:kern w:val="0"/>
                <w:szCs w:val="21"/>
              </w:rPr>
              <w:t>分</w:t>
            </w:r>
            <w:r>
              <w:rPr>
                <w:kern w:val="0"/>
                <w:szCs w:val="21"/>
              </w:rPr>
              <w:t>)</w:t>
            </w:r>
            <w:r>
              <w:rPr>
                <w:rFonts w:hAnsi="宋体"/>
                <w:kern w:val="0"/>
                <w:szCs w:val="21"/>
              </w:rPr>
              <w:t>；依据应急预案开展应急演练，按要求编制演练相关文件（</w:t>
            </w:r>
            <w:r>
              <w:rPr>
                <w:kern w:val="0"/>
                <w:szCs w:val="21"/>
              </w:rPr>
              <w:t>0.5</w:t>
            </w:r>
            <w:r>
              <w:rPr>
                <w:rFonts w:hAnsi="宋体"/>
                <w:kern w:val="0"/>
                <w:szCs w:val="21"/>
              </w:rPr>
              <w:t>分），有详尽的演练记录（</w:t>
            </w:r>
            <w:r>
              <w:rPr>
                <w:kern w:val="0"/>
                <w:szCs w:val="21"/>
              </w:rPr>
              <w:t>0.5</w:t>
            </w:r>
            <w:r>
              <w:rPr>
                <w:rFonts w:hAnsi="宋体"/>
                <w:kern w:val="0"/>
                <w:szCs w:val="21"/>
              </w:rPr>
              <w:t>分）和完整的评估总结（</w:t>
            </w:r>
            <w:r>
              <w:rPr>
                <w:kern w:val="0"/>
                <w:szCs w:val="21"/>
              </w:rPr>
              <w:t>0.5</w:t>
            </w:r>
            <w:r>
              <w:rPr>
                <w:rFonts w:hAnsi="宋体"/>
                <w:kern w:val="0"/>
                <w:szCs w:val="21"/>
              </w:rPr>
              <w:t>分），共</w:t>
            </w:r>
            <w:r>
              <w:rPr>
                <w:kern w:val="0"/>
                <w:szCs w:val="21"/>
              </w:rPr>
              <w:t>2</w:t>
            </w:r>
            <w:r>
              <w:rPr>
                <w:rFonts w:hAnsi="宋体"/>
                <w:kern w:val="0"/>
                <w:szCs w:val="21"/>
              </w:rPr>
              <w:t>分；</w:t>
            </w:r>
            <w:r>
              <w:rPr>
                <w:kern w:val="0"/>
                <w:szCs w:val="21"/>
              </w:rPr>
              <w:br w:type="textWrapping"/>
            </w:r>
            <w:r>
              <w:rPr>
                <w:rFonts w:hAnsi="宋体"/>
                <w:kern w:val="0"/>
                <w:szCs w:val="21"/>
              </w:rPr>
              <w:t>（</w:t>
            </w:r>
            <w:r>
              <w:rPr>
                <w:kern w:val="0"/>
                <w:szCs w:val="21"/>
              </w:rPr>
              <w:t>3</w:t>
            </w:r>
            <w:r>
              <w:rPr>
                <w:rFonts w:hAnsi="宋体"/>
                <w:kern w:val="0"/>
                <w:szCs w:val="21"/>
              </w:rPr>
              <w:t>）按相关要求成立应急救援队伍、配备应急救援装备、器材，并定期检查，保证完好可用的，得</w:t>
            </w:r>
            <w:r>
              <w:rPr>
                <w:kern w:val="0"/>
                <w:szCs w:val="21"/>
              </w:rPr>
              <w:t>2</w:t>
            </w:r>
            <w:r>
              <w:rPr>
                <w:rFonts w:hAnsi="宋体"/>
                <w:kern w:val="0"/>
                <w:szCs w:val="21"/>
              </w:rPr>
              <w:t>分，缺一项扣</w:t>
            </w:r>
            <w:r>
              <w:rPr>
                <w:kern w:val="0"/>
                <w:szCs w:val="21"/>
              </w:rPr>
              <w:t>0.5</w:t>
            </w:r>
            <w:r>
              <w:rPr>
                <w:rFonts w:hAnsi="宋体"/>
                <w:kern w:val="0"/>
                <w:szCs w:val="21"/>
              </w:rPr>
              <w:t>分，扣完为止。</w:t>
            </w:r>
            <w:r>
              <w:rPr>
                <w:rFonts w:hAnsi="宋体"/>
                <w:szCs w:val="21"/>
              </w:rPr>
              <w:t>采取外包的，此条不得分。</w:t>
            </w:r>
          </w:p>
        </w:tc>
        <w:tc>
          <w:tcPr>
            <w:tcW w:w="797" w:type="dxa"/>
            <w:noWrap w:val="0"/>
            <w:vAlign w:val="center"/>
          </w:tcPr>
          <w:p>
            <w:pPr>
              <w:spacing w:line="28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 w:hRule="atLeast"/>
          <w:jc w:val="center"/>
        </w:trPr>
        <w:tc>
          <w:tcPr>
            <w:tcW w:w="753" w:type="dxa"/>
            <w:noWrap w:val="0"/>
            <w:vAlign w:val="center"/>
          </w:tcPr>
          <w:p>
            <w:pPr>
              <w:widowControl/>
              <w:spacing w:line="280" w:lineRule="exact"/>
              <w:jc w:val="center"/>
              <w:textAlignment w:val="center"/>
              <w:rPr>
                <w:rFonts w:hint="eastAsia"/>
                <w:kern w:val="0"/>
                <w:szCs w:val="21"/>
              </w:rPr>
            </w:pPr>
            <w:r>
              <w:rPr>
                <w:rFonts w:hint="eastAsia"/>
                <w:kern w:val="0"/>
                <w:szCs w:val="21"/>
              </w:rPr>
              <w:t>10</w:t>
            </w:r>
          </w:p>
        </w:tc>
        <w:tc>
          <w:tcPr>
            <w:tcW w:w="1750" w:type="dxa"/>
            <w:vMerge w:val="continue"/>
            <w:noWrap w:val="0"/>
            <w:vAlign w:val="center"/>
          </w:tcPr>
          <w:p>
            <w:pPr>
              <w:widowControl/>
              <w:spacing w:line="260" w:lineRule="exact"/>
              <w:jc w:val="left"/>
              <w:rPr>
                <w:rFonts w:hint="eastAsia"/>
                <w:kern w:val="0"/>
                <w:szCs w:val="21"/>
              </w:rPr>
            </w:pPr>
          </w:p>
        </w:tc>
        <w:tc>
          <w:tcPr>
            <w:tcW w:w="1184" w:type="dxa"/>
            <w:noWrap w:val="0"/>
            <w:vAlign w:val="center"/>
          </w:tcPr>
          <w:p>
            <w:pPr>
              <w:widowControl/>
              <w:spacing w:line="260" w:lineRule="exact"/>
              <w:jc w:val="center"/>
              <w:textAlignment w:val="center"/>
              <w:rPr>
                <w:kern w:val="0"/>
                <w:szCs w:val="21"/>
              </w:rPr>
            </w:pPr>
            <w:r>
              <w:rPr>
                <w:rFonts w:hAnsi="宋体"/>
                <w:kern w:val="0"/>
                <w:szCs w:val="21"/>
              </w:rPr>
              <w:t>事故事件</w:t>
            </w:r>
          </w:p>
          <w:p>
            <w:pPr>
              <w:widowControl/>
              <w:spacing w:line="260" w:lineRule="exact"/>
              <w:jc w:val="center"/>
              <w:textAlignment w:val="center"/>
              <w:rPr>
                <w:kern w:val="0"/>
                <w:szCs w:val="21"/>
              </w:rPr>
            </w:pPr>
            <w:r>
              <w:rPr>
                <w:rFonts w:hAnsi="宋体"/>
                <w:kern w:val="0"/>
                <w:szCs w:val="21"/>
              </w:rPr>
              <w:t>管理</w:t>
            </w:r>
          </w:p>
        </w:tc>
        <w:tc>
          <w:tcPr>
            <w:tcW w:w="911" w:type="dxa"/>
            <w:noWrap w:val="0"/>
            <w:vAlign w:val="center"/>
          </w:tcPr>
          <w:p>
            <w:pPr>
              <w:widowControl/>
              <w:spacing w:line="260" w:lineRule="exact"/>
              <w:jc w:val="center"/>
              <w:textAlignment w:val="center"/>
              <w:rPr>
                <w:kern w:val="0"/>
                <w:szCs w:val="21"/>
              </w:rPr>
            </w:pPr>
            <w:r>
              <w:rPr>
                <w:kern w:val="0"/>
                <w:szCs w:val="21"/>
              </w:rPr>
              <w:t>4</w:t>
            </w:r>
          </w:p>
        </w:tc>
        <w:tc>
          <w:tcPr>
            <w:tcW w:w="9836" w:type="dxa"/>
            <w:noWrap w:val="0"/>
            <w:vAlign w:val="center"/>
          </w:tcPr>
          <w:p>
            <w:pPr>
              <w:widowControl/>
              <w:spacing w:line="260" w:lineRule="exact"/>
              <w:jc w:val="left"/>
              <w:textAlignment w:val="center"/>
              <w:rPr>
                <w:szCs w:val="21"/>
              </w:rPr>
            </w:pPr>
            <w:r>
              <w:rPr>
                <w:rFonts w:hAnsi="宋体"/>
                <w:kern w:val="0"/>
                <w:szCs w:val="21"/>
              </w:rPr>
              <w:t>（</w:t>
            </w:r>
            <w:r>
              <w:rPr>
                <w:kern w:val="0"/>
                <w:szCs w:val="21"/>
              </w:rPr>
              <w:t>1</w:t>
            </w:r>
            <w:r>
              <w:rPr>
                <w:rFonts w:hAnsi="宋体"/>
                <w:kern w:val="0"/>
                <w:szCs w:val="21"/>
              </w:rPr>
              <w:t>）制定完善的事故事件管理制度的，得</w:t>
            </w:r>
            <w:r>
              <w:rPr>
                <w:kern w:val="0"/>
                <w:szCs w:val="21"/>
              </w:rPr>
              <w:t>1</w:t>
            </w:r>
            <w:r>
              <w:rPr>
                <w:rFonts w:hAnsi="宋体"/>
                <w:kern w:val="0"/>
                <w:szCs w:val="21"/>
              </w:rPr>
              <w:t>分；</w:t>
            </w:r>
            <w:r>
              <w:rPr>
                <w:kern w:val="0"/>
                <w:szCs w:val="21"/>
              </w:rPr>
              <w:br w:type="textWrapping"/>
            </w:r>
            <w:r>
              <w:rPr>
                <w:rFonts w:hAnsi="宋体"/>
                <w:kern w:val="0"/>
                <w:szCs w:val="21"/>
              </w:rPr>
              <w:t>（</w:t>
            </w:r>
            <w:r>
              <w:rPr>
                <w:kern w:val="0"/>
                <w:szCs w:val="21"/>
              </w:rPr>
              <w:t>2</w:t>
            </w:r>
            <w:r>
              <w:rPr>
                <w:rFonts w:hAnsi="宋体"/>
                <w:kern w:val="0"/>
                <w:szCs w:val="21"/>
              </w:rPr>
              <w:t>）建立完整的事故和事件台账的，得</w:t>
            </w:r>
            <w:r>
              <w:rPr>
                <w:kern w:val="0"/>
                <w:szCs w:val="21"/>
              </w:rPr>
              <w:t>1</w:t>
            </w:r>
            <w:r>
              <w:rPr>
                <w:rFonts w:hAnsi="宋体"/>
                <w:kern w:val="0"/>
                <w:szCs w:val="21"/>
              </w:rPr>
              <w:t>分；</w:t>
            </w:r>
            <w:r>
              <w:rPr>
                <w:kern w:val="0"/>
                <w:szCs w:val="21"/>
              </w:rPr>
              <w:br w:type="textWrapping"/>
            </w:r>
            <w:r>
              <w:rPr>
                <w:rFonts w:hAnsi="宋体"/>
                <w:kern w:val="0"/>
                <w:szCs w:val="21"/>
              </w:rPr>
              <w:t>（</w:t>
            </w:r>
            <w:r>
              <w:rPr>
                <w:kern w:val="0"/>
                <w:szCs w:val="21"/>
              </w:rPr>
              <w:t>3</w:t>
            </w:r>
            <w:r>
              <w:rPr>
                <w:rFonts w:hAnsi="宋体"/>
                <w:kern w:val="0"/>
                <w:szCs w:val="21"/>
              </w:rPr>
              <w:t>）定期对事件情况进行统计分析，并提出应对或改进措施的，得</w:t>
            </w:r>
            <w:r>
              <w:rPr>
                <w:kern w:val="0"/>
                <w:szCs w:val="21"/>
              </w:rPr>
              <w:t>1</w:t>
            </w:r>
            <w:r>
              <w:rPr>
                <w:rFonts w:hAnsi="宋体"/>
                <w:kern w:val="0"/>
                <w:szCs w:val="21"/>
              </w:rPr>
              <w:t>分；</w:t>
            </w:r>
            <w:r>
              <w:rPr>
                <w:kern w:val="0"/>
                <w:szCs w:val="21"/>
              </w:rPr>
              <w:br w:type="textWrapping"/>
            </w:r>
            <w:r>
              <w:rPr>
                <w:rFonts w:hAnsi="宋体"/>
                <w:kern w:val="0"/>
                <w:szCs w:val="21"/>
              </w:rPr>
              <w:t>（</w:t>
            </w:r>
            <w:r>
              <w:rPr>
                <w:kern w:val="0"/>
                <w:szCs w:val="21"/>
              </w:rPr>
              <w:t>4</w:t>
            </w:r>
            <w:r>
              <w:rPr>
                <w:rFonts w:hAnsi="宋体"/>
                <w:kern w:val="0"/>
                <w:szCs w:val="21"/>
              </w:rPr>
              <w:t>）</w:t>
            </w:r>
            <w:r>
              <w:rPr>
                <w:rFonts w:hAnsi="宋体"/>
                <w:spacing w:val="-16"/>
                <w:kern w:val="0"/>
                <w:szCs w:val="21"/>
              </w:rPr>
              <w:t>按要求对事故进行处置和上报，并在事后及时进行分析，举一反三，开展隐患排查的，得</w:t>
            </w:r>
            <w:r>
              <w:rPr>
                <w:spacing w:val="-16"/>
                <w:kern w:val="0"/>
                <w:szCs w:val="21"/>
              </w:rPr>
              <w:t>1</w:t>
            </w:r>
            <w:r>
              <w:rPr>
                <w:rFonts w:hAnsi="宋体"/>
                <w:spacing w:val="-16"/>
                <w:kern w:val="0"/>
                <w:szCs w:val="21"/>
              </w:rPr>
              <w:t>分。</w:t>
            </w:r>
          </w:p>
        </w:tc>
        <w:tc>
          <w:tcPr>
            <w:tcW w:w="797" w:type="dxa"/>
            <w:noWrap w:val="0"/>
            <w:vAlign w:val="center"/>
          </w:tcPr>
          <w:p>
            <w:pPr>
              <w:spacing w:line="28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8" w:hRule="atLeast"/>
          <w:jc w:val="center"/>
        </w:trPr>
        <w:tc>
          <w:tcPr>
            <w:tcW w:w="753" w:type="dxa"/>
            <w:noWrap w:val="0"/>
            <w:vAlign w:val="center"/>
          </w:tcPr>
          <w:p>
            <w:pPr>
              <w:widowControl/>
              <w:spacing w:line="280" w:lineRule="exact"/>
              <w:jc w:val="center"/>
              <w:textAlignment w:val="center"/>
              <w:rPr>
                <w:rFonts w:hint="eastAsia"/>
                <w:kern w:val="0"/>
                <w:szCs w:val="21"/>
              </w:rPr>
            </w:pPr>
            <w:r>
              <w:rPr>
                <w:rFonts w:hint="eastAsia"/>
                <w:kern w:val="0"/>
                <w:szCs w:val="21"/>
              </w:rPr>
              <w:t>11</w:t>
            </w:r>
          </w:p>
        </w:tc>
        <w:tc>
          <w:tcPr>
            <w:tcW w:w="1750" w:type="dxa"/>
            <w:vMerge w:val="restart"/>
            <w:noWrap w:val="0"/>
            <w:vAlign w:val="center"/>
          </w:tcPr>
          <w:p>
            <w:pPr>
              <w:widowControl/>
              <w:spacing w:line="280" w:lineRule="exact"/>
              <w:jc w:val="center"/>
              <w:rPr>
                <w:rFonts w:hint="eastAsia" w:hAnsi="宋体"/>
                <w:kern w:val="0"/>
                <w:szCs w:val="21"/>
              </w:rPr>
            </w:pPr>
            <w:r>
              <w:rPr>
                <w:rFonts w:hAnsi="宋体"/>
                <w:kern w:val="0"/>
                <w:szCs w:val="21"/>
              </w:rPr>
              <w:t>三、安全投入、生产管理及应急能力</w:t>
            </w:r>
          </w:p>
          <w:p>
            <w:pPr>
              <w:widowControl/>
              <w:spacing w:line="280" w:lineRule="exact"/>
              <w:jc w:val="center"/>
              <w:rPr>
                <w:kern w:val="0"/>
                <w:szCs w:val="21"/>
              </w:rPr>
            </w:pPr>
            <w:r>
              <w:rPr>
                <w:rFonts w:hAnsi="宋体"/>
                <w:kern w:val="0"/>
                <w:szCs w:val="21"/>
              </w:rPr>
              <w:t>（</w:t>
            </w:r>
            <w:r>
              <w:rPr>
                <w:kern w:val="0"/>
                <w:szCs w:val="21"/>
              </w:rPr>
              <w:t>49</w:t>
            </w:r>
            <w:r>
              <w:rPr>
                <w:rFonts w:hAnsi="宋体"/>
                <w:kern w:val="0"/>
                <w:szCs w:val="21"/>
              </w:rPr>
              <w:t>分）</w:t>
            </w:r>
          </w:p>
        </w:tc>
        <w:tc>
          <w:tcPr>
            <w:tcW w:w="1184" w:type="dxa"/>
            <w:noWrap w:val="0"/>
            <w:vAlign w:val="center"/>
          </w:tcPr>
          <w:p>
            <w:pPr>
              <w:widowControl/>
              <w:spacing w:line="280" w:lineRule="exact"/>
              <w:jc w:val="center"/>
              <w:textAlignment w:val="center"/>
              <w:rPr>
                <w:kern w:val="0"/>
                <w:szCs w:val="21"/>
              </w:rPr>
            </w:pPr>
            <w:r>
              <w:rPr>
                <w:rFonts w:hAnsi="宋体"/>
                <w:kern w:val="0"/>
                <w:szCs w:val="21"/>
              </w:rPr>
              <w:t>安全管理</w:t>
            </w:r>
          </w:p>
          <w:p>
            <w:pPr>
              <w:widowControl/>
              <w:spacing w:line="280" w:lineRule="exact"/>
              <w:jc w:val="center"/>
              <w:textAlignment w:val="center"/>
              <w:rPr>
                <w:kern w:val="0"/>
                <w:szCs w:val="21"/>
              </w:rPr>
            </w:pPr>
            <w:r>
              <w:rPr>
                <w:rFonts w:hAnsi="宋体"/>
                <w:kern w:val="0"/>
                <w:szCs w:val="21"/>
              </w:rPr>
              <w:t>制度</w:t>
            </w:r>
          </w:p>
        </w:tc>
        <w:tc>
          <w:tcPr>
            <w:tcW w:w="911" w:type="dxa"/>
            <w:noWrap w:val="0"/>
            <w:vAlign w:val="center"/>
          </w:tcPr>
          <w:p>
            <w:pPr>
              <w:widowControl/>
              <w:spacing w:line="280" w:lineRule="exact"/>
              <w:jc w:val="center"/>
              <w:textAlignment w:val="center"/>
              <w:rPr>
                <w:kern w:val="0"/>
                <w:szCs w:val="21"/>
              </w:rPr>
            </w:pPr>
            <w:r>
              <w:rPr>
                <w:kern w:val="0"/>
                <w:szCs w:val="21"/>
              </w:rPr>
              <w:t>7</w:t>
            </w:r>
          </w:p>
        </w:tc>
        <w:tc>
          <w:tcPr>
            <w:tcW w:w="9836" w:type="dxa"/>
            <w:noWrap w:val="0"/>
            <w:vAlign w:val="center"/>
          </w:tcPr>
          <w:p>
            <w:pPr>
              <w:widowControl/>
              <w:spacing w:line="280" w:lineRule="exact"/>
              <w:jc w:val="left"/>
              <w:textAlignment w:val="center"/>
              <w:rPr>
                <w:spacing w:val="-4"/>
                <w:szCs w:val="21"/>
              </w:rPr>
            </w:pPr>
            <w:r>
              <w:rPr>
                <w:rFonts w:hAnsi="宋体"/>
                <w:spacing w:val="-4"/>
                <w:kern w:val="0"/>
                <w:szCs w:val="21"/>
              </w:rPr>
              <w:t>（</w:t>
            </w:r>
            <w:r>
              <w:rPr>
                <w:spacing w:val="-4"/>
                <w:kern w:val="0"/>
                <w:szCs w:val="21"/>
              </w:rPr>
              <w:t>1</w:t>
            </w:r>
            <w:r>
              <w:rPr>
                <w:rFonts w:hAnsi="宋体"/>
                <w:spacing w:val="-4"/>
                <w:kern w:val="0"/>
                <w:szCs w:val="21"/>
              </w:rPr>
              <w:t>）按照相关要求，具有健全的安全生产管理制度，包括但不限于：安全生产责任制、安全生产费用管理、安全教育培训管理、安全风险管理、隐患排查治理、事故管理、特种设备安全管理、燃气场站运行管理、燃气管网运行管理、岗位操作规程、用户燃气安全检查、相关方安全管理等制度，得</w:t>
            </w:r>
            <w:r>
              <w:rPr>
                <w:spacing w:val="-4"/>
                <w:kern w:val="0"/>
                <w:szCs w:val="21"/>
              </w:rPr>
              <w:t>2</w:t>
            </w:r>
            <w:r>
              <w:rPr>
                <w:rFonts w:hAnsi="宋体"/>
                <w:spacing w:val="-4"/>
                <w:kern w:val="0"/>
                <w:szCs w:val="21"/>
              </w:rPr>
              <w:t>分；缺一项扣</w:t>
            </w:r>
            <w:r>
              <w:rPr>
                <w:spacing w:val="-4"/>
                <w:kern w:val="0"/>
                <w:szCs w:val="21"/>
              </w:rPr>
              <w:t>1</w:t>
            </w:r>
            <w:r>
              <w:rPr>
                <w:rFonts w:hAnsi="宋体"/>
                <w:spacing w:val="-4"/>
                <w:kern w:val="0"/>
                <w:szCs w:val="21"/>
              </w:rPr>
              <w:t>分，存在一项制度不完善的扣</w:t>
            </w:r>
            <w:r>
              <w:rPr>
                <w:spacing w:val="-4"/>
                <w:kern w:val="0"/>
                <w:szCs w:val="21"/>
              </w:rPr>
              <w:t>0.5</w:t>
            </w:r>
            <w:r>
              <w:rPr>
                <w:rFonts w:hAnsi="宋体"/>
                <w:spacing w:val="-4"/>
                <w:kern w:val="0"/>
                <w:szCs w:val="21"/>
              </w:rPr>
              <w:t>分，存在一项制度未及时评估的扣</w:t>
            </w:r>
            <w:r>
              <w:rPr>
                <w:spacing w:val="-4"/>
                <w:kern w:val="0"/>
                <w:szCs w:val="21"/>
              </w:rPr>
              <w:t>0.5</w:t>
            </w:r>
            <w:r>
              <w:rPr>
                <w:rFonts w:hAnsi="宋体"/>
                <w:spacing w:val="-4"/>
                <w:kern w:val="0"/>
                <w:szCs w:val="21"/>
              </w:rPr>
              <w:t>分，扣完为止；</w:t>
            </w:r>
            <w:r>
              <w:rPr>
                <w:spacing w:val="-4"/>
                <w:kern w:val="0"/>
                <w:szCs w:val="21"/>
              </w:rPr>
              <w:br w:type="textWrapping"/>
            </w:r>
            <w:r>
              <w:rPr>
                <w:rFonts w:hAnsi="宋体"/>
                <w:spacing w:val="-4"/>
                <w:kern w:val="0"/>
                <w:szCs w:val="21"/>
              </w:rPr>
              <w:t>（</w:t>
            </w:r>
            <w:r>
              <w:rPr>
                <w:spacing w:val="-4"/>
                <w:kern w:val="0"/>
                <w:szCs w:val="21"/>
              </w:rPr>
              <w:t>2</w:t>
            </w:r>
            <w:r>
              <w:rPr>
                <w:rFonts w:hAnsi="宋体"/>
                <w:spacing w:val="-4"/>
                <w:kern w:val="0"/>
                <w:szCs w:val="21"/>
              </w:rPr>
              <w:t>）与各部门或相关人员签订安全生产责任书，并定期对安全生产责任制落实情况进行考核的，得</w:t>
            </w:r>
            <w:r>
              <w:rPr>
                <w:spacing w:val="-4"/>
                <w:kern w:val="0"/>
                <w:szCs w:val="21"/>
              </w:rPr>
              <w:t>2</w:t>
            </w:r>
            <w:r>
              <w:rPr>
                <w:rFonts w:hAnsi="宋体"/>
                <w:spacing w:val="-4"/>
                <w:kern w:val="0"/>
                <w:szCs w:val="21"/>
              </w:rPr>
              <w:t>分；存在一项不满足要求的，扣</w:t>
            </w:r>
            <w:r>
              <w:rPr>
                <w:spacing w:val="-4"/>
                <w:kern w:val="0"/>
                <w:szCs w:val="21"/>
              </w:rPr>
              <w:t>0.5</w:t>
            </w:r>
            <w:r>
              <w:rPr>
                <w:rFonts w:hAnsi="宋体"/>
                <w:spacing w:val="-4"/>
                <w:kern w:val="0"/>
                <w:szCs w:val="21"/>
              </w:rPr>
              <w:t>分，扣完为止；</w:t>
            </w:r>
            <w:r>
              <w:rPr>
                <w:spacing w:val="-4"/>
                <w:kern w:val="0"/>
                <w:szCs w:val="21"/>
              </w:rPr>
              <w:br w:type="textWrapping"/>
            </w:r>
            <w:r>
              <w:rPr>
                <w:rFonts w:hAnsi="宋体"/>
                <w:spacing w:val="-4"/>
                <w:kern w:val="0"/>
                <w:szCs w:val="21"/>
              </w:rPr>
              <w:t>（</w:t>
            </w:r>
            <w:r>
              <w:rPr>
                <w:spacing w:val="-4"/>
                <w:kern w:val="0"/>
                <w:szCs w:val="21"/>
              </w:rPr>
              <w:t>3</w:t>
            </w:r>
            <w:r>
              <w:rPr>
                <w:rFonts w:hAnsi="宋体"/>
                <w:spacing w:val="-4"/>
                <w:kern w:val="0"/>
                <w:szCs w:val="21"/>
              </w:rPr>
              <w:t>）安全生产费用</w:t>
            </w:r>
            <w:r>
              <w:rPr>
                <w:spacing w:val="-4"/>
                <w:kern w:val="0"/>
                <w:szCs w:val="21"/>
              </w:rPr>
              <w:br w:type="textWrapping"/>
            </w:r>
            <w:r>
              <w:rPr>
                <w:spacing w:val="-4"/>
                <w:kern w:val="0"/>
                <w:szCs w:val="21"/>
              </w:rPr>
              <w:t>1</w:t>
            </w:r>
            <w:r>
              <w:rPr>
                <w:rFonts w:hAnsi="宋体"/>
                <w:spacing w:val="-4"/>
                <w:kern w:val="0"/>
                <w:szCs w:val="21"/>
              </w:rPr>
              <w:t>）按要求制定安全生产费用管理制度，制定安全生产费用年度计划，并严格执行的，得</w:t>
            </w:r>
            <w:r>
              <w:rPr>
                <w:spacing w:val="-4"/>
                <w:kern w:val="0"/>
                <w:szCs w:val="21"/>
              </w:rPr>
              <w:t>1</w:t>
            </w:r>
            <w:r>
              <w:rPr>
                <w:rFonts w:hAnsi="宋体"/>
                <w:spacing w:val="-4"/>
                <w:kern w:val="0"/>
                <w:szCs w:val="21"/>
              </w:rPr>
              <w:t>分；有一项不满足要求的，不得分；</w:t>
            </w:r>
            <w:r>
              <w:rPr>
                <w:spacing w:val="-4"/>
                <w:kern w:val="0"/>
                <w:szCs w:val="21"/>
              </w:rPr>
              <w:br w:type="textWrapping"/>
            </w:r>
            <w:r>
              <w:rPr>
                <w:spacing w:val="-4"/>
                <w:kern w:val="0"/>
                <w:szCs w:val="21"/>
              </w:rPr>
              <w:t>2</w:t>
            </w:r>
            <w:r>
              <w:rPr>
                <w:rFonts w:hAnsi="宋体"/>
                <w:spacing w:val="-4"/>
                <w:kern w:val="0"/>
                <w:szCs w:val="21"/>
              </w:rPr>
              <w:t>）企业安全费用专项核算的，得</w:t>
            </w:r>
            <w:r>
              <w:rPr>
                <w:spacing w:val="-4"/>
                <w:kern w:val="0"/>
                <w:szCs w:val="21"/>
              </w:rPr>
              <w:t>1</w:t>
            </w:r>
            <w:r>
              <w:rPr>
                <w:rFonts w:hAnsi="宋体"/>
                <w:spacing w:val="-4"/>
                <w:kern w:val="0"/>
                <w:szCs w:val="21"/>
              </w:rPr>
              <w:t>分；</w:t>
            </w:r>
            <w:r>
              <w:rPr>
                <w:spacing w:val="-4"/>
                <w:kern w:val="0"/>
                <w:szCs w:val="21"/>
              </w:rPr>
              <w:br w:type="textWrapping"/>
            </w:r>
            <w:r>
              <w:rPr>
                <w:spacing w:val="-4"/>
                <w:kern w:val="0"/>
                <w:szCs w:val="21"/>
              </w:rPr>
              <w:t>3</w:t>
            </w:r>
            <w:r>
              <w:rPr>
                <w:rFonts w:hAnsi="宋体"/>
                <w:spacing w:val="-4"/>
                <w:kern w:val="0"/>
                <w:szCs w:val="21"/>
              </w:rPr>
              <w:t>）安全生产费用按</w:t>
            </w:r>
            <w:r>
              <w:rPr>
                <w:rFonts w:hint="eastAsia" w:hAnsi="宋体"/>
                <w:spacing w:val="-4"/>
                <w:kern w:val="0"/>
                <w:szCs w:val="21"/>
              </w:rPr>
              <w:t>规定</w:t>
            </w:r>
            <w:r>
              <w:rPr>
                <w:rFonts w:hAnsi="宋体"/>
                <w:spacing w:val="-4"/>
                <w:kern w:val="0"/>
                <w:szCs w:val="21"/>
              </w:rPr>
              <w:t>比例足额提取的，得</w:t>
            </w:r>
            <w:r>
              <w:rPr>
                <w:spacing w:val="-4"/>
                <w:kern w:val="0"/>
                <w:szCs w:val="21"/>
              </w:rPr>
              <w:t>1</w:t>
            </w:r>
            <w:r>
              <w:rPr>
                <w:rFonts w:hAnsi="宋体"/>
                <w:spacing w:val="-4"/>
                <w:kern w:val="0"/>
                <w:szCs w:val="21"/>
              </w:rPr>
              <w:t>分。</w:t>
            </w:r>
          </w:p>
        </w:tc>
        <w:tc>
          <w:tcPr>
            <w:tcW w:w="797" w:type="dxa"/>
            <w:noWrap w:val="0"/>
            <w:vAlign w:val="center"/>
          </w:tcPr>
          <w:p>
            <w:pPr>
              <w:spacing w:line="28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3" w:type="dxa"/>
            <w:noWrap w:val="0"/>
            <w:vAlign w:val="center"/>
          </w:tcPr>
          <w:p>
            <w:pPr>
              <w:widowControl/>
              <w:spacing w:line="280" w:lineRule="exact"/>
              <w:jc w:val="center"/>
              <w:textAlignment w:val="center"/>
              <w:rPr>
                <w:rFonts w:hint="eastAsia"/>
                <w:kern w:val="0"/>
                <w:szCs w:val="21"/>
              </w:rPr>
            </w:pPr>
            <w:r>
              <w:rPr>
                <w:rFonts w:hint="eastAsia"/>
                <w:kern w:val="0"/>
                <w:szCs w:val="21"/>
              </w:rPr>
              <w:t>12</w:t>
            </w:r>
          </w:p>
        </w:tc>
        <w:tc>
          <w:tcPr>
            <w:tcW w:w="1750" w:type="dxa"/>
            <w:vMerge w:val="continue"/>
            <w:noWrap w:val="0"/>
            <w:vAlign w:val="center"/>
          </w:tcPr>
          <w:p>
            <w:pPr>
              <w:widowControl/>
              <w:spacing w:line="280" w:lineRule="exact"/>
              <w:jc w:val="left"/>
              <w:rPr>
                <w:kern w:val="0"/>
                <w:szCs w:val="21"/>
              </w:rPr>
            </w:pPr>
          </w:p>
        </w:tc>
        <w:tc>
          <w:tcPr>
            <w:tcW w:w="1184" w:type="dxa"/>
            <w:noWrap w:val="0"/>
            <w:vAlign w:val="center"/>
          </w:tcPr>
          <w:p>
            <w:pPr>
              <w:widowControl/>
              <w:spacing w:line="280" w:lineRule="exact"/>
              <w:jc w:val="center"/>
              <w:textAlignment w:val="center"/>
              <w:rPr>
                <w:kern w:val="0"/>
                <w:szCs w:val="21"/>
              </w:rPr>
            </w:pPr>
            <w:r>
              <w:rPr>
                <w:rFonts w:hAnsi="宋体"/>
                <w:kern w:val="0"/>
                <w:szCs w:val="21"/>
              </w:rPr>
              <w:t>安全管理机构及人员持证</w:t>
            </w:r>
          </w:p>
        </w:tc>
        <w:tc>
          <w:tcPr>
            <w:tcW w:w="911" w:type="dxa"/>
            <w:noWrap w:val="0"/>
            <w:vAlign w:val="center"/>
          </w:tcPr>
          <w:p>
            <w:pPr>
              <w:widowControl/>
              <w:spacing w:line="280" w:lineRule="exact"/>
              <w:jc w:val="center"/>
              <w:textAlignment w:val="center"/>
              <w:rPr>
                <w:kern w:val="0"/>
                <w:szCs w:val="21"/>
              </w:rPr>
            </w:pPr>
            <w:r>
              <w:rPr>
                <w:kern w:val="0"/>
                <w:szCs w:val="21"/>
              </w:rPr>
              <w:t>6</w:t>
            </w:r>
          </w:p>
        </w:tc>
        <w:tc>
          <w:tcPr>
            <w:tcW w:w="9836" w:type="dxa"/>
            <w:noWrap w:val="0"/>
            <w:vAlign w:val="center"/>
          </w:tcPr>
          <w:p>
            <w:pPr>
              <w:widowControl/>
              <w:spacing w:line="280" w:lineRule="exact"/>
              <w:jc w:val="left"/>
              <w:textAlignment w:val="center"/>
              <w:rPr>
                <w:spacing w:val="-6"/>
                <w:kern w:val="0"/>
                <w:szCs w:val="21"/>
              </w:rPr>
            </w:pPr>
            <w:r>
              <w:rPr>
                <w:rFonts w:hAnsi="宋体"/>
                <w:spacing w:val="-6"/>
                <w:kern w:val="0"/>
                <w:szCs w:val="21"/>
              </w:rPr>
              <w:t>（</w:t>
            </w:r>
            <w:r>
              <w:rPr>
                <w:spacing w:val="-6"/>
                <w:kern w:val="0"/>
                <w:szCs w:val="21"/>
              </w:rPr>
              <w:t>1</w:t>
            </w:r>
            <w:r>
              <w:rPr>
                <w:rFonts w:hAnsi="宋体"/>
                <w:spacing w:val="-6"/>
                <w:kern w:val="0"/>
                <w:szCs w:val="21"/>
              </w:rPr>
              <w:t>）设立安全生产委员会或安全生产领导机构，并按规定定期召开安全专题会，得</w:t>
            </w:r>
            <w:r>
              <w:rPr>
                <w:spacing w:val="-6"/>
                <w:kern w:val="0"/>
                <w:szCs w:val="21"/>
              </w:rPr>
              <w:t>0.5</w:t>
            </w:r>
            <w:r>
              <w:rPr>
                <w:rFonts w:hAnsi="宋体"/>
                <w:spacing w:val="-6"/>
                <w:kern w:val="0"/>
                <w:szCs w:val="21"/>
              </w:rPr>
              <w:t>分；</w:t>
            </w:r>
            <w:r>
              <w:rPr>
                <w:spacing w:val="-6"/>
                <w:kern w:val="0"/>
                <w:szCs w:val="21"/>
              </w:rPr>
              <w:br w:type="textWrapping"/>
            </w:r>
            <w:r>
              <w:rPr>
                <w:rFonts w:hAnsi="宋体"/>
                <w:spacing w:val="-6"/>
                <w:kern w:val="0"/>
                <w:szCs w:val="21"/>
              </w:rPr>
              <w:t>（</w:t>
            </w:r>
            <w:r>
              <w:rPr>
                <w:spacing w:val="-6"/>
                <w:kern w:val="0"/>
                <w:szCs w:val="21"/>
              </w:rPr>
              <w:t>2</w:t>
            </w:r>
            <w:r>
              <w:rPr>
                <w:rFonts w:hAnsi="宋体"/>
                <w:spacing w:val="-6"/>
                <w:kern w:val="0"/>
                <w:szCs w:val="21"/>
              </w:rPr>
              <w:t>）配备不低于从业人员</w:t>
            </w:r>
            <w:r>
              <w:rPr>
                <w:spacing w:val="-6"/>
                <w:kern w:val="0"/>
                <w:szCs w:val="21"/>
              </w:rPr>
              <w:t>2%</w:t>
            </w:r>
            <w:r>
              <w:rPr>
                <w:rFonts w:hAnsi="宋体"/>
                <w:spacing w:val="-6"/>
                <w:kern w:val="0"/>
                <w:szCs w:val="21"/>
              </w:rPr>
              <w:t>且不少于</w:t>
            </w:r>
            <w:r>
              <w:rPr>
                <w:spacing w:val="-6"/>
                <w:kern w:val="0"/>
                <w:szCs w:val="21"/>
              </w:rPr>
              <w:t>1</w:t>
            </w:r>
            <w:r>
              <w:rPr>
                <w:rFonts w:hAnsi="宋体"/>
                <w:spacing w:val="-6"/>
                <w:kern w:val="0"/>
                <w:szCs w:val="21"/>
              </w:rPr>
              <w:t>名专职安全生产管理人员的，得</w:t>
            </w:r>
            <w:r>
              <w:rPr>
                <w:spacing w:val="-6"/>
                <w:kern w:val="0"/>
                <w:szCs w:val="21"/>
              </w:rPr>
              <w:t>0.5</w:t>
            </w:r>
            <w:r>
              <w:rPr>
                <w:rFonts w:hAnsi="宋体"/>
                <w:spacing w:val="-6"/>
                <w:kern w:val="0"/>
                <w:szCs w:val="21"/>
              </w:rPr>
              <w:t>分；</w:t>
            </w:r>
            <w:r>
              <w:rPr>
                <w:spacing w:val="-6"/>
                <w:kern w:val="0"/>
                <w:szCs w:val="21"/>
              </w:rPr>
              <w:br w:type="textWrapping"/>
            </w:r>
            <w:r>
              <w:rPr>
                <w:rFonts w:hAnsi="宋体"/>
                <w:spacing w:val="-6"/>
                <w:kern w:val="0"/>
                <w:szCs w:val="21"/>
              </w:rPr>
              <w:t>（</w:t>
            </w:r>
            <w:r>
              <w:rPr>
                <w:spacing w:val="-6"/>
                <w:kern w:val="0"/>
                <w:szCs w:val="21"/>
              </w:rPr>
              <w:t>3</w:t>
            </w:r>
            <w:r>
              <w:rPr>
                <w:rFonts w:hAnsi="宋体"/>
                <w:spacing w:val="-6"/>
                <w:kern w:val="0"/>
                <w:szCs w:val="21"/>
              </w:rPr>
              <w:t>）配备注册安全工程师，得</w:t>
            </w:r>
            <w:r>
              <w:rPr>
                <w:spacing w:val="-6"/>
                <w:kern w:val="0"/>
                <w:szCs w:val="21"/>
              </w:rPr>
              <w:t>1</w:t>
            </w:r>
            <w:r>
              <w:rPr>
                <w:rFonts w:hAnsi="宋体"/>
                <w:spacing w:val="-6"/>
                <w:kern w:val="0"/>
                <w:szCs w:val="21"/>
              </w:rPr>
              <w:t>分；</w:t>
            </w:r>
            <w:r>
              <w:rPr>
                <w:spacing w:val="-6"/>
                <w:kern w:val="0"/>
                <w:szCs w:val="21"/>
              </w:rPr>
              <w:br w:type="textWrapping"/>
            </w:r>
            <w:r>
              <w:rPr>
                <w:rFonts w:hAnsi="宋体"/>
                <w:spacing w:val="-6"/>
                <w:kern w:val="0"/>
                <w:szCs w:val="21"/>
              </w:rPr>
              <w:t>（</w:t>
            </w:r>
            <w:r>
              <w:rPr>
                <w:spacing w:val="-6"/>
                <w:kern w:val="0"/>
                <w:szCs w:val="21"/>
              </w:rPr>
              <w:t>4</w:t>
            </w:r>
            <w:r>
              <w:rPr>
                <w:rFonts w:hAnsi="宋体"/>
                <w:spacing w:val="-6"/>
                <w:kern w:val="0"/>
                <w:szCs w:val="21"/>
              </w:rPr>
              <w:t>）主要负责人持有安全生产知识和管理能力考核合格证（主要负责人）和燃气经营企业从业人员合格证（主要负责人），得</w:t>
            </w:r>
            <w:r>
              <w:rPr>
                <w:spacing w:val="-6"/>
                <w:kern w:val="0"/>
                <w:szCs w:val="21"/>
              </w:rPr>
              <w:t>1</w:t>
            </w:r>
            <w:r>
              <w:rPr>
                <w:rFonts w:hAnsi="宋体"/>
                <w:spacing w:val="-6"/>
                <w:kern w:val="0"/>
                <w:szCs w:val="21"/>
              </w:rPr>
              <w:t>分；</w:t>
            </w:r>
            <w:r>
              <w:rPr>
                <w:spacing w:val="-6"/>
                <w:kern w:val="0"/>
                <w:szCs w:val="21"/>
              </w:rPr>
              <w:br w:type="textWrapping"/>
            </w:r>
            <w:r>
              <w:rPr>
                <w:rFonts w:hAnsi="宋体"/>
                <w:spacing w:val="-6"/>
                <w:kern w:val="0"/>
                <w:szCs w:val="21"/>
              </w:rPr>
              <w:t>（</w:t>
            </w:r>
            <w:r>
              <w:rPr>
                <w:spacing w:val="-6"/>
                <w:kern w:val="0"/>
                <w:szCs w:val="21"/>
              </w:rPr>
              <w:t>5</w:t>
            </w:r>
            <w:r>
              <w:rPr>
                <w:rFonts w:hAnsi="宋体"/>
                <w:spacing w:val="-6"/>
                <w:kern w:val="0"/>
                <w:szCs w:val="21"/>
              </w:rPr>
              <w:t>）安全生产管理人员持有安全生产知识和管理能力考核合格证（安全管理人员）、燃气经营企业从业人员合格证（安全管理人员）和特种设备安全管理人员证，得</w:t>
            </w:r>
            <w:r>
              <w:rPr>
                <w:spacing w:val="-6"/>
                <w:kern w:val="0"/>
                <w:szCs w:val="21"/>
              </w:rPr>
              <w:t>1</w:t>
            </w:r>
            <w:r>
              <w:rPr>
                <w:rFonts w:hAnsi="宋体"/>
                <w:spacing w:val="-6"/>
                <w:kern w:val="0"/>
                <w:szCs w:val="21"/>
              </w:rPr>
              <w:t>分；</w:t>
            </w:r>
            <w:r>
              <w:rPr>
                <w:spacing w:val="-6"/>
                <w:kern w:val="0"/>
                <w:szCs w:val="21"/>
              </w:rPr>
              <w:br w:type="textWrapping"/>
            </w:r>
            <w:r>
              <w:rPr>
                <w:rFonts w:hAnsi="宋体"/>
                <w:spacing w:val="-6"/>
                <w:kern w:val="0"/>
                <w:szCs w:val="21"/>
              </w:rPr>
              <w:t>（</w:t>
            </w:r>
            <w:r>
              <w:rPr>
                <w:spacing w:val="-6"/>
                <w:kern w:val="0"/>
                <w:szCs w:val="21"/>
              </w:rPr>
              <w:t>6</w:t>
            </w:r>
            <w:r>
              <w:rPr>
                <w:rFonts w:hAnsi="宋体"/>
                <w:spacing w:val="-6"/>
                <w:kern w:val="0"/>
                <w:szCs w:val="21"/>
              </w:rPr>
              <w:t>）运行、维护和抢修人员按照要求（燃气用户</w:t>
            </w:r>
            <w:r>
              <w:rPr>
                <w:spacing w:val="-6"/>
                <w:kern w:val="0"/>
                <w:szCs w:val="21"/>
              </w:rPr>
              <w:t>10</w:t>
            </w:r>
            <w:r>
              <w:rPr>
                <w:rFonts w:hAnsi="宋体"/>
                <w:spacing w:val="-6"/>
                <w:kern w:val="0"/>
                <w:szCs w:val="21"/>
              </w:rPr>
              <w:t>万户以下，每</w:t>
            </w:r>
            <w:r>
              <w:rPr>
                <w:spacing w:val="-6"/>
                <w:kern w:val="0"/>
                <w:szCs w:val="21"/>
              </w:rPr>
              <w:t>2500</w:t>
            </w:r>
            <w:r>
              <w:rPr>
                <w:rFonts w:hAnsi="宋体"/>
                <w:spacing w:val="-6"/>
                <w:kern w:val="0"/>
                <w:szCs w:val="21"/>
              </w:rPr>
              <w:t>户不少于</w:t>
            </w:r>
            <w:r>
              <w:rPr>
                <w:spacing w:val="-6"/>
                <w:kern w:val="0"/>
                <w:szCs w:val="21"/>
              </w:rPr>
              <w:t>1</w:t>
            </w:r>
            <w:r>
              <w:rPr>
                <w:rFonts w:hAnsi="宋体"/>
                <w:spacing w:val="-6"/>
                <w:kern w:val="0"/>
                <w:szCs w:val="21"/>
              </w:rPr>
              <w:t>人；</w:t>
            </w:r>
            <w:r>
              <w:rPr>
                <w:spacing w:val="-6"/>
                <w:kern w:val="0"/>
                <w:szCs w:val="21"/>
              </w:rPr>
              <w:t>10</w:t>
            </w:r>
            <w:r>
              <w:rPr>
                <w:rFonts w:hAnsi="宋体"/>
                <w:spacing w:val="-6"/>
                <w:kern w:val="0"/>
                <w:szCs w:val="21"/>
              </w:rPr>
              <w:t>万户以上，每增加</w:t>
            </w:r>
            <w:r>
              <w:rPr>
                <w:spacing w:val="-6"/>
                <w:kern w:val="0"/>
                <w:szCs w:val="21"/>
              </w:rPr>
              <w:t>2500</w:t>
            </w:r>
            <w:r>
              <w:rPr>
                <w:rFonts w:hAnsi="宋体"/>
                <w:spacing w:val="-6"/>
                <w:kern w:val="0"/>
                <w:szCs w:val="21"/>
              </w:rPr>
              <w:t>户增加</w:t>
            </w:r>
            <w:r>
              <w:rPr>
                <w:spacing w:val="-6"/>
                <w:kern w:val="0"/>
                <w:szCs w:val="21"/>
              </w:rPr>
              <w:t>1</w:t>
            </w:r>
            <w:r>
              <w:rPr>
                <w:rFonts w:hAnsi="宋体"/>
                <w:spacing w:val="-6"/>
                <w:kern w:val="0"/>
                <w:szCs w:val="21"/>
              </w:rPr>
              <w:t>人）配备，且持有燃气经营企业从业人员合格证的，得</w:t>
            </w:r>
            <w:r>
              <w:rPr>
                <w:spacing w:val="-6"/>
                <w:kern w:val="0"/>
                <w:szCs w:val="21"/>
              </w:rPr>
              <w:t>1</w:t>
            </w:r>
            <w:r>
              <w:rPr>
                <w:rFonts w:hAnsi="宋体"/>
                <w:spacing w:val="-6"/>
                <w:kern w:val="0"/>
                <w:szCs w:val="21"/>
              </w:rPr>
              <w:t>分；</w:t>
            </w:r>
            <w:r>
              <w:rPr>
                <w:spacing w:val="-6"/>
                <w:kern w:val="0"/>
                <w:szCs w:val="21"/>
              </w:rPr>
              <w:t xml:space="preserve"> </w:t>
            </w:r>
            <w:r>
              <w:rPr>
                <w:spacing w:val="-6"/>
                <w:kern w:val="0"/>
                <w:szCs w:val="21"/>
              </w:rPr>
              <w:br w:type="textWrapping"/>
            </w:r>
            <w:r>
              <w:rPr>
                <w:rFonts w:hAnsi="宋体"/>
                <w:spacing w:val="-6"/>
                <w:kern w:val="0"/>
                <w:szCs w:val="21"/>
              </w:rPr>
              <w:t>（</w:t>
            </w:r>
            <w:r>
              <w:rPr>
                <w:spacing w:val="-6"/>
                <w:kern w:val="0"/>
                <w:szCs w:val="21"/>
              </w:rPr>
              <w:t>7）特种作业人员、特种设备作业人员由具有资质的培训机构进行专门的安全技术和操作技能的培训和考核，取得相应资格证书，并按相关要求复审的，得1分。</w:t>
            </w:r>
          </w:p>
          <w:p>
            <w:pPr>
              <w:widowControl/>
              <w:spacing w:line="280" w:lineRule="exact"/>
              <w:ind w:firstLine="198" w:firstLineChars="100"/>
              <w:jc w:val="left"/>
              <w:textAlignment w:val="center"/>
              <w:rPr>
                <w:spacing w:val="-6"/>
                <w:szCs w:val="21"/>
              </w:rPr>
            </w:pPr>
            <w:r>
              <w:rPr>
                <w:spacing w:val="-6"/>
                <w:kern w:val="0"/>
                <w:szCs w:val="21"/>
              </w:rPr>
              <w:t>注：</w:t>
            </w:r>
            <w:r>
              <w:rPr>
                <w:rFonts w:hint="eastAsia"/>
                <w:spacing w:val="-6"/>
                <w:kern w:val="0"/>
                <w:szCs w:val="21"/>
              </w:rPr>
              <w:t>（4）（5）（6）（7）小项</w:t>
            </w:r>
            <w:r>
              <w:rPr>
                <w:spacing w:val="-6"/>
                <w:kern w:val="0"/>
                <w:szCs w:val="21"/>
              </w:rPr>
              <w:t>存在1人未按要求取证的，该小项不得分。</w:t>
            </w:r>
          </w:p>
        </w:tc>
        <w:tc>
          <w:tcPr>
            <w:tcW w:w="797" w:type="dxa"/>
            <w:noWrap w:val="0"/>
            <w:vAlign w:val="center"/>
          </w:tcPr>
          <w:p>
            <w:pPr>
              <w:spacing w:line="28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jc w:val="center"/>
        </w:trPr>
        <w:tc>
          <w:tcPr>
            <w:tcW w:w="753" w:type="dxa"/>
            <w:noWrap w:val="0"/>
            <w:vAlign w:val="center"/>
          </w:tcPr>
          <w:p>
            <w:pPr>
              <w:widowControl/>
              <w:spacing w:line="280" w:lineRule="exact"/>
              <w:jc w:val="center"/>
              <w:textAlignment w:val="center"/>
              <w:rPr>
                <w:rFonts w:hint="eastAsia"/>
                <w:kern w:val="0"/>
                <w:szCs w:val="21"/>
              </w:rPr>
            </w:pPr>
            <w:r>
              <w:rPr>
                <w:rFonts w:hint="eastAsia"/>
                <w:kern w:val="0"/>
                <w:szCs w:val="21"/>
              </w:rPr>
              <w:t>13</w:t>
            </w:r>
          </w:p>
        </w:tc>
        <w:tc>
          <w:tcPr>
            <w:tcW w:w="1750" w:type="dxa"/>
            <w:vMerge w:val="restart"/>
            <w:noWrap w:val="0"/>
            <w:vAlign w:val="center"/>
          </w:tcPr>
          <w:p>
            <w:pPr>
              <w:widowControl/>
              <w:spacing w:line="280" w:lineRule="exact"/>
              <w:jc w:val="center"/>
              <w:rPr>
                <w:rFonts w:hint="eastAsia" w:hAnsi="宋体"/>
                <w:kern w:val="0"/>
                <w:szCs w:val="21"/>
              </w:rPr>
            </w:pPr>
            <w:r>
              <w:rPr>
                <w:rFonts w:hAnsi="宋体"/>
                <w:kern w:val="0"/>
                <w:szCs w:val="21"/>
              </w:rPr>
              <w:t>三、安全投入、生产管理及应急能力</w:t>
            </w:r>
          </w:p>
          <w:p>
            <w:pPr>
              <w:widowControl/>
              <w:spacing w:line="280" w:lineRule="exact"/>
              <w:jc w:val="center"/>
              <w:rPr>
                <w:kern w:val="0"/>
                <w:szCs w:val="21"/>
              </w:rPr>
            </w:pPr>
            <w:r>
              <w:rPr>
                <w:rFonts w:hAnsi="宋体"/>
                <w:kern w:val="0"/>
                <w:szCs w:val="21"/>
              </w:rPr>
              <w:t>（</w:t>
            </w:r>
            <w:r>
              <w:rPr>
                <w:kern w:val="0"/>
                <w:szCs w:val="21"/>
              </w:rPr>
              <w:t>49</w:t>
            </w:r>
            <w:r>
              <w:rPr>
                <w:rFonts w:hAnsi="宋体"/>
                <w:kern w:val="0"/>
                <w:szCs w:val="21"/>
              </w:rPr>
              <w:t>分）</w:t>
            </w:r>
          </w:p>
        </w:tc>
        <w:tc>
          <w:tcPr>
            <w:tcW w:w="1184" w:type="dxa"/>
            <w:noWrap w:val="0"/>
            <w:vAlign w:val="center"/>
          </w:tcPr>
          <w:p>
            <w:pPr>
              <w:widowControl/>
              <w:spacing w:line="280" w:lineRule="exact"/>
              <w:jc w:val="center"/>
              <w:textAlignment w:val="center"/>
              <w:rPr>
                <w:kern w:val="0"/>
                <w:szCs w:val="21"/>
              </w:rPr>
            </w:pPr>
            <w:r>
              <w:rPr>
                <w:kern w:val="0"/>
                <w:szCs w:val="21"/>
              </w:rPr>
              <w:t>安全教育</w:t>
            </w:r>
          </w:p>
          <w:p>
            <w:pPr>
              <w:widowControl/>
              <w:spacing w:line="280" w:lineRule="exact"/>
              <w:jc w:val="center"/>
              <w:textAlignment w:val="center"/>
              <w:rPr>
                <w:kern w:val="0"/>
                <w:szCs w:val="21"/>
              </w:rPr>
            </w:pPr>
            <w:r>
              <w:rPr>
                <w:kern w:val="0"/>
                <w:szCs w:val="21"/>
              </w:rPr>
              <w:t>培训</w:t>
            </w:r>
          </w:p>
        </w:tc>
        <w:tc>
          <w:tcPr>
            <w:tcW w:w="911" w:type="dxa"/>
            <w:noWrap w:val="0"/>
            <w:vAlign w:val="center"/>
          </w:tcPr>
          <w:p>
            <w:pPr>
              <w:widowControl/>
              <w:spacing w:line="280" w:lineRule="exact"/>
              <w:jc w:val="center"/>
              <w:textAlignment w:val="center"/>
              <w:rPr>
                <w:kern w:val="0"/>
                <w:szCs w:val="21"/>
              </w:rPr>
            </w:pPr>
            <w:r>
              <w:rPr>
                <w:kern w:val="0"/>
                <w:szCs w:val="21"/>
              </w:rPr>
              <w:t>2</w:t>
            </w:r>
          </w:p>
        </w:tc>
        <w:tc>
          <w:tcPr>
            <w:tcW w:w="9836" w:type="dxa"/>
            <w:noWrap w:val="0"/>
            <w:vAlign w:val="center"/>
          </w:tcPr>
          <w:p>
            <w:pPr>
              <w:widowControl/>
              <w:spacing w:line="280" w:lineRule="exact"/>
              <w:jc w:val="left"/>
              <w:textAlignment w:val="center"/>
              <w:rPr>
                <w:szCs w:val="21"/>
              </w:rPr>
            </w:pPr>
            <w:r>
              <w:rPr>
                <w:kern w:val="0"/>
                <w:szCs w:val="21"/>
              </w:rPr>
              <w:t>（1）对从业人员定期进行安全生产、职业卫生和应急救援教育和培训，得1分；</w:t>
            </w:r>
            <w:r>
              <w:rPr>
                <w:kern w:val="0"/>
                <w:szCs w:val="21"/>
              </w:rPr>
              <w:br w:type="textWrapping"/>
            </w:r>
            <w:r>
              <w:rPr>
                <w:kern w:val="0"/>
                <w:szCs w:val="21"/>
              </w:rPr>
              <w:t>（2）对新员工进行三级安全教育，安全教育培训内容和时间符合《生产经营单位安全培训规定》，得0.5分；</w:t>
            </w:r>
            <w:r>
              <w:rPr>
                <w:kern w:val="0"/>
                <w:szCs w:val="21"/>
              </w:rPr>
              <w:br w:type="textWrapping"/>
            </w:r>
            <w:r>
              <w:rPr>
                <w:kern w:val="0"/>
                <w:szCs w:val="21"/>
              </w:rPr>
              <w:t>（3）从业人员在本单位内调整工作岗位或离岗一年以上重新上岗时，重新接受部门和班组级的安全教育培训的，得0.5分。</w:t>
            </w:r>
          </w:p>
        </w:tc>
        <w:tc>
          <w:tcPr>
            <w:tcW w:w="797" w:type="dxa"/>
            <w:noWrap w:val="0"/>
            <w:vAlign w:val="center"/>
          </w:tcPr>
          <w:p>
            <w:pPr>
              <w:spacing w:line="28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jc w:val="center"/>
        </w:trPr>
        <w:tc>
          <w:tcPr>
            <w:tcW w:w="753" w:type="dxa"/>
            <w:noWrap w:val="0"/>
            <w:vAlign w:val="center"/>
          </w:tcPr>
          <w:p>
            <w:pPr>
              <w:widowControl/>
              <w:spacing w:line="280" w:lineRule="exact"/>
              <w:jc w:val="center"/>
              <w:textAlignment w:val="center"/>
              <w:rPr>
                <w:rFonts w:hint="eastAsia"/>
                <w:kern w:val="0"/>
                <w:szCs w:val="21"/>
              </w:rPr>
            </w:pPr>
            <w:r>
              <w:rPr>
                <w:rFonts w:hint="eastAsia"/>
                <w:kern w:val="0"/>
                <w:szCs w:val="21"/>
              </w:rPr>
              <w:t>14</w:t>
            </w:r>
          </w:p>
        </w:tc>
        <w:tc>
          <w:tcPr>
            <w:tcW w:w="1750" w:type="dxa"/>
            <w:vMerge w:val="continue"/>
            <w:noWrap w:val="0"/>
            <w:vAlign w:val="center"/>
          </w:tcPr>
          <w:p>
            <w:pPr>
              <w:widowControl/>
              <w:spacing w:line="280" w:lineRule="exact"/>
              <w:jc w:val="left"/>
              <w:rPr>
                <w:kern w:val="0"/>
                <w:szCs w:val="21"/>
              </w:rPr>
            </w:pPr>
          </w:p>
        </w:tc>
        <w:tc>
          <w:tcPr>
            <w:tcW w:w="1184" w:type="dxa"/>
            <w:noWrap w:val="0"/>
            <w:vAlign w:val="center"/>
          </w:tcPr>
          <w:p>
            <w:pPr>
              <w:widowControl/>
              <w:spacing w:line="280" w:lineRule="exact"/>
              <w:jc w:val="center"/>
              <w:textAlignment w:val="center"/>
              <w:rPr>
                <w:kern w:val="0"/>
                <w:szCs w:val="21"/>
              </w:rPr>
            </w:pPr>
            <w:r>
              <w:rPr>
                <w:kern w:val="0"/>
                <w:szCs w:val="21"/>
              </w:rPr>
              <w:t>保险</w:t>
            </w:r>
          </w:p>
        </w:tc>
        <w:tc>
          <w:tcPr>
            <w:tcW w:w="911" w:type="dxa"/>
            <w:noWrap w:val="0"/>
            <w:vAlign w:val="center"/>
          </w:tcPr>
          <w:p>
            <w:pPr>
              <w:widowControl/>
              <w:spacing w:line="280" w:lineRule="exact"/>
              <w:jc w:val="center"/>
              <w:textAlignment w:val="center"/>
              <w:rPr>
                <w:kern w:val="0"/>
                <w:szCs w:val="21"/>
              </w:rPr>
            </w:pPr>
            <w:r>
              <w:rPr>
                <w:kern w:val="0"/>
                <w:szCs w:val="21"/>
              </w:rPr>
              <w:t>1</w:t>
            </w:r>
          </w:p>
        </w:tc>
        <w:tc>
          <w:tcPr>
            <w:tcW w:w="9836" w:type="dxa"/>
            <w:noWrap w:val="0"/>
            <w:vAlign w:val="center"/>
          </w:tcPr>
          <w:p>
            <w:pPr>
              <w:widowControl/>
              <w:spacing w:line="280" w:lineRule="exact"/>
              <w:jc w:val="left"/>
              <w:textAlignment w:val="center"/>
              <w:rPr>
                <w:szCs w:val="21"/>
              </w:rPr>
            </w:pPr>
            <w:r>
              <w:rPr>
                <w:kern w:val="0"/>
                <w:szCs w:val="21"/>
              </w:rPr>
              <w:t>企业投保安全生产责任保险的，得1分。</w:t>
            </w:r>
          </w:p>
        </w:tc>
        <w:tc>
          <w:tcPr>
            <w:tcW w:w="797" w:type="dxa"/>
            <w:noWrap w:val="0"/>
            <w:vAlign w:val="center"/>
          </w:tcPr>
          <w:p>
            <w:pPr>
              <w:spacing w:line="28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8" w:hRule="atLeast"/>
          <w:jc w:val="center"/>
        </w:trPr>
        <w:tc>
          <w:tcPr>
            <w:tcW w:w="753" w:type="dxa"/>
            <w:noWrap w:val="0"/>
            <w:vAlign w:val="center"/>
          </w:tcPr>
          <w:p>
            <w:pPr>
              <w:widowControl/>
              <w:spacing w:line="280" w:lineRule="exact"/>
              <w:jc w:val="center"/>
              <w:textAlignment w:val="center"/>
              <w:rPr>
                <w:rFonts w:hint="eastAsia"/>
                <w:kern w:val="0"/>
                <w:szCs w:val="21"/>
              </w:rPr>
            </w:pPr>
            <w:r>
              <w:rPr>
                <w:rFonts w:hint="eastAsia"/>
                <w:kern w:val="0"/>
                <w:szCs w:val="21"/>
              </w:rPr>
              <w:t>15</w:t>
            </w:r>
          </w:p>
        </w:tc>
        <w:tc>
          <w:tcPr>
            <w:tcW w:w="1750" w:type="dxa"/>
            <w:vMerge w:val="continue"/>
            <w:noWrap w:val="0"/>
            <w:vAlign w:val="center"/>
          </w:tcPr>
          <w:p>
            <w:pPr>
              <w:widowControl/>
              <w:spacing w:line="280" w:lineRule="exact"/>
              <w:jc w:val="left"/>
              <w:rPr>
                <w:kern w:val="0"/>
                <w:szCs w:val="21"/>
              </w:rPr>
            </w:pPr>
          </w:p>
        </w:tc>
        <w:tc>
          <w:tcPr>
            <w:tcW w:w="1184" w:type="dxa"/>
            <w:noWrap w:val="0"/>
            <w:vAlign w:val="center"/>
          </w:tcPr>
          <w:p>
            <w:pPr>
              <w:widowControl/>
              <w:spacing w:line="280" w:lineRule="exact"/>
              <w:jc w:val="center"/>
              <w:textAlignment w:val="center"/>
              <w:rPr>
                <w:kern w:val="0"/>
                <w:szCs w:val="21"/>
              </w:rPr>
            </w:pPr>
            <w:r>
              <w:rPr>
                <w:kern w:val="0"/>
                <w:szCs w:val="21"/>
              </w:rPr>
              <w:t>设备设施安全管理</w:t>
            </w:r>
          </w:p>
        </w:tc>
        <w:tc>
          <w:tcPr>
            <w:tcW w:w="911" w:type="dxa"/>
            <w:noWrap w:val="0"/>
            <w:vAlign w:val="center"/>
          </w:tcPr>
          <w:p>
            <w:pPr>
              <w:widowControl/>
              <w:spacing w:line="280" w:lineRule="exact"/>
              <w:jc w:val="center"/>
              <w:textAlignment w:val="center"/>
              <w:rPr>
                <w:kern w:val="0"/>
                <w:szCs w:val="21"/>
              </w:rPr>
            </w:pPr>
            <w:r>
              <w:rPr>
                <w:kern w:val="0"/>
                <w:szCs w:val="21"/>
              </w:rPr>
              <w:t>2</w:t>
            </w:r>
          </w:p>
        </w:tc>
        <w:tc>
          <w:tcPr>
            <w:tcW w:w="9836" w:type="dxa"/>
            <w:noWrap w:val="0"/>
            <w:vAlign w:val="center"/>
          </w:tcPr>
          <w:p>
            <w:pPr>
              <w:widowControl/>
              <w:spacing w:line="280" w:lineRule="exact"/>
              <w:jc w:val="left"/>
              <w:textAlignment w:val="center"/>
              <w:rPr>
                <w:szCs w:val="21"/>
              </w:rPr>
            </w:pPr>
            <w:r>
              <w:rPr>
                <w:kern w:val="0"/>
                <w:szCs w:val="21"/>
              </w:rPr>
              <w:t>（1）具有完善的安全技术档案及设备台账，有完善的设备维护保养制度和操作规程，并切实落实，有完整记录，得1分；</w:t>
            </w:r>
            <w:r>
              <w:rPr>
                <w:kern w:val="0"/>
                <w:szCs w:val="21"/>
              </w:rPr>
              <w:br w:type="textWrapping"/>
            </w:r>
            <w:r>
              <w:rPr>
                <w:kern w:val="0"/>
                <w:szCs w:val="21"/>
              </w:rPr>
              <w:t>（2）压力容器、燃气压力管道等特种设备，以及相关安全附件仪器仪表（如安全阀、压力表等）等按规定建立了设备台账，具有完善的安全技术档案，特种设备落实了法定两检（安装监检和定期检验）并检验合格，安全附件仪器仪表定期校验并合格；按照相关安全技术规范要求落实了特种设备年度检查和日常隐患排查治理，得1分。</w:t>
            </w:r>
          </w:p>
        </w:tc>
        <w:tc>
          <w:tcPr>
            <w:tcW w:w="797" w:type="dxa"/>
            <w:noWrap w:val="0"/>
            <w:vAlign w:val="center"/>
          </w:tcPr>
          <w:p>
            <w:pPr>
              <w:spacing w:line="28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3" w:type="dxa"/>
            <w:noWrap w:val="0"/>
            <w:vAlign w:val="center"/>
          </w:tcPr>
          <w:p>
            <w:pPr>
              <w:widowControl/>
              <w:spacing w:line="280" w:lineRule="exact"/>
              <w:jc w:val="center"/>
              <w:textAlignment w:val="center"/>
              <w:rPr>
                <w:rFonts w:hint="eastAsia"/>
                <w:kern w:val="0"/>
                <w:szCs w:val="21"/>
              </w:rPr>
            </w:pPr>
            <w:r>
              <w:rPr>
                <w:rFonts w:hint="eastAsia"/>
                <w:kern w:val="0"/>
                <w:szCs w:val="21"/>
              </w:rPr>
              <w:t>16</w:t>
            </w:r>
          </w:p>
        </w:tc>
        <w:tc>
          <w:tcPr>
            <w:tcW w:w="1750" w:type="dxa"/>
            <w:vMerge w:val="continue"/>
            <w:noWrap w:val="0"/>
            <w:vAlign w:val="center"/>
          </w:tcPr>
          <w:p>
            <w:pPr>
              <w:widowControl/>
              <w:spacing w:line="280" w:lineRule="exact"/>
              <w:jc w:val="left"/>
              <w:rPr>
                <w:kern w:val="0"/>
                <w:szCs w:val="21"/>
              </w:rPr>
            </w:pPr>
          </w:p>
        </w:tc>
        <w:tc>
          <w:tcPr>
            <w:tcW w:w="1184" w:type="dxa"/>
            <w:noWrap w:val="0"/>
            <w:vAlign w:val="center"/>
          </w:tcPr>
          <w:p>
            <w:pPr>
              <w:widowControl/>
              <w:spacing w:line="280" w:lineRule="exact"/>
              <w:jc w:val="center"/>
              <w:textAlignment w:val="center"/>
              <w:rPr>
                <w:kern w:val="0"/>
                <w:szCs w:val="21"/>
              </w:rPr>
            </w:pPr>
            <w:r>
              <w:rPr>
                <w:kern w:val="0"/>
                <w:szCs w:val="21"/>
              </w:rPr>
              <w:t>燃气设施</w:t>
            </w:r>
          </w:p>
          <w:p>
            <w:pPr>
              <w:widowControl/>
              <w:spacing w:line="280" w:lineRule="exact"/>
              <w:jc w:val="center"/>
              <w:textAlignment w:val="center"/>
              <w:rPr>
                <w:kern w:val="0"/>
                <w:szCs w:val="21"/>
              </w:rPr>
            </w:pPr>
            <w:r>
              <w:rPr>
                <w:kern w:val="0"/>
                <w:szCs w:val="21"/>
              </w:rPr>
              <w:t>保护</w:t>
            </w:r>
          </w:p>
        </w:tc>
        <w:tc>
          <w:tcPr>
            <w:tcW w:w="911" w:type="dxa"/>
            <w:noWrap w:val="0"/>
            <w:vAlign w:val="center"/>
          </w:tcPr>
          <w:p>
            <w:pPr>
              <w:widowControl/>
              <w:spacing w:line="280" w:lineRule="exact"/>
              <w:jc w:val="center"/>
              <w:textAlignment w:val="center"/>
              <w:rPr>
                <w:kern w:val="0"/>
                <w:szCs w:val="21"/>
              </w:rPr>
            </w:pPr>
            <w:r>
              <w:rPr>
                <w:kern w:val="0"/>
                <w:szCs w:val="21"/>
              </w:rPr>
              <w:t>4</w:t>
            </w:r>
          </w:p>
        </w:tc>
        <w:tc>
          <w:tcPr>
            <w:tcW w:w="9836" w:type="dxa"/>
            <w:noWrap w:val="0"/>
            <w:vAlign w:val="center"/>
          </w:tcPr>
          <w:p>
            <w:pPr>
              <w:widowControl/>
              <w:spacing w:line="280" w:lineRule="exact"/>
              <w:jc w:val="left"/>
              <w:textAlignment w:val="center"/>
              <w:rPr>
                <w:szCs w:val="21"/>
              </w:rPr>
            </w:pPr>
            <w:r>
              <w:rPr>
                <w:kern w:val="0"/>
                <w:szCs w:val="21"/>
              </w:rPr>
              <w:t>（1）制定第三方施工管控措施并按制度执行的，得1分；</w:t>
            </w:r>
            <w:r>
              <w:rPr>
                <w:kern w:val="0"/>
                <w:szCs w:val="21"/>
              </w:rPr>
              <w:br w:type="textWrapping"/>
            </w:r>
            <w:r>
              <w:rPr>
                <w:kern w:val="0"/>
                <w:szCs w:val="21"/>
              </w:rPr>
              <w:t>（2）按规范要求在燃气设施周边设置安全警示标志，在安全保护范围周边设置安全保护标志，得1分；缺一项扣0.5分，扣完为止；</w:t>
            </w:r>
            <w:r>
              <w:rPr>
                <w:kern w:val="0"/>
                <w:szCs w:val="21"/>
              </w:rPr>
              <w:br w:type="textWrapping"/>
            </w:r>
            <w:r>
              <w:rPr>
                <w:kern w:val="0"/>
                <w:szCs w:val="21"/>
              </w:rPr>
              <w:t>（3）按相关要求对燃气设施进行巡查，并建立巡检台账的，得1分。定期对燃气设施进行检测、维修和维护，确保燃气设施的安全运行的，得1分。</w:t>
            </w:r>
          </w:p>
        </w:tc>
        <w:tc>
          <w:tcPr>
            <w:tcW w:w="797" w:type="dxa"/>
            <w:noWrap w:val="0"/>
            <w:vAlign w:val="center"/>
          </w:tcPr>
          <w:p>
            <w:pPr>
              <w:spacing w:line="28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jc w:val="center"/>
        </w:trPr>
        <w:tc>
          <w:tcPr>
            <w:tcW w:w="753" w:type="dxa"/>
            <w:noWrap w:val="0"/>
            <w:vAlign w:val="center"/>
          </w:tcPr>
          <w:p>
            <w:pPr>
              <w:widowControl/>
              <w:spacing w:line="280" w:lineRule="exact"/>
              <w:jc w:val="center"/>
              <w:textAlignment w:val="center"/>
              <w:rPr>
                <w:rFonts w:hint="eastAsia"/>
                <w:kern w:val="0"/>
                <w:szCs w:val="21"/>
              </w:rPr>
            </w:pPr>
            <w:r>
              <w:rPr>
                <w:rFonts w:hint="eastAsia"/>
                <w:kern w:val="0"/>
                <w:szCs w:val="21"/>
              </w:rPr>
              <w:t>17</w:t>
            </w:r>
          </w:p>
        </w:tc>
        <w:tc>
          <w:tcPr>
            <w:tcW w:w="1750" w:type="dxa"/>
            <w:vMerge w:val="continue"/>
            <w:noWrap w:val="0"/>
            <w:vAlign w:val="center"/>
          </w:tcPr>
          <w:p>
            <w:pPr>
              <w:widowControl/>
              <w:spacing w:line="280" w:lineRule="exact"/>
              <w:jc w:val="left"/>
              <w:rPr>
                <w:kern w:val="0"/>
                <w:szCs w:val="21"/>
              </w:rPr>
            </w:pPr>
          </w:p>
        </w:tc>
        <w:tc>
          <w:tcPr>
            <w:tcW w:w="1184" w:type="dxa"/>
            <w:noWrap w:val="0"/>
            <w:vAlign w:val="center"/>
          </w:tcPr>
          <w:p>
            <w:pPr>
              <w:widowControl/>
              <w:spacing w:line="280" w:lineRule="exact"/>
              <w:jc w:val="center"/>
              <w:textAlignment w:val="center"/>
              <w:rPr>
                <w:kern w:val="0"/>
                <w:szCs w:val="21"/>
              </w:rPr>
            </w:pPr>
            <w:r>
              <w:rPr>
                <w:kern w:val="0"/>
                <w:szCs w:val="21"/>
              </w:rPr>
              <w:t>网络信息安全保护</w:t>
            </w:r>
          </w:p>
        </w:tc>
        <w:tc>
          <w:tcPr>
            <w:tcW w:w="911" w:type="dxa"/>
            <w:noWrap w:val="0"/>
            <w:vAlign w:val="center"/>
          </w:tcPr>
          <w:p>
            <w:pPr>
              <w:widowControl/>
              <w:spacing w:line="280" w:lineRule="exact"/>
              <w:jc w:val="center"/>
              <w:textAlignment w:val="center"/>
              <w:rPr>
                <w:kern w:val="0"/>
                <w:szCs w:val="21"/>
              </w:rPr>
            </w:pPr>
            <w:r>
              <w:rPr>
                <w:kern w:val="0"/>
                <w:szCs w:val="21"/>
              </w:rPr>
              <w:t>2</w:t>
            </w:r>
          </w:p>
        </w:tc>
        <w:tc>
          <w:tcPr>
            <w:tcW w:w="9836" w:type="dxa"/>
            <w:noWrap w:val="0"/>
            <w:vAlign w:val="center"/>
          </w:tcPr>
          <w:p>
            <w:pPr>
              <w:widowControl/>
              <w:spacing w:line="280" w:lineRule="exact"/>
              <w:jc w:val="left"/>
              <w:textAlignment w:val="center"/>
              <w:rPr>
                <w:kern w:val="0"/>
                <w:szCs w:val="21"/>
              </w:rPr>
            </w:pPr>
            <w:r>
              <w:rPr>
                <w:kern w:val="0"/>
                <w:szCs w:val="21"/>
              </w:rPr>
              <w:t>按照《信息系统安全等级保护实施指南》和《信息安全等级保护管理办法》等有关要求，开展信息系统安全保护等级测评和备案的，得2分。</w:t>
            </w:r>
          </w:p>
        </w:tc>
        <w:tc>
          <w:tcPr>
            <w:tcW w:w="797" w:type="dxa"/>
            <w:noWrap w:val="0"/>
            <w:vAlign w:val="center"/>
          </w:tcPr>
          <w:p>
            <w:pPr>
              <w:spacing w:line="28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8" w:hRule="atLeast"/>
          <w:jc w:val="center"/>
        </w:trPr>
        <w:tc>
          <w:tcPr>
            <w:tcW w:w="753" w:type="dxa"/>
            <w:noWrap w:val="0"/>
            <w:vAlign w:val="center"/>
          </w:tcPr>
          <w:p>
            <w:pPr>
              <w:widowControl/>
              <w:spacing w:line="280" w:lineRule="exact"/>
              <w:jc w:val="center"/>
              <w:textAlignment w:val="center"/>
              <w:rPr>
                <w:rFonts w:hint="eastAsia"/>
                <w:kern w:val="0"/>
                <w:szCs w:val="21"/>
              </w:rPr>
            </w:pPr>
            <w:r>
              <w:rPr>
                <w:rFonts w:hint="eastAsia"/>
                <w:kern w:val="0"/>
                <w:szCs w:val="21"/>
              </w:rPr>
              <w:t>18</w:t>
            </w:r>
          </w:p>
        </w:tc>
        <w:tc>
          <w:tcPr>
            <w:tcW w:w="1750" w:type="dxa"/>
            <w:noWrap w:val="0"/>
            <w:vAlign w:val="center"/>
          </w:tcPr>
          <w:p>
            <w:pPr>
              <w:widowControl/>
              <w:spacing w:line="360" w:lineRule="exact"/>
              <w:jc w:val="center"/>
              <w:rPr>
                <w:rFonts w:hint="eastAsia" w:hAnsi="宋体"/>
                <w:kern w:val="0"/>
                <w:szCs w:val="21"/>
              </w:rPr>
            </w:pPr>
            <w:r>
              <w:rPr>
                <w:rFonts w:hAnsi="宋体"/>
                <w:kern w:val="0"/>
                <w:szCs w:val="21"/>
              </w:rPr>
              <w:t>三、安全投入、生产管理及应急能力</w:t>
            </w:r>
          </w:p>
          <w:p>
            <w:pPr>
              <w:widowControl/>
              <w:spacing w:line="360" w:lineRule="exact"/>
              <w:jc w:val="center"/>
              <w:rPr>
                <w:kern w:val="0"/>
                <w:szCs w:val="21"/>
              </w:rPr>
            </w:pPr>
            <w:r>
              <w:rPr>
                <w:rFonts w:hAnsi="宋体"/>
                <w:kern w:val="0"/>
                <w:szCs w:val="21"/>
              </w:rPr>
              <w:t>（</w:t>
            </w:r>
            <w:r>
              <w:rPr>
                <w:kern w:val="0"/>
                <w:szCs w:val="21"/>
              </w:rPr>
              <w:t>49</w:t>
            </w:r>
            <w:r>
              <w:rPr>
                <w:rFonts w:hAnsi="宋体"/>
                <w:kern w:val="0"/>
                <w:szCs w:val="21"/>
              </w:rPr>
              <w:t>分）</w:t>
            </w:r>
          </w:p>
        </w:tc>
        <w:tc>
          <w:tcPr>
            <w:tcW w:w="1184" w:type="dxa"/>
            <w:noWrap w:val="0"/>
            <w:vAlign w:val="center"/>
          </w:tcPr>
          <w:p>
            <w:pPr>
              <w:widowControl/>
              <w:spacing w:line="360" w:lineRule="exact"/>
              <w:jc w:val="center"/>
              <w:textAlignment w:val="center"/>
              <w:rPr>
                <w:kern w:val="0"/>
                <w:szCs w:val="21"/>
              </w:rPr>
            </w:pPr>
            <w:r>
              <w:rPr>
                <w:kern w:val="0"/>
                <w:szCs w:val="21"/>
              </w:rPr>
              <w:t>智慧燃气</w:t>
            </w:r>
          </w:p>
        </w:tc>
        <w:tc>
          <w:tcPr>
            <w:tcW w:w="911" w:type="dxa"/>
            <w:noWrap w:val="0"/>
            <w:vAlign w:val="center"/>
          </w:tcPr>
          <w:p>
            <w:pPr>
              <w:widowControl/>
              <w:spacing w:line="360" w:lineRule="exact"/>
              <w:jc w:val="center"/>
              <w:textAlignment w:val="center"/>
              <w:rPr>
                <w:kern w:val="0"/>
                <w:szCs w:val="21"/>
              </w:rPr>
            </w:pPr>
            <w:r>
              <w:rPr>
                <w:kern w:val="0"/>
                <w:szCs w:val="21"/>
              </w:rPr>
              <w:t>10</w:t>
            </w:r>
          </w:p>
        </w:tc>
        <w:tc>
          <w:tcPr>
            <w:tcW w:w="9836" w:type="dxa"/>
            <w:noWrap w:val="0"/>
            <w:vAlign w:val="center"/>
          </w:tcPr>
          <w:p>
            <w:pPr>
              <w:widowControl/>
              <w:spacing w:line="360" w:lineRule="exact"/>
              <w:jc w:val="left"/>
              <w:textAlignment w:val="center"/>
              <w:rPr>
                <w:kern w:val="0"/>
                <w:szCs w:val="21"/>
              </w:rPr>
            </w:pPr>
            <w:r>
              <w:rPr>
                <w:kern w:val="0"/>
                <w:szCs w:val="21"/>
              </w:rPr>
              <w:t>（1）企业级SCADA系统（3分）</w:t>
            </w:r>
            <w:r>
              <w:rPr>
                <w:kern w:val="0"/>
                <w:szCs w:val="21"/>
              </w:rPr>
              <w:br w:type="textWrapping"/>
            </w:r>
            <w:r>
              <w:rPr>
                <w:kern w:val="0"/>
                <w:szCs w:val="21"/>
              </w:rPr>
              <w:t>1）建立企业级SCADA系统并正常使用的，得1分；</w:t>
            </w:r>
            <w:r>
              <w:rPr>
                <w:kern w:val="0"/>
                <w:szCs w:val="21"/>
              </w:rPr>
              <w:br w:type="textWrapping"/>
            </w:r>
            <w:r>
              <w:rPr>
                <w:kern w:val="0"/>
                <w:szCs w:val="21"/>
              </w:rPr>
              <w:t>2）所有场站均接入SCADA系统的，得1分；否则不得分；</w:t>
            </w:r>
            <w:r>
              <w:rPr>
                <w:kern w:val="0"/>
                <w:szCs w:val="21"/>
              </w:rPr>
              <w:br w:type="textWrapping"/>
            </w:r>
            <w:r>
              <w:rPr>
                <w:kern w:val="0"/>
                <w:szCs w:val="21"/>
              </w:rPr>
              <w:t>3）80%（含）以上用户端信息（流量表数据、报警器和自动切断阀信号等）接入SCADA系统的，得1分；50%（含）-80%以上用户端信息接入SCADA系统的，得0.5分；20%（含）-50%以上用户端信息接入SCADA系统的，得0.2分；20%以下用户端信息接入SCADA系统的，不得分。</w:t>
            </w:r>
          </w:p>
          <w:p>
            <w:pPr>
              <w:widowControl/>
              <w:spacing w:line="360" w:lineRule="exact"/>
              <w:jc w:val="left"/>
              <w:textAlignment w:val="center"/>
              <w:rPr>
                <w:kern w:val="0"/>
                <w:szCs w:val="21"/>
              </w:rPr>
            </w:pPr>
            <w:r>
              <w:rPr>
                <w:kern w:val="0"/>
                <w:szCs w:val="21"/>
              </w:rPr>
              <w:t>注：只有监视没有控制功能的，扣1分。</w:t>
            </w:r>
            <w:r>
              <w:rPr>
                <w:kern w:val="0"/>
                <w:szCs w:val="21"/>
              </w:rPr>
              <w:br w:type="textWrapping"/>
            </w:r>
            <w:r>
              <w:rPr>
                <w:kern w:val="0"/>
                <w:szCs w:val="21"/>
              </w:rPr>
              <w:t>（2）GIS系统（3分）</w:t>
            </w:r>
            <w:r>
              <w:rPr>
                <w:kern w:val="0"/>
                <w:szCs w:val="21"/>
              </w:rPr>
              <w:br w:type="textWrapping"/>
            </w:r>
            <w:r>
              <w:rPr>
                <w:kern w:val="0"/>
                <w:szCs w:val="21"/>
              </w:rPr>
              <w:t>1）具有GIS系统，得1分；</w:t>
            </w:r>
            <w:r>
              <w:rPr>
                <w:kern w:val="0"/>
                <w:szCs w:val="21"/>
              </w:rPr>
              <w:br w:type="textWrapping"/>
            </w:r>
            <w:r>
              <w:rPr>
                <w:kern w:val="0"/>
                <w:szCs w:val="21"/>
              </w:rPr>
              <w:t>2）80%（含）以上燃气管道接入GIS系统的，得2分；50%（含）-80%以上燃气管道接入GIS系统的，得1分；20%（含）-50%燃气管道接入GIS系统，得0.5分；20%以下燃气管道接入GIS系统的，不得分。</w:t>
            </w:r>
            <w:r>
              <w:rPr>
                <w:kern w:val="0"/>
                <w:szCs w:val="21"/>
              </w:rPr>
              <w:br w:type="textWrapping"/>
            </w:r>
            <w:r>
              <w:rPr>
                <w:kern w:val="0"/>
                <w:szCs w:val="21"/>
              </w:rPr>
              <w:t>（3）自动化程度符合《城镇燃气自动化系统技术规范（CJJT 259-2016）》的，得1分，不符合1项扣0.5分，扣完为止。</w:t>
            </w:r>
            <w:r>
              <w:rPr>
                <w:kern w:val="0"/>
                <w:szCs w:val="21"/>
              </w:rPr>
              <w:br w:type="textWrapping"/>
            </w:r>
            <w:r>
              <w:rPr>
                <w:kern w:val="0"/>
                <w:szCs w:val="21"/>
              </w:rPr>
              <w:t>（4）具有客户管理系统的，得1分；</w:t>
            </w:r>
            <w:r>
              <w:rPr>
                <w:kern w:val="0"/>
                <w:szCs w:val="21"/>
              </w:rPr>
              <w:br w:type="textWrapping"/>
            </w:r>
            <w:r>
              <w:rPr>
                <w:kern w:val="0"/>
                <w:szCs w:val="21"/>
              </w:rPr>
              <w:t>（5）2020年以后新装用户智能化表具安装率（1分）</w:t>
            </w:r>
            <w:r>
              <w:rPr>
                <w:kern w:val="0"/>
                <w:szCs w:val="21"/>
              </w:rPr>
              <w:br w:type="textWrapping"/>
            </w:r>
            <w:r>
              <w:rPr>
                <w:kern w:val="0"/>
                <w:szCs w:val="21"/>
              </w:rPr>
              <w:t>1）智能化表具占所有表具比例20%以下，不得分；</w:t>
            </w:r>
            <w:r>
              <w:rPr>
                <w:kern w:val="0"/>
                <w:szCs w:val="21"/>
              </w:rPr>
              <w:br w:type="textWrapping"/>
            </w:r>
            <w:r>
              <w:rPr>
                <w:kern w:val="0"/>
                <w:szCs w:val="21"/>
              </w:rPr>
              <w:t>2）智能化表具占所有表具比例20%（含）-60%，得0.5分；</w:t>
            </w:r>
            <w:r>
              <w:rPr>
                <w:kern w:val="0"/>
                <w:szCs w:val="21"/>
              </w:rPr>
              <w:br w:type="textWrapping"/>
            </w:r>
            <w:r>
              <w:rPr>
                <w:kern w:val="0"/>
                <w:szCs w:val="21"/>
              </w:rPr>
              <w:t xml:space="preserve">3）智能化表具占所有表具比例60%（含）以上，得1分。 </w:t>
            </w:r>
          </w:p>
          <w:p>
            <w:pPr>
              <w:widowControl/>
              <w:spacing w:line="360" w:lineRule="exact"/>
              <w:jc w:val="left"/>
              <w:textAlignment w:val="center"/>
              <w:rPr>
                <w:kern w:val="0"/>
                <w:szCs w:val="21"/>
              </w:rPr>
            </w:pPr>
            <w:r>
              <w:rPr>
                <w:kern w:val="0"/>
                <w:szCs w:val="21"/>
              </w:rPr>
              <w:t>（6）特种设备检验信息数据库（1分）</w:t>
            </w:r>
          </w:p>
          <w:p>
            <w:pPr>
              <w:widowControl/>
              <w:spacing w:line="360" w:lineRule="exact"/>
              <w:jc w:val="left"/>
              <w:textAlignment w:val="center"/>
              <w:rPr>
                <w:kern w:val="0"/>
                <w:szCs w:val="21"/>
              </w:rPr>
            </w:pPr>
            <w:r>
              <w:rPr>
                <w:kern w:val="0"/>
                <w:szCs w:val="21"/>
              </w:rPr>
              <w:t>1）建立了燃气压力管道等特种设备检验信息数据库，对特种设备检验信息实施信息化管理的，得0.5分；</w:t>
            </w:r>
          </w:p>
          <w:p>
            <w:pPr>
              <w:widowControl/>
              <w:spacing w:line="360" w:lineRule="exact"/>
              <w:jc w:val="left"/>
              <w:textAlignment w:val="center"/>
              <w:rPr>
                <w:kern w:val="0"/>
                <w:szCs w:val="21"/>
              </w:rPr>
            </w:pPr>
            <w:r>
              <w:rPr>
                <w:kern w:val="0"/>
                <w:szCs w:val="21"/>
              </w:rPr>
              <w:t>2）燃气压力管道检验信息能够自动上传至全国压力管道检验信息系统的，得0.5分。</w:t>
            </w:r>
          </w:p>
        </w:tc>
        <w:tc>
          <w:tcPr>
            <w:tcW w:w="797" w:type="dxa"/>
            <w:noWrap w:val="0"/>
            <w:vAlign w:val="center"/>
          </w:tcPr>
          <w:p>
            <w:pPr>
              <w:spacing w:line="28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3" w:type="dxa"/>
            <w:noWrap w:val="0"/>
            <w:vAlign w:val="center"/>
          </w:tcPr>
          <w:p>
            <w:pPr>
              <w:widowControl/>
              <w:spacing w:line="400" w:lineRule="exact"/>
              <w:jc w:val="center"/>
              <w:textAlignment w:val="center"/>
              <w:rPr>
                <w:rFonts w:hint="eastAsia"/>
                <w:kern w:val="0"/>
                <w:szCs w:val="21"/>
              </w:rPr>
            </w:pPr>
            <w:r>
              <w:rPr>
                <w:rFonts w:hint="eastAsia"/>
                <w:kern w:val="0"/>
                <w:szCs w:val="21"/>
              </w:rPr>
              <w:t>19</w:t>
            </w:r>
          </w:p>
        </w:tc>
        <w:tc>
          <w:tcPr>
            <w:tcW w:w="1750" w:type="dxa"/>
            <w:vMerge w:val="restart"/>
            <w:noWrap w:val="0"/>
            <w:vAlign w:val="center"/>
          </w:tcPr>
          <w:p>
            <w:pPr>
              <w:widowControl/>
              <w:spacing w:line="400" w:lineRule="exact"/>
              <w:jc w:val="center"/>
              <w:textAlignment w:val="center"/>
              <w:rPr>
                <w:kern w:val="0"/>
                <w:szCs w:val="21"/>
              </w:rPr>
            </w:pPr>
            <w:r>
              <w:rPr>
                <w:kern w:val="0"/>
                <w:szCs w:val="21"/>
              </w:rPr>
              <w:t>四、服务质量及用户投诉受理（22分）</w:t>
            </w:r>
          </w:p>
        </w:tc>
        <w:tc>
          <w:tcPr>
            <w:tcW w:w="1184" w:type="dxa"/>
            <w:noWrap w:val="0"/>
            <w:vAlign w:val="center"/>
          </w:tcPr>
          <w:p>
            <w:pPr>
              <w:widowControl/>
              <w:spacing w:line="400" w:lineRule="exact"/>
              <w:jc w:val="center"/>
              <w:textAlignment w:val="center"/>
              <w:rPr>
                <w:kern w:val="0"/>
                <w:szCs w:val="21"/>
              </w:rPr>
            </w:pPr>
            <w:r>
              <w:rPr>
                <w:kern w:val="0"/>
                <w:szCs w:val="21"/>
              </w:rPr>
              <w:t>信息公开</w:t>
            </w:r>
          </w:p>
        </w:tc>
        <w:tc>
          <w:tcPr>
            <w:tcW w:w="911" w:type="dxa"/>
            <w:noWrap w:val="0"/>
            <w:vAlign w:val="center"/>
          </w:tcPr>
          <w:p>
            <w:pPr>
              <w:widowControl/>
              <w:spacing w:line="400" w:lineRule="exact"/>
              <w:jc w:val="center"/>
              <w:textAlignment w:val="center"/>
              <w:rPr>
                <w:kern w:val="0"/>
                <w:szCs w:val="21"/>
              </w:rPr>
            </w:pPr>
            <w:r>
              <w:rPr>
                <w:kern w:val="0"/>
                <w:szCs w:val="21"/>
              </w:rPr>
              <w:t>1</w:t>
            </w:r>
          </w:p>
        </w:tc>
        <w:tc>
          <w:tcPr>
            <w:tcW w:w="9836" w:type="dxa"/>
            <w:noWrap w:val="0"/>
            <w:vAlign w:val="center"/>
          </w:tcPr>
          <w:p>
            <w:pPr>
              <w:widowControl/>
              <w:spacing w:line="400" w:lineRule="exact"/>
              <w:jc w:val="left"/>
              <w:textAlignment w:val="center"/>
              <w:rPr>
                <w:szCs w:val="21"/>
              </w:rPr>
            </w:pPr>
            <w:r>
              <w:rPr>
                <w:kern w:val="0"/>
                <w:szCs w:val="21"/>
              </w:rPr>
              <w:t>（1）建立企业网站或微信公众号的，得0.5分；</w:t>
            </w:r>
            <w:r>
              <w:rPr>
                <w:kern w:val="0"/>
                <w:szCs w:val="21"/>
              </w:rPr>
              <w:br w:type="textWrapping"/>
            </w:r>
            <w:r>
              <w:rPr>
                <w:kern w:val="0"/>
                <w:szCs w:val="21"/>
              </w:rPr>
              <w:t>（2）向社会公开业务办理流程、服务标准、资费标准、气质等信息，得0.5分。</w:t>
            </w:r>
          </w:p>
        </w:tc>
        <w:tc>
          <w:tcPr>
            <w:tcW w:w="797" w:type="dxa"/>
            <w:noWrap w:val="0"/>
            <w:vAlign w:val="center"/>
          </w:tcPr>
          <w:p>
            <w:pPr>
              <w:spacing w:line="28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3" w:type="dxa"/>
            <w:noWrap w:val="0"/>
            <w:vAlign w:val="center"/>
          </w:tcPr>
          <w:p>
            <w:pPr>
              <w:widowControl/>
              <w:spacing w:line="400" w:lineRule="exact"/>
              <w:jc w:val="center"/>
              <w:textAlignment w:val="center"/>
              <w:rPr>
                <w:rFonts w:hint="eastAsia"/>
                <w:kern w:val="0"/>
                <w:szCs w:val="21"/>
              </w:rPr>
            </w:pPr>
            <w:r>
              <w:rPr>
                <w:rFonts w:hint="eastAsia"/>
                <w:kern w:val="0"/>
                <w:szCs w:val="21"/>
              </w:rPr>
              <w:t>20</w:t>
            </w:r>
          </w:p>
        </w:tc>
        <w:tc>
          <w:tcPr>
            <w:tcW w:w="1750" w:type="dxa"/>
            <w:vMerge w:val="continue"/>
            <w:noWrap w:val="0"/>
            <w:vAlign w:val="center"/>
          </w:tcPr>
          <w:p>
            <w:pPr>
              <w:widowControl/>
              <w:spacing w:line="400" w:lineRule="exact"/>
              <w:jc w:val="center"/>
              <w:textAlignment w:val="center"/>
              <w:rPr>
                <w:kern w:val="0"/>
                <w:szCs w:val="21"/>
              </w:rPr>
            </w:pPr>
          </w:p>
        </w:tc>
        <w:tc>
          <w:tcPr>
            <w:tcW w:w="1184" w:type="dxa"/>
            <w:noWrap w:val="0"/>
            <w:vAlign w:val="center"/>
          </w:tcPr>
          <w:p>
            <w:pPr>
              <w:widowControl/>
              <w:spacing w:line="400" w:lineRule="exact"/>
              <w:jc w:val="center"/>
              <w:textAlignment w:val="center"/>
              <w:rPr>
                <w:kern w:val="0"/>
                <w:szCs w:val="21"/>
              </w:rPr>
            </w:pPr>
            <w:r>
              <w:rPr>
                <w:kern w:val="0"/>
                <w:szCs w:val="21"/>
              </w:rPr>
              <w:t>服务质量</w:t>
            </w:r>
          </w:p>
        </w:tc>
        <w:tc>
          <w:tcPr>
            <w:tcW w:w="911" w:type="dxa"/>
            <w:noWrap w:val="0"/>
            <w:vAlign w:val="center"/>
          </w:tcPr>
          <w:p>
            <w:pPr>
              <w:widowControl/>
              <w:spacing w:line="400" w:lineRule="exact"/>
              <w:jc w:val="center"/>
              <w:textAlignment w:val="center"/>
              <w:rPr>
                <w:kern w:val="0"/>
                <w:szCs w:val="21"/>
              </w:rPr>
            </w:pPr>
            <w:r>
              <w:rPr>
                <w:kern w:val="0"/>
                <w:szCs w:val="21"/>
              </w:rPr>
              <w:t>3</w:t>
            </w:r>
          </w:p>
        </w:tc>
        <w:tc>
          <w:tcPr>
            <w:tcW w:w="9836" w:type="dxa"/>
            <w:noWrap w:val="0"/>
            <w:vAlign w:val="center"/>
          </w:tcPr>
          <w:p>
            <w:pPr>
              <w:widowControl/>
              <w:spacing w:line="400" w:lineRule="exact"/>
              <w:jc w:val="left"/>
              <w:textAlignment w:val="center"/>
              <w:rPr>
                <w:szCs w:val="21"/>
              </w:rPr>
            </w:pPr>
            <w:r>
              <w:rPr>
                <w:kern w:val="0"/>
                <w:szCs w:val="21"/>
              </w:rPr>
              <w:t>（1）在政务服务网、“豫事办”等政务APP及企业网站、企业APP、微信公众号开设供气服务模块，模块至少包含开户、报装预约、“好差评”、点火预约、改造预约、故障报修、服务网点信息、服务热线、抢修热线、开具发票等功能或信息，且能够正常运行，得2分，每少实现一项功能扣0.2分，扣完为止；</w:t>
            </w:r>
            <w:r>
              <w:rPr>
                <w:kern w:val="0"/>
                <w:szCs w:val="21"/>
              </w:rPr>
              <w:br w:type="textWrapping"/>
            </w:r>
            <w:r>
              <w:rPr>
                <w:kern w:val="0"/>
                <w:szCs w:val="21"/>
              </w:rPr>
              <w:t>（2）报装环节、报装材料和报装时间均符合《河南省营商环境优化提升行动方案（2022版）》和《河南省住房和城乡建设厅 河南省发展和改革委员会 河南省公安厅 河南省自然资源厅 河南省交通运输厅关于优化水气热接入营商环境的通知》要求的，得1分；每存在一项不符合要求的，扣0.5分，扣完为止。</w:t>
            </w:r>
          </w:p>
        </w:tc>
        <w:tc>
          <w:tcPr>
            <w:tcW w:w="797" w:type="dxa"/>
            <w:noWrap w:val="0"/>
            <w:vAlign w:val="center"/>
          </w:tcPr>
          <w:p>
            <w:pPr>
              <w:spacing w:line="28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3" w:type="dxa"/>
            <w:noWrap w:val="0"/>
            <w:vAlign w:val="center"/>
          </w:tcPr>
          <w:p>
            <w:pPr>
              <w:widowControl/>
              <w:spacing w:line="400" w:lineRule="exact"/>
              <w:jc w:val="center"/>
              <w:textAlignment w:val="center"/>
              <w:rPr>
                <w:rFonts w:hint="eastAsia"/>
                <w:kern w:val="0"/>
                <w:szCs w:val="21"/>
              </w:rPr>
            </w:pPr>
            <w:r>
              <w:rPr>
                <w:rFonts w:hint="eastAsia"/>
                <w:kern w:val="0"/>
                <w:szCs w:val="21"/>
              </w:rPr>
              <w:t>21</w:t>
            </w:r>
          </w:p>
        </w:tc>
        <w:tc>
          <w:tcPr>
            <w:tcW w:w="1750" w:type="dxa"/>
            <w:vMerge w:val="continue"/>
            <w:noWrap w:val="0"/>
            <w:vAlign w:val="center"/>
          </w:tcPr>
          <w:p>
            <w:pPr>
              <w:widowControl/>
              <w:spacing w:line="400" w:lineRule="exact"/>
              <w:jc w:val="center"/>
              <w:textAlignment w:val="center"/>
              <w:rPr>
                <w:kern w:val="0"/>
                <w:szCs w:val="21"/>
              </w:rPr>
            </w:pPr>
          </w:p>
        </w:tc>
        <w:tc>
          <w:tcPr>
            <w:tcW w:w="1184" w:type="dxa"/>
            <w:noWrap w:val="0"/>
            <w:vAlign w:val="center"/>
          </w:tcPr>
          <w:p>
            <w:pPr>
              <w:widowControl/>
              <w:spacing w:line="400" w:lineRule="exact"/>
              <w:jc w:val="center"/>
              <w:textAlignment w:val="center"/>
              <w:rPr>
                <w:kern w:val="0"/>
                <w:szCs w:val="21"/>
              </w:rPr>
            </w:pPr>
            <w:r>
              <w:rPr>
                <w:kern w:val="0"/>
                <w:szCs w:val="21"/>
              </w:rPr>
              <w:t>用户投诉</w:t>
            </w:r>
          </w:p>
        </w:tc>
        <w:tc>
          <w:tcPr>
            <w:tcW w:w="911" w:type="dxa"/>
            <w:noWrap w:val="0"/>
            <w:vAlign w:val="center"/>
          </w:tcPr>
          <w:p>
            <w:pPr>
              <w:widowControl/>
              <w:spacing w:line="400" w:lineRule="exact"/>
              <w:jc w:val="center"/>
              <w:textAlignment w:val="center"/>
              <w:rPr>
                <w:kern w:val="0"/>
                <w:szCs w:val="21"/>
              </w:rPr>
            </w:pPr>
            <w:r>
              <w:rPr>
                <w:kern w:val="0"/>
                <w:szCs w:val="21"/>
              </w:rPr>
              <w:t>3</w:t>
            </w:r>
          </w:p>
        </w:tc>
        <w:tc>
          <w:tcPr>
            <w:tcW w:w="9836" w:type="dxa"/>
            <w:noWrap w:val="0"/>
            <w:vAlign w:val="center"/>
          </w:tcPr>
          <w:p>
            <w:pPr>
              <w:widowControl/>
              <w:spacing w:line="400" w:lineRule="exact"/>
              <w:jc w:val="left"/>
              <w:textAlignment w:val="center"/>
              <w:rPr>
                <w:szCs w:val="21"/>
              </w:rPr>
            </w:pPr>
            <w:r>
              <w:rPr>
                <w:kern w:val="0"/>
                <w:szCs w:val="21"/>
              </w:rPr>
              <w:t>（1）具有网上或电话投诉渠道，且5个工作日内反馈投诉处理结果的，得1分；</w:t>
            </w:r>
            <w:r>
              <w:rPr>
                <w:kern w:val="0"/>
                <w:szCs w:val="21"/>
              </w:rPr>
              <w:br w:type="textWrapping"/>
            </w:r>
            <w:r>
              <w:rPr>
                <w:kern w:val="0"/>
                <w:szCs w:val="21"/>
              </w:rPr>
              <w:t>（2）投诉处理</w:t>
            </w:r>
            <w:r>
              <w:rPr>
                <w:kern w:val="0"/>
                <w:szCs w:val="21"/>
              </w:rPr>
              <w:br w:type="textWrapping"/>
            </w:r>
            <w:r>
              <w:rPr>
                <w:kern w:val="0"/>
                <w:szCs w:val="21"/>
              </w:rPr>
              <w:t>1）有效投诉处理结果满意度为95%（含）以上</w:t>
            </w:r>
            <w:r>
              <w:rPr>
                <w:rFonts w:hint="eastAsia"/>
                <w:kern w:val="0"/>
                <w:szCs w:val="21"/>
              </w:rPr>
              <w:t>的</w:t>
            </w:r>
            <w:r>
              <w:rPr>
                <w:kern w:val="0"/>
                <w:szCs w:val="21"/>
              </w:rPr>
              <w:t>，得2分；</w:t>
            </w:r>
            <w:r>
              <w:rPr>
                <w:kern w:val="0"/>
                <w:szCs w:val="21"/>
              </w:rPr>
              <w:br w:type="textWrapping"/>
            </w:r>
            <w:r>
              <w:rPr>
                <w:kern w:val="0"/>
                <w:szCs w:val="21"/>
              </w:rPr>
              <w:t>2）有效投诉处理结果满意度为60%（含）</w:t>
            </w:r>
            <w:r>
              <w:rPr>
                <w:spacing w:val="-6"/>
                <w:szCs w:val="21"/>
              </w:rPr>
              <w:t>-</w:t>
            </w:r>
            <w:r>
              <w:rPr>
                <w:kern w:val="0"/>
                <w:szCs w:val="21"/>
              </w:rPr>
              <w:t>95%</w:t>
            </w:r>
            <w:r>
              <w:rPr>
                <w:rFonts w:hint="eastAsia"/>
                <w:kern w:val="0"/>
                <w:szCs w:val="21"/>
              </w:rPr>
              <w:t>的</w:t>
            </w:r>
            <w:r>
              <w:rPr>
                <w:kern w:val="0"/>
                <w:szCs w:val="21"/>
              </w:rPr>
              <w:t>，得1分；</w:t>
            </w:r>
            <w:r>
              <w:rPr>
                <w:kern w:val="0"/>
                <w:szCs w:val="21"/>
              </w:rPr>
              <w:br w:type="textWrapping"/>
            </w:r>
            <w:r>
              <w:rPr>
                <w:kern w:val="0"/>
                <w:szCs w:val="21"/>
              </w:rPr>
              <w:t>3）有效投诉处理结果满意度为60%以下</w:t>
            </w:r>
            <w:r>
              <w:rPr>
                <w:rFonts w:hint="eastAsia"/>
                <w:kern w:val="0"/>
                <w:szCs w:val="21"/>
              </w:rPr>
              <w:t>的</w:t>
            </w:r>
            <w:r>
              <w:rPr>
                <w:kern w:val="0"/>
                <w:szCs w:val="21"/>
              </w:rPr>
              <w:t>，不得分。</w:t>
            </w:r>
          </w:p>
        </w:tc>
        <w:tc>
          <w:tcPr>
            <w:tcW w:w="797" w:type="dxa"/>
            <w:noWrap w:val="0"/>
            <w:vAlign w:val="center"/>
          </w:tcPr>
          <w:p>
            <w:pPr>
              <w:spacing w:line="28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3" w:type="dxa"/>
            <w:noWrap w:val="0"/>
            <w:vAlign w:val="center"/>
          </w:tcPr>
          <w:p>
            <w:pPr>
              <w:widowControl/>
              <w:spacing w:line="400" w:lineRule="exact"/>
              <w:jc w:val="center"/>
              <w:textAlignment w:val="center"/>
              <w:rPr>
                <w:rFonts w:hint="eastAsia"/>
                <w:kern w:val="0"/>
                <w:szCs w:val="21"/>
              </w:rPr>
            </w:pPr>
            <w:r>
              <w:rPr>
                <w:rFonts w:hint="eastAsia"/>
                <w:kern w:val="0"/>
                <w:szCs w:val="21"/>
              </w:rPr>
              <w:t>22</w:t>
            </w:r>
          </w:p>
        </w:tc>
        <w:tc>
          <w:tcPr>
            <w:tcW w:w="1750" w:type="dxa"/>
            <w:vMerge w:val="continue"/>
            <w:noWrap w:val="0"/>
            <w:vAlign w:val="center"/>
          </w:tcPr>
          <w:p>
            <w:pPr>
              <w:widowControl/>
              <w:spacing w:line="400" w:lineRule="exact"/>
              <w:jc w:val="center"/>
              <w:textAlignment w:val="center"/>
              <w:rPr>
                <w:kern w:val="0"/>
                <w:szCs w:val="21"/>
              </w:rPr>
            </w:pPr>
          </w:p>
        </w:tc>
        <w:tc>
          <w:tcPr>
            <w:tcW w:w="1184" w:type="dxa"/>
            <w:noWrap w:val="0"/>
            <w:vAlign w:val="center"/>
          </w:tcPr>
          <w:p>
            <w:pPr>
              <w:widowControl/>
              <w:spacing w:line="400" w:lineRule="exact"/>
              <w:jc w:val="center"/>
              <w:textAlignment w:val="center"/>
              <w:rPr>
                <w:kern w:val="0"/>
                <w:szCs w:val="21"/>
              </w:rPr>
            </w:pPr>
            <w:r>
              <w:rPr>
                <w:kern w:val="0"/>
                <w:szCs w:val="21"/>
              </w:rPr>
              <w:t>财务状况</w:t>
            </w:r>
          </w:p>
        </w:tc>
        <w:tc>
          <w:tcPr>
            <w:tcW w:w="911" w:type="dxa"/>
            <w:noWrap w:val="0"/>
            <w:vAlign w:val="center"/>
          </w:tcPr>
          <w:p>
            <w:pPr>
              <w:widowControl/>
              <w:spacing w:line="400" w:lineRule="exact"/>
              <w:jc w:val="center"/>
              <w:textAlignment w:val="center"/>
              <w:rPr>
                <w:kern w:val="0"/>
                <w:szCs w:val="21"/>
              </w:rPr>
            </w:pPr>
            <w:r>
              <w:rPr>
                <w:kern w:val="0"/>
                <w:szCs w:val="21"/>
              </w:rPr>
              <w:t>3</w:t>
            </w:r>
          </w:p>
        </w:tc>
        <w:tc>
          <w:tcPr>
            <w:tcW w:w="9836" w:type="dxa"/>
            <w:noWrap w:val="0"/>
            <w:vAlign w:val="center"/>
          </w:tcPr>
          <w:p>
            <w:pPr>
              <w:widowControl/>
              <w:spacing w:line="400" w:lineRule="exact"/>
              <w:jc w:val="left"/>
              <w:textAlignment w:val="center"/>
              <w:rPr>
                <w:szCs w:val="21"/>
              </w:rPr>
            </w:pPr>
            <w:r>
              <w:rPr>
                <w:kern w:val="0"/>
                <w:szCs w:val="21"/>
              </w:rPr>
              <w:t>（1）总资产收益率超过银行长期贷款利率，得1分；</w:t>
            </w:r>
            <w:r>
              <w:rPr>
                <w:kern w:val="0"/>
                <w:szCs w:val="21"/>
              </w:rPr>
              <w:br w:type="textWrapping"/>
            </w:r>
            <w:r>
              <w:rPr>
                <w:kern w:val="0"/>
                <w:szCs w:val="21"/>
              </w:rPr>
              <w:t>（2）经营现金流量大于0，得1分；</w:t>
            </w:r>
            <w:r>
              <w:rPr>
                <w:kern w:val="0"/>
                <w:szCs w:val="21"/>
              </w:rPr>
              <w:br w:type="textWrapping"/>
            </w:r>
            <w:r>
              <w:rPr>
                <w:kern w:val="0"/>
                <w:szCs w:val="21"/>
              </w:rPr>
              <w:t>（3）资产负债率小于70%（含），得1分。</w:t>
            </w:r>
            <w:r>
              <w:rPr>
                <w:kern w:val="0"/>
                <w:szCs w:val="21"/>
              </w:rPr>
              <w:br w:type="textWrapping"/>
            </w:r>
            <w:r>
              <w:rPr>
                <w:kern w:val="0"/>
                <w:szCs w:val="21"/>
              </w:rPr>
              <w:t>注：评估期内每个单项每有1年未达到要求的，扣0.5分。</w:t>
            </w:r>
          </w:p>
        </w:tc>
        <w:tc>
          <w:tcPr>
            <w:tcW w:w="797" w:type="dxa"/>
            <w:noWrap w:val="0"/>
            <w:vAlign w:val="center"/>
          </w:tcPr>
          <w:p>
            <w:pPr>
              <w:spacing w:line="28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3" w:type="dxa"/>
            <w:noWrap w:val="0"/>
            <w:vAlign w:val="center"/>
          </w:tcPr>
          <w:p>
            <w:pPr>
              <w:widowControl/>
              <w:spacing w:line="280" w:lineRule="exact"/>
              <w:jc w:val="center"/>
              <w:textAlignment w:val="center"/>
              <w:rPr>
                <w:rFonts w:hint="eastAsia"/>
                <w:kern w:val="0"/>
                <w:szCs w:val="21"/>
              </w:rPr>
            </w:pPr>
            <w:r>
              <w:rPr>
                <w:rFonts w:hint="eastAsia"/>
                <w:kern w:val="0"/>
                <w:szCs w:val="21"/>
              </w:rPr>
              <w:t>23</w:t>
            </w:r>
          </w:p>
        </w:tc>
        <w:tc>
          <w:tcPr>
            <w:tcW w:w="1750" w:type="dxa"/>
            <w:vMerge w:val="restart"/>
            <w:noWrap w:val="0"/>
            <w:vAlign w:val="center"/>
          </w:tcPr>
          <w:p>
            <w:pPr>
              <w:widowControl/>
              <w:spacing w:line="280" w:lineRule="exact"/>
              <w:jc w:val="center"/>
              <w:textAlignment w:val="center"/>
              <w:rPr>
                <w:kern w:val="0"/>
                <w:szCs w:val="21"/>
              </w:rPr>
            </w:pPr>
            <w:r>
              <w:rPr>
                <w:kern w:val="0"/>
                <w:szCs w:val="21"/>
              </w:rPr>
              <w:t>四、服务质量及用户投诉受理情况（22分）</w:t>
            </w:r>
          </w:p>
        </w:tc>
        <w:tc>
          <w:tcPr>
            <w:tcW w:w="1184" w:type="dxa"/>
            <w:noWrap w:val="0"/>
            <w:vAlign w:val="center"/>
          </w:tcPr>
          <w:p>
            <w:pPr>
              <w:widowControl/>
              <w:spacing w:line="280" w:lineRule="exact"/>
              <w:jc w:val="center"/>
              <w:textAlignment w:val="center"/>
              <w:rPr>
                <w:kern w:val="0"/>
                <w:szCs w:val="21"/>
              </w:rPr>
            </w:pPr>
            <w:r>
              <w:rPr>
                <w:kern w:val="0"/>
                <w:szCs w:val="21"/>
              </w:rPr>
              <w:t>入户安检</w:t>
            </w:r>
          </w:p>
        </w:tc>
        <w:tc>
          <w:tcPr>
            <w:tcW w:w="911" w:type="dxa"/>
            <w:noWrap w:val="0"/>
            <w:vAlign w:val="center"/>
          </w:tcPr>
          <w:p>
            <w:pPr>
              <w:widowControl/>
              <w:spacing w:line="280" w:lineRule="exact"/>
              <w:jc w:val="center"/>
              <w:textAlignment w:val="center"/>
              <w:rPr>
                <w:kern w:val="0"/>
                <w:szCs w:val="21"/>
              </w:rPr>
            </w:pPr>
            <w:r>
              <w:rPr>
                <w:kern w:val="0"/>
                <w:szCs w:val="21"/>
              </w:rPr>
              <w:t>5</w:t>
            </w:r>
          </w:p>
        </w:tc>
        <w:tc>
          <w:tcPr>
            <w:tcW w:w="9836" w:type="dxa"/>
            <w:noWrap w:val="0"/>
            <w:vAlign w:val="center"/>
          </w:tcPr>
          <w:p>
            <w:pPr>
              <w:widowControl/>
              <w:spacing w:line="280" w:lineRule="exact"/>
              <w:jc w:val="left"/>
              <w:textAlignment w:val="center"/>
              <w:rPr>
                <w:szCs w:val="21"/>
              </w:rPr>
            </w:pPr>
            <w:r>
              <w:rPr>
                <w:kern w:val="0"/>
                <w:szCs w:val="21"/>
              </w:rPr>
              <w:t>（1）有健全的入户安检制度，安检频次、安全检查内容等符合相关要求的，得1分；每存在一项不符合要求的，扣0.5分，扣完为止；</w:t>
            </w:r>
            <w:r>
              <w:rPr>
                <w:kern w:val="0"/>
                <w:szCs w:val="21"/>
              </w:rPr>
              <w:br w:type="textWrapping"/>
            </w:r>
            <w:r>
              <w:rPr>
                <w:kern w:val="0"/>
                <w:szCs w:val="21"/>
              </w:rPr>
              <w:t>（2）对安全检查发现的隐患及时制定整改措施，落实整改责任人和整改期限，整改完成后进行复查，得2分；每存在一项不符合要求的，扣0.5分，扣完为止；</w:t>
            </w:r>
            <w:r>
              <w:rPr>
                <w:kern w:val="0"/>
                <w:szCs w:val="21"/>
              </w:rPr>
              <w:br w:type="textWrapping"/>
            </w:r>
            <w:r>
              <w:rPr>
                <w:kern w:val="0"/>
                <w:szCs w:val="21"/>
              </w:rPr>
              <w:t>（3）制定入户安检年度计划，并将计划和实际执行结果报送行业主管部门的，得1分；否则不得分；</w:t>
            </w:r>
            <w:r>
              <w:rPr>
                <w:kern w:val="0"/>
                <w:szCs w:val="21"/>
              </w:rPr>
              <w:br w:type="textWrapping"/>
            </w:r>
            <w:r>
              <w:rPr>
                <w:kern w:val="0"/>
                <w:szCs w:val="21"/>
              </w:rPr>
              <w:t>（4）实际入户率达到80%及以上，得0.5分；</w:t>
            </w:r>
            <w:r>
              <w:rPr>
                <w:kern w:val="0"/>
                <w:szCs w:val="21"/>
              </w:rPr>
              <w:br w:type="textWrapping"/>
            </w:r>
            <w:r>
              <w:rPr>
                <w:kern w:val="0"/>
                <w:szCs w:val="21"/>
              </w:rPr>
              <w:t>（5）有完善的到访不遇制度和处置措施，且执行情况良好，得0.5分。</w:t>
            </w:r>
          </w:p>
        </w:tc>
        <w:tc>
          <w:tcPr>
            <w:tcW w:w="797" w:type="dxa"/>
            <w:noWrap w:val="0"/>
            <w:vAlign w:val="center"/>
          </w:tcPr>
          <w:p>
            <w:pPr>
              <w:spacing w:line="28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3" w:type="dxa"/>
            <w:noWrap w:val="0"/>
            <w:vAlign w:val="center"/>
          </w:tcPr>
          <w:p>
            <w:pPr>
              <w:widowControl/>
              <w:spacing w:line="280" w:lineRule="exact"/>
              <w:jc w:val="center"/>
              <w:textAlignment w:val="center"/>
              <w:rPr>
                <w:rFonts w:hint="eastAsia"/>
                <w:kern w:val="0"/>
                <w:szCs w:val="21"/>
              </w:rPr>
            </w:pPr>
            <w:r>
              <w:rPr>
                <w:rFonts w:hint="eastAsia"/>
                <w:kern w:val="0"/>
                <w:szCs w:val="21"/>
              </w:rPr>
              <w:t>24</w:t>
            </w:r>
          </w:p>
        </w:tc>
        <w:tc>
          <w:tcPr>
            <w:tcW w:w="1750" w:type="dxa"/>
            <w:vMerge w:val="continue"/>
            <w:noWrap w:val="0"/>
            <w:vAlign w:val="center"/>
          </w:tcPr>
          <w:p>
            <w:pPr>
              <w:widowControl/>
              <w:spacing w:line="280" w:lineRule="exact"/>
              <w:jc w:val="center"/>
              <w:textAlignment w:val="center"/>
              <w:rPr>
                <w:kern w:val="0"/>
                <w:szCs w:val="21"/>
              </w:rPr>
            </w:pPr>
          </w:p>
        </w:tc>
        <w:tc>
          <w:tcPr>
            <w:tcW w:w="1184" w:type="dxa"/>
            <w:noWrap w:val="0"/>
            <w:vAlign w:val="center"/>
          </w:tcPr>
          <w:p>
            <w:pPr>
              <w:widowControl/>
              <w:spacing w:line="280" w:lineRule="exact"/>
              <w:jc w:val="center"/>
              <w:textAlignment w:val="center"/>
              <w:rPr>
                <w:kern w:val="0"/>
                <w:szCs w:val="21"/>
              </w:rPr>
            </w:pPr>
            <w:r>
              <w:rPr>
                <w:kern w:val="0"/>
                <w:szCs w:val="21"/>
              </w:rPr>
              <w:t>用户回访</w:t>
            </w:r>
          </w:p>
        </w:tc>
        <w:tc>
          <w:tcPr>
            <w:tcW w:w="911" w:type="dxa"/>
            <w:noWrap w:val="0"/>
            <w:vAlign w:val="center"/>
          </w:tcPr>
          <w:p>
            <w:pPr>
              <w:widowControl/>
              <w:spacing w:line="280" w:lineRule="exact"/>
              <w:jc w:val="center"/>
              <w:textAlignment w:val="center"/>
              <w:rPr>
                <w:kern w:val="0"/>
                <w:szCs w:val="21"/>
              </w:rPr>
            </w:pPr>
            <w:r>
              <w:rPr>
                <w:kern w:val="0"/>
                <w:szCs w:val="21"/>
              </w:rPr>
              <w:t>2</w:t>
            </w:r>
          </w:p>
        </w:tc>
        <w:tc>
          <w:tcPr>
            <w:tcW w:w="9836" w:type="dxa"/>
            <w:noWrap w:val="0"/>
            <w:vAlign w:val="center"/>
          </w:tcPr>
          <w:p>
            <w:pPr>
              <w:pStyle w:val="8"/>
              <w:spacing w:line="280" w:lineRule="exact"/>
              <w:rPr>
                <w:rFonts w:eastAsia="宋体"/>
                <w:spacing w:val="-6"/>
                <w:sz w:val="21"/>
                <w:szCs w:val="21"/>
              </w:rPr>
            </w:pPr>
            <w:r>
              <w:rPr>
                <w:rFonts w:eastAsia="宋体"/>
                <w:spacing w:val="-6"/>
                <w:sz w:val="21"/>
                <w:szCs w:val="21"/>
              </w:rPr>
              <w:t>（1）提供上门服务或有投诉的用户进行回访且建立完善的回访记录档案的，得1分；</w:t>
            </w:r>
            <w:r>
              <w:rPr>
                <w:rFonts w:eastAsia="宋体"/>
                <w:spacing w:val="-6"/>
                <w:sz w:val="21"/>
                <w:szCs w:val="21"/>
              </w:rPr>
              <w:br w:type="textWrapping"/>
            </w:r>
            <w:r>
              <w:rPr>
                <w:rFonts w:eastAsia="宋体"/>
                <w:spacing w:val="-6"/>
                <w:sz w:val="21"/>
                <w:szCs w:val="21"/>
              </w:rPr>
              <w:t>（2）用户回访率达到10%（含）以上的，得1分。</w:t>
            </w:r>
          </w:p>
        </w:tc>
        <w:tc>
          <w:tcPr>
            <w:tcW w:w="797" w:type="dxa"/>
            <w:noWrap w:val="0"/>
            <w:vAlign w:val="center"/>
          </w:tcPr>
          <w:p>
            <w:pPr>
              <w:spacing w:line="28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1" w:hRule="atLeast"/>
          <w:jc w:val="center"/>
        </w:trPr>
        <w:tc>
          <w:tcPr>
            <w:tcW w:w="753" w:type="dxa"/>
            <w:noWrap w:val="0"/>
            <w:vAlign w:val="center"/>
          </w:tcPr>
          <w:p>
            <w:pPr>
              <w:widowControl/>
              <w:spacing w:line="280" w:lineRule="exact"/>
              <w:jc w:val="center"/>
              <w:textAlignment w:val="center"/>
              <w:rPr>
                <w:rFonts w:hint="eastAsia"/>
                <w:kern w:val="0"/>
                <w:szCs w:val="21"/>
              </w:rPr>
            </w:pPr>
            <w:r>
              <w:rPr>
                <w:rFonts w:hint="eastAsia"/>
                <w:kern w:val="0"/>
                <w:szCs w:val="21"/>
              </w:rPr>
              <w:t>25</w:t>
            </w:r>
          </w:p>
        </w:tc>
        <w:tc>
          <w:tcPr>
            <w:tcW w:w="1750" w:type="dxa"/>
            <w:vMerge w:val="continue"/>
            <w:noWrap w:val="0"/>
            <w:vAlign w:val="center"/>
          </w:tcPr>
          <w:p>
            <w:pPr>
              <w:widowControl/>
              <w:spacing w:line="280" w:lineRule="exact"/>
              <w:jc w:val="center"/>
              <w:textAlignment w:val="center"/>
              <w:rPr>
                <w:kern w:val="0"/>
                <w:szCs w:val="21"/>
              </w:rPr>
            </w:pPr>
          </w:p>
        </w:tc>
        <w:tc>
          <w:tcPr>
            <w:tcW w:w="1184" w:type="dxa"/>
            <w:noWrap w:val="0"/>
            <w:vAlign w:val="center"/>
          </w:tcPr>
          <w:p>
            <w:pPr>
              <w:widowControl/>
              <w:spacing w:line="280" w:lineRule="exact"/>
              <w:jc w:val="center"/>
              <w:textAlignment w:val="center"/>
              <w:rPr>
                <w:kern w:val="0"/>
                <w:szCs w:val="21"/>
              </w:rPr>
            </w:pPr>
            <w:r>
              <w:rPr>
                <w:kern w:val="0"/>
                <w:szCs w:val="21"/>
              </w:rPr>
              <w:t>用户满意度</w:t>
            </w:r>
          </w:p>
        </w:tc>
        <w:tc>
          <w:tcPr>
            <w:tcW w:w="911" w:type="dxa"/>
            <w:noWrap w:val="0"/>
            <w:vAlign w:val="center"/>
          </w:tcPr>
          <w:p>
            <w:pPr>
              <w:widowControl/>
              <w:spacing w:line="280" w:lineRule="exact"/>
              <w:jc w:val="center"/>
              <w:textAlignment w:val="center"/>
              <w:rPr>
                <w:kern w:val="0"/>
                <w:szCs w:val="21"/>
              </w:rPr>
            </w:pPr>
            <w:r>
              <w:rPr>
                <w:kern w:val="0"/>
                <w:szCs w:val="21"/>
              </w:rPr>
              <w:t>3</w:t>
            </w:r>
          </w:p>
        </w:tc>
        <w:tc>
          <w:tcPr>
            <w:tcW w:w="9836" w:type="dxa"/>
            <w:noWrap w:val="0"/>
            <w:vAlign w:val="center"/>
          </w:tcPr>
          <w:p>
            <w:pPr>
              <w:pStyle w:val="8"/>
              <w:spacing w:line="280" w:lineRule="exact"/>
              <w:rPr>
                <w:rFonts w:eastAsia="宋体"/>
                <w:spacing w:val="-6"/>
                <w:sz w:val="21"/>
                <w:szCs w:val="21"/>
              </w:rPr>
            </w:pPr>
            <w:r>
              <w:rPr>
                <w:rFonts w:eastAsia="宋体"/>
                <w:spacing w:val="-6"/>
                <w:sz w:val="21"/>
                <w:szCs w:val="21"/>
              </w:rPr>
              <w:t>分别采取电话调查及上门调查两种形式：</w:t>
            </w:r>
            <w:r>
              <w:rPr>
                <w:rFonts w:eastAsia="宋体"/>
                <w:spacing w:val="-6"/>
                <w:sz w:val="21"/>
                <w:szCs w:val="21"/>
              </w:rPr>
              <w:br w:type="textWrapping"/>
            </w:r>
            <w:r>
              <w:rPr>
                <w:rFonts w:eastAsia="宋体"/>
                <w:spacing w:val="-6"/>
                <w:sz w:val="21"/>
                <w:szCs w:val="21"/>
              </w:rPr>
              <w:t>（1）电话调查满意度为95%（含）以上的，得1.5分，90%（含）-95%的，得1分，80%（含）-90%的，得0.5分；其余不得分；</w:t>
            </w:r>
            <w:r>
              <w:rPr>
                <w:rFonts w:eastAsia="宋体"/>
                <w:spacing w:val="-6"/>
                <w:sz w:val="21"/>
                <w:szCs w:val="21"/>
              </w:rPr>
              <w:br w:type="textWrapping"/>
            </w:r>
            <w:r>
              <w:rPr>
                <w:rFonts w:eastAsia="宋体"/>
                <w:spacing w:val="-6"/>
                <w:sz w:val="21"/>
                <w:szCs w:val="21"/>
              </w:rPr>
              <w:t>（2）上门调查满意度为95%（含）以上的，得1.5分，90%（含）-95%的，得1分，80%（含）-90%的，得0.5分；其余不得分。</w:t>
            </w:r>
            <w:r>
              <w:rPr>
                <w:rFonts w:eastAsia="宋体"/>
                <w:spacing w:val="-6"/>
                <w:sz w:val="21"/>
                <w:szCs w:val="21"/>
              </w:rPr>
              <w:br w:type="textWrapping"/>
            </w:r>
            <w:r>
              <w:rPr>
                <w:rFonts w:eastAsia="宋体"/>
                <w:spacing w:val="-6"/>
                <w:sz w:val="21"/>
                <w:szCs w:val="21"/>
              </w:rPr>
              <w:t>注：各类用户样本数量原则上为该类用户总数的1%，各类用户总量可不超过100户。</w:t>
            </w:r>
          </w:p>
        </w:tc>
        <w:tc>
          <w:tcPr>
            <w:tcW w:w="797" w:type="dxa"/>
            <w:noWrap w:val="0"/>
            <w:vAlign w:val="center"/>
          </w:tcPr>
          <w:p>
            <w:pPr>
              <w:spacing w:line="28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3" w:type="dxa"/>
            <w:noWrap w:val="0"/>
            <w:vAlign w:val="center"/>
          </w:tcPr>
          <w:p>
            <w:pPr>
              <w:widowControl/>
              <w:spacing w:line="280" w:lineRule="exact"/>
              <w:jc w:val="center"/>
              <w:textAlignment w:val="center"/>
              <w:rPr>
                <w:rFonts w:hint="eastAsia"/>
                <w:kern w:val="0"/>
                <w:szCs w:val="21"/>
              </w:rPr>
            </w:pPr>
            <w:r>
              <w:rPr>
                <w:rFonts w:hint="eastAsia"/>
                <w:kern w:val="0"/>
                <w:szCs w:val="21"/>
              </w:rPr>
              <w:t>26</w:t>
            </w:r>
          </w:p>
        </w:tc>
        <w:tc>
          <w:tcPr>
            <w:tcW w:w="1750" w:type="dxa"/>
            <w:vMerge w:val="continue"/>
            <w:noWrap w:val="0"/>
            <w:vAlign w:val="center"/>
          </w:tcPr>
          <w:p>
            <w:pPr>
              <w:widowControl/>
              <w:spacing w:line="280" w:lineRule="exact"/>
              <w:jc w:val="center"/>
              <w:textAlignment w:val="center"/>
              <w:rPr>
                <w:kern w:val="0"/>
                <w:szCs w:val="21"/>
              </w:rPr>
            </w:pPr>
          </w:p>
        </w:tc>
        <w:tc>
          <w:tcPr>
            <w:tcW w:w="1184" w:type="dxa"/>
            <w:noWrap w:val="0"/>
            <w:vAlign w:val="center"/>
          </w:tcPr>
          <w:p>
            <w:pPr>
              <w:widowControl/>
              <w:spacing w:line="280" w:lineRule="exact"/>
              <w:jc w:val="center"/>
              <w:textAlignment w:val="center"/>
              <w:rPr>
                <w:kern w:val="0"/>
                <w:szCs w:val="21"/>
              </w:rPr>
            </w:pPr>
            <w:r>
              <w:rPr>
                <w:kern w:val="0"/>
                <w:szCs w:val="21"/>
              </w:rPr>
              <w:t>安全宣传</w:t>
            </w:r>
          </w:p>
        </w:tc>
        <w:tc>
          <w:tcPr>
            <w:tcW w:w="911" w:type="dxa"/>
            <w:noWrap w:val="0"/>
            <w:vAlign w:val="center"/>
          </w:tcPr>
          <w:p>
            <w:pPr>
              <w:widowControl/>
              <w:spacing w:line="280" w:lineRule="exact"/>
              <w:jc w:val="center"/>
              <w:textAlignment w:val="center"/>
              <w:rPr>
                <w:kern w:val="0"/>
                <w:szCs w:val="21"/>
              </w:rPr>
            </w:pPr>
            <w:r>
              <w:rPr>
                <w:kern w:val="0"/>
                <w:szCs w:val="21"/>
              </w:rPr>
              <w:t>2</w:t>
            </w:r>
          </w:p>
        </w:tc>
        <w:tc>
          <w:tcPr>
            <w:tcW w:w="9836" w:type="dxa"/>
            <w:noWrap w:val="0"/>
            <w:vAlign w:val="center"/>
          </w:tcPr>
          <w:p>
            <w:pPr>
              <w:pStyle w:val="8"/>
              <w:spacing w:line="280" w:lineRule="exact"/>
              <w:rPr>
                <w:rFonts w:eastAsia="宋体"/>
                <w:spacing w:val="-6"/>
                <w:sz w:val="21"/>
                <w:szCs w:val="21"/>
              </w:rPr>
            </w:pPr>
            <w:r>
              <w:rPr>
                <w:rFonts w:eastAsia="宋体"/>
                <w:spacing w:val="-6"/>
                <w:sz w:val="21"/>
                <w:szCs w:val="21"/>
              </w:rPr>
              <w:t>（1）按要求制定安全宣传制度和宣传计划，并执行良好的，得1分；有不合格的每项扣0.5分，扣完为止；</w:t>
            </w:r>
            <w:r>
              <w:rPr>
                <w:rFonts w:eastAsia="宋体"/>
                <w:spacing w:val="-6"/>
                <w:sz w:val="21"/>
                <w:szCs w:val="21"/>
              </w:rPr>
              <w:br w:type="textWrapping"/>
            </w:r>
            <w:r>
              <w:rPr>
                <w:rFonts w:eastAsia="宋体"/>
                <w:spacing w:val="-6"/>
                <w:sz w:val="21"/>
                <w:szCs w:val="21"/>
              </w:rPr>
              <w:t>（2）每年开展4次及以上安全宣传教育活动，得1分；每少1次扣0.5分，扣完为止。</w:t>
            </w:r>
            <w:r>
              <w:rPr>
                <w:rFonts w:eastAsia="宋体"/>
                <w:spacing w:val="-6"/>
                <w:sz w:val="21"/>
                <w:szCs w:val="21"/>
              </w:rPr>
              <w:br w:type="textWrapping"/>
            </w:r>
            <w:r>
              <w:rPr>
                <w:rFonts w:eastAsia="宋体"/>
                <w:spacing w:val="-6"/>
                <w:sz w:val="21"/>
                <w:szCs w:val="21"/>
              </w:rPr>
              <w:t>注：安全宣传教育活动（包括安全用气注意事项、正确选择燃气用具的方法、出现异常情况和意外事故时采取的紧急处理措施、户内燃气设施保护措施以及报修报警电话等）。</w:t>
            </w:r>
          </w:p>
        </w:tc>
        <w:tc>
          <w:tcPr>
            <w:tcW w:w="797" w:type="dxa"/>
            <w:noWrap w:val="0"/>
            <w:vAlign w:val="center"/>
          </w:tcPr>
          <w:p>
            <w:pPr>
              <w:spacing w:line="28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15231" w:type="dxa"/>
            <w:gridSpan w:val="6"/>
            <w:noWrap w:val="0"/>
            <w:vAlign w:val="center"/>
          </w:tcPr>
          <w:p>
            <w:pPr>
              <w:widowControl/>
              <w:spacing w:line="280" w:lineRule="exact"/>
              <w:jc w:val="left"/>
              <w:textAlignment w:val="center"/>
              <w:rPr>
                <w:szCs w:val="21"/>
              </w:rPr>
            </w:pPr>
            <w:r>
              <w:rPr>
                <w:kern w:val="0"/>
                <w:szCs w:val="21"/>
              </w:rPr>
              <w:t>扣分项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3" w:type="dxa"/>
            <w:noWrap w:val="0"/>
            <w:vAlign w:val="center"/>
          </w:tcPr>
          <w:p>
            <w:pPr>
              <w:widowControl/>
              <w:spacing w:line="280" w:lineRule="exact"/>
              <w:jc w:val="center"/>
              <w:textAlignment w:val="center"/>
              <w:rPr>
                <w:kern w:val="0"/>
                <w:szCs w:val="21"/>
              </w:rPr>
            </w:pPr>
            <w:r>
              <w:rPr>
                <w:kern w:val="0"/>
                <w:szCs w:val="21"/>
              </w:rPr>
              <w:t>1</w:t>
            </w:r>
          </w:p>
        </w:tc>
        <w:tc>
          <w:tcPr>
            <w:tcW w:w="1750" w:type="dxa"/>
            <w:vMerge w:val="restart"/>
            <w:noWrap w:val="0"/>
            <w:vAlign w:val="center"/>
          </w:tcPr>
          <w:p>
            <w:pPr>
              <w:widowControl/>
              <w:spacing w:line="280" w:lineRule="exact"/>
              <w:jc w:val="center"/>
              <w:textAlignment w:val="center"/>
              <w:rPr>
                <w:kern w:val="0"/>
                <w:szCs w:val="21"/>
              </w:rPr>
            </w:pPr>
            <w:r>
              <w:rPr>
                <w:kern w:val="0"/>
                <w:szCs w:val="21"/>
              </w:rPr>
              <w:t>扣分项</w:t>
            </w:r>
          </w:p>
        </w:tc>
        <w:tc>
          <w:tcPr>
            <w:tcW w:w="1184" w:type="dxa"/>
            <w:noWrap w:val="0"/>
            <w:vAlign w:val="center"/>
          </w:tcPr>
          <w:p>
            <w:pPr>
              <w:widowControl/>
              <w:spacing w:line="280" w:lineRule="exact"/>
              <w:jc w:val="center"/>
              <w:textAlignment w:val="center"/>
              <w:rPr>
                <w:kern w:val="0"/>
                <w:szCs w:val="21"/>
              </w:rPr>
            </w:pPr>
            <w:r>
              <w:rPr>
                <w:kern w:val="0"/>
                <w:szCs w:val="21"/>
              </w:rPr>
              <w:t>监管部门提出整改意见</w:t>
            </w:r>
          </w:p>
        </w:tc>
        <w:tc>
          <w:tcPr>
            <w:tcW w:w="911" w:type="dxa"/>
            <w:noWrap w:val="0"/>
            <w:vAlign w:val="center"/>
          </w:tcPr>
          <w:p>
            <w:pPr>
              <w:widowControl/>
              <w:spacing w:line="280" w:lineRule="exact"/>
              <w:jc w:val="center"/>
              <w:textAlignment w:val="center"/>
              <w:rPr>
                <w:kern w:val="0"/>
                <w:szCs w:val="21"/>
              </w:rPr>
            </w:pPr>
            <w:r>
              <w:rPr>
                <w:kern w:val="0"/>
                <w:szCs w:val="21"/>
              </w:rPr>
              <w:t>4</w:t>
            </w:r>
          </w:p>
        </w:tc>
        <w:tc>
          <w:tcPr>
            <w:tcW w:w="9836" w:type="dxa"/>
            <w:noWrap w:val="0"/>
            <w:vAlign w:val="center"/>
          </w:tcPr>
          <w:p>
            <w:pPr>
              <w:widowControl/>
              <w:spacing w:line="280" w:lineRule="exact"/>
              <w:jc w:val="left"/>
              <w:textAlignment w:val="center"/>
              <w:rPr>
                <w:szCs w:val="21"/>
              </w:rPr>
            </w:pPr>
            <w:r>
              <w:rPr>
                <w:kern w:val="0"/>
                <w:szCs w:val="21"/>
              </w:rPr>
              <w:t>（1）有1至3项（处）未按时、按要求完成整改，扣2分；</w:t>
            </w:r>
            <w:r>
              <w:rPr>
                <w:kern w:val="0"/>
                <w:szCs w:val="21"/>
              </w:rPr>
              <w:br w:type="textWrapping"/>
            </w:r>
            <w:r>
              <w:rPr>
                <w:kern w:val="0"/>
                <w:szCs w:val="21"/>
              </w:rPr>
              <w:t>（2）有3项（处）以上未按时、按要求完成整改，扣4分。</w:t>
            </w:r>
          </w:p>
        </w:tc>
        <w:tc>
          <w:tcPr>
            <w:tcW w:w="797" w:type="dxa"/>
            <w:noWrap w:val="0"/>
            <w:vAlign w:val="center"/>
          </w:tcPr>
          <w:p>
            <w:pPr>
              <w:spacing w:line="28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3" w:type="dxa"/>
            <w:noWrap w:val="0"/>
            <w:vAlign w:val="center"/>
          </w:tcPr>
          <w:p>
            <w:pPr>
              <w:widowControl/>
              <w:spacing w:line="280" w:lineRule="exact"/>
              <w:jc w:val="center"/>
              <w:textAlignment w:val="center"/>
              <w:rPr>
                <w:kern w:val="0"/>
                <w:szCs w:val="21"/>
              </w:rPr>
            </w:pPr>
            <w:r>
              <w:rPr>
                <w:kern w:val="0"/>
                <w:szCs w:val="21"/>
              </w:rPr>
              <w:t>2</w:t>
            </w:r>
          </w:p>
        </w:tc>
        <w:tc>
          <w:tcPr>
            <w:tcW w:w="1750" w:type="dxa"/>
            <w:vMerge w:val="continue"/>
            <w:noWrap w:val="0"/>
            <w:vAlign w:val="center"/>
          </w:tcPr>
          <w:p>
            <w:pPr>
              <w:widowControl/>
              <w:spacing w:line="280" w:lineRule="exact"/>
              <w:jc w:val="left"/>
              <w:rPr>
                <w:kern w:val="0"/>
                <w:szCs w:val="21"/>
              </w:rPr>
            </w:pPr>
          </w:p>
        </w:tc>
        <w:tc>
          <w:tcPr>
            <w:tcW w:w="1184" w:type="dxa"/>
            <w:noWrap w:val="0"/>
            <w:vAlign w:val="center"/>
          </w:tcPr>
          <w:p>
            <w:pPr>
              <w:widowControl/>
              <w:spacing w:line="280" w:lineRule="exact"/>
              <w:jc w:val="center"/>
              <w:textAlignment w:val="center"/>
              <w:rPr>
                <w:kern w:val="0"/>
                <w:szCs w:val="21"/>
              </w:rPr>
            </w:pPr>
            <w:r>
              <w:rPr>
                <w:kern w:val="0"/>
                <w:szCs w:val="21"/>
              </w:rPr>
              <w:t>供气合同履行情况</w:t>
            </w:r>
          </w:p>
        </w:tc>
        <w:tc>
          <w:tcPr>
            <w:tcW w:w="911" w:type="dxa"/>
            <w:noWrap w:val="0"/>
            <w:vAlign w:val="center"/>
          </w:tcPr>
          <w:p>
            <w:pPr>
              <w:widowControl/>
              <w:spacing w:line="280" w:lineRule="exact"/>
              <w:jc w:val="center"/>
              <w:textAlignment w:val="center"/>
              <w:rPr>
                <w:kern w:val="0"/>
                <w:szCs w:val="21"/>
              </w:rPr>
            </w:pPr>
            <w:r>
              <w:rPr>
                <w:kern w:val="0"/>
                <w:szCs w:val="21"/>
              </w:rPr>
              <w:t>3</w:t>
            </w:r>
          </w:p>
        </w:tc>
        <w:tc>
          <w:tcPr>
            <w:tcW w:w="9836" w:type="dxa"/>
            <w:noWrap w:val="0"/>
            <w:vAlign w:val="center"/>
          </w:tcPr>
          <w:p>
            <w:pPr>
              <w:widowControl/>
              <w:spacing w:line="280" w:lineRule="exact"/>
              <w:jc w:val="left"/>
              <w:textAlignment w:val="center"/>
              <w:rPr>
                <w:szCs w:val="21"/>
              </w:rPr>
            </w:pPr>
            <w:r>
              <w:rPr>
                <w:kern w:val="0"/>
                <w:szCs w:val="21"/>
              </w:rPr>
              <w:t>每存在一起供气合同违约行为，扣0.5分，最多扣3分。</w:t>
            </w:r>
          </w:p>
        </w:tc>
        <w:tc>
          <w:tcPr>
            <w:tcW w:w="797" w:type="dxa"/>
            <w:noWrap w:val="0"/>
            <w:vAlign w:val="center"/>
          </w:tcPr>
          <w:p>
            <w:pPr>
              <w:spacing w:line="28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3" w:type="dxa"/>
            <w:noWrap w:val="0"/>
            <w:vAlign w:val="center"/>
          </w:tcPr>
          <w:p>
            <w:pPr>
              <w:widowControl/>
              <w:spacing w:line="280" w:lineRule="exact"/>
              <w:jc w:val="center"/>
              <w:textAlignment w:val="center"/>
              <w:rPr>
                <w:kern w:val="0"/>
                <w:szCs w:val="21"/>
              </w:rPr>
            </w:pPr>
            <w:r>
              <w:rPr>
                <w:kern w:val="0"/>
                <w:szCs w:val="21"/>
              </w:rPr>
              <w:t>3</w:t>
            </w:r>
          </w:p>
        </w:tc>
        <w:tc>
          <w:tcPr>
            <w:tcW w:w="1750" w:type="dxa"/>
            <w:vMerge w:val="continue"/>
            <w:noWrap w:val="0"/>
            <w:vAlign w:val="center"/>
          </w:tcPr>
          <w:p>
            <w:pPr>
              <w:widowControl/>
              <w:spacing w:line="280" w:lineRule="exact"/>
              <w:jc w:val="left"/>
              <w:rPr>
                <w:kern w:val="0"/>
                <w:szCs w:val="21"/>
              </w:rPr>
            </w:pPr>
          </w:p>
        </w:tc>
        <w:tc>
          <w:tcPr>
            <w:tcW w:w="1184" w:type="dxa"/>
            <w:noWrap w:val="0"/>
            <w:vAlign w:val="center"/>
          </w:tcPr>
          <w:p>
            <w:pPr>
              <w:widowControl/>
              <w:spacing w:line="280" w:lineRule="exact"/>
              <w:jc w:val="center"/>
              <w:textAlignment w:val="center"/>
              <w:rPr>
                <w:kern w:val="0"/>
                <w:szCs w:val="21"/>
              </w:rPr>
            </w:pPr>
            <w:r>
              <w:rPr>
                <w:kern w:val="0"/>
                <w:szCs w:val="21"/>
              </w:rPr>
              <w:t>安全事故</w:t>
            </w:r>
          </w:p>
        </w:tc>
        <w:tc>
          <w:tcPr>
            <w:tcW w:w="911" w:type="dxa"/>
            <w:noWrap w:val="0"/>
            <w:vAlign w:val="center"/>
          </w:tcPr>
          <w:p>
            <w:pPr>
              <w:widowControl/>
              <w:spacing w:line="280" w:lineRule="exact"/>
              <w:jc w:val="center"/>
              <w:textAlignment w:val="center"/>
              <w:rPr>
                <w:szCs w:val="21"/>
              </w:rPr>
            </w:pPr>
          </w:p>
        </w:tc>
        <w:tc>
          <w:tcPr>
            <w:tcW w:w="9836" w:type="dxa"/>
            <w:noWrap w:val="0"/>
            <w:vAlign w:val="center"/>
          </w:tcPr>
          <w:p>
            <w:pPr>
              <w:widowControl/>
              <w:spacing w:line="280" w:lineRule="exact"/>
              <w:jc w:val="left"/>
              <w:textAlignment w:val="center"/>
              <w:rPr>
                <w:szCs w:val="21"/>
              </w:rPr>
            </w:pPr>
            <w:r>
              <w:rPr>
                <w:kern w:val="0"/>
                <w:szCs w:val="21"/>
              </w:rPr>
              <w:t>每发生1起一般责任安全事故的，扣3分；每发生1起较大责任安全事故的，扣10分。因管理不善，发生重大质量、安全事故的，省辖市、县（含县级市）人民政府</w:t>
            </w:r>
            <w:r>
              <w:rPr>
                <w:rFonts w:hint="eastAsia"/>
                <w:kern w:val="0"/>
                <w:szCs w:val="21"/>
              </w:rPr>
              <w:t>及济源示范区管委会</w:t>
            </w:r>
            <w:r>
              <w:rPr>
                <w:kern w:val="0"/>
                <w:szCs w:val="21"/>
              </w:rPr>
              <w:t>或地方燃气行政主管部门应当依法终止特许经营协议，取消其特许经营权，并可以实施临时接管。</w:t>
            </w:r>
          </w:p>
        </w:tc>
        <w:tc>
          <w:tcPr>
            <w:tcW w:w="797" w:type="dxa"/>
            <w:noWrap w:val="0"/>
            <w:vAlign w:val="center"/>
          </w:tcPr>
          <w:p>
            <w:pPr>
              <w:spacing w:line="280" w:lineRule="exact"/>
              <w:jc w:val="left"/>
              <w:rPr>
                <w:szCs w:val="21"/>
              </w:rPr>
            </w:pPr>
          </w:p>
        </w:tc>
      </w:tr>
    </w:tbl>
    <w:p>
      <w:pPr>
        <w:rPr>
          <w:rFonts w:hint="eastAsia"/>
        </w:rPr>
        <w:sectPr>
          <w:pgSz w:w="16838" w:h="11906" w:orient="landscape"/>
          <w:pgMar w:top="1588" w:right="1134" w:bottom="1418" w:left="1134" w:header="851" w:footer="1134" w:gutter="0"/>
          <w:cols w:space="720" w:num="1"/>
          <w:docGrid w:type="lines" w:linePitch="287" w:charSpace="0"/>
        </w:sectPr>
      </w:pPr>
    </w:p>
    <w:p>
      <w:pPr>
        <w:tabs>
          <w:tab w:val="left" w:pos="792"/>
        </w:tabs>
        <w:rPr>
          <w:rFonts w:hint="eastAsia"/>
        </w:rPr>
      </w:pPr>
      <w:r>
        <w:tab/>
      </w:r>
    </w:p>
    <w:p>
      <w:pPr>
        <w:pStyle w:val="2"/>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531" w:wrap="around" w:vAnchor="text" w:hAnchor="margin" w:xAlign="outside" w:y="1"/>
      <w:jc w:val="center"/>
      <w:rPr>
        <w:rStyle w:val="7"/>
        <w:sz w:val="28"/>
        <w:szCs w:val="28"/>
      </w:rPr>
    </w:pPr>
    <w:r>
      <w:rPr>
        <w:rStyle w:val="7"/>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14</w:t>
    </w:r>
    <w:r>
      <w:rPr>
        <w:rStyle w:val="7"/>
        <w:sz w:val="28"/>
        <w:szCs w:val="28"/>
      </w:rPr>
      <w:fldChar w:fldCharType="end"/>
    </w:r>
    <w:r>
      <w:rPr>
        <w:rStyle w:val="7"/>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separate"/>
    </w:r>
    <w:r>
      <w:rPr>
        <w:rStyle w:val="7"/>
      </w:rPr>
      <w:t>11</w:t>
    </w:r>
    <w:r>
      <w:rPr>
        <w:rStyle w:val="7"/>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491A3BBA"/>
    <w:rsid w:val="491A3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2"/>
    <w:basedOn w:val="1"/>
    <w:qFormat/>
    <w:uiPriority w:val="0"/>
    <w:pPr>
      <w:spacing w:after="120" w:line="480" w:lineRule="auto"/>
    </w:pPr>
  </w:style>
  <w:style w:type="paragraph" w:styleId="4">
    <w:name w:val="footer"/>
    <w:basedOn w:val="1"/>
    <w:uiPriority w:val="0"/>
    <w:pPr>
      <w:tabs>
        <w:tab w:val="center" w:pos="4680"/>
        <w:tab w:val="right" w:pos="9360"/>
      </w:tabs>
    </w:pPr>
  </w:style>
  <w:style w:type="character" w:styleId="7">
    <w:name w:val="page number"/>
    <w:basedOn w:val="6"/>
    <w:qFormat/>
    <w:uiPriority w:val="0"/>
  </w:style>
  <w:style w:type="paragraph" w:customStyle="1" w:styleId="8">
    <w:name w:val="Default"/>
    <w:basedOn w:val="1"/>
    <w:uiPriority w:val="0"/>
    <w:pPr>
      <w:autoSpaceDE w:val="0"/>
      <w:autoSpaceDN w:val="0"/>
      <w:adjustRightInd w:val="0"/>
      <w:jc w:val="left"/>
    </w:pPr>
    <w:rPr>
      <w:rFonts w:eastAsia="仿宋_GB2312"/>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2023-04-19T10:07:00Z</dcterms:created>
  <dc:creator>Cathy</dc:creator>
  <cp:lastModifiedBy>Cathy</cp:lastModifiedBy>
  <dcterms:modified xsi:type="dcterms:W3CDTF">2023-04-19T10:07:24Z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3143E33175D14798AAAF6A78B99C7B40</vt:lpwstr>
  </property>
</Properties>
</file>