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5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1525"/>
        <w:gridCol w:w="4313"/>
        <w:gridCol w:w="1041"/>
        <w:gridCol w:w="928"/>
        <w:gridCol w:w="1134"/>
        <w:gridCol w:w="1059"/>
        <w:gridCol w:w="1134"/>
        <w:gridCol w:w="1133"/>
        <w:gridCol w:w="1246"/>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5080" w:type="dxa"/>
            <w:gridSpan w:val="11"/>
            <w:tcBorders>
              <w:top w:val="nil"/>
              <w:left w:val="nil"/>
              <w:bottom w:val="nil"/>
              <w:right w:val="nil"/>
            </w:tcBorders>
            <w:shd w:val="clear" w:color="auto" w:fill="auto"/>
            <w:vAlign w:val="center"/>
          </w:tcPr>
          <w:p>
            <w:pPr>
              <w:tabs>
                <w:tab w:val="left" w:pos="2307"/>
              </w:tabs>
              <w:bidi w:val="0"/>
              <w:jc w:val="left"/>
              <w:rPr>
                <w:rFonts w:hint="default" w:ascii="Times New Roman" w:hAnsi="Times New Roman" w:eastAsia="宋体" w:cs="Times New Roman"/>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w w:val="100"/>
                <w:position w:val="0"/>
                <w:sz w:val="32"/>
                <w:szCs w:val="32"/>
                <w:shd w:val="clear" w:color="auto" w:fill="auto"/>
                <w:lang w:val="en-US" w:eastAsia="zh-CN" w:bidi="en-US"/>
                <w14:textFill>
                  <w14:solidFill>
                    <w14:schemeClr w14:val="tx1"/>
                  </w14:solidFill>
                </w14:textFill>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50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themeColor="text1"/>
                <w:sz w:val="36"/>
                <w:szCs w:val="36"/>
                <w:u w:val="none"/>
                <w14:textFill>
                  <w14:solidFill>
                    <w14:schemeClr w14:val="tx1"/>
                  </w14:solidFill>
                </w14:textFill>
              </w:rPr>
            </w:pPr>
            <w:r>
              <w:rPr>
                <w:rFonts w:hint="default" w:ascii="Times New Roman" w:hAnsi="Times New Roman" w:eastAsia="方正小标宋_GBK" w:cs="Times New Roman"/>
                <w:i w:val="0"/>
                <w:iCs w:val="0"/>
                <w:color w:val="000000" w:themeColor="text1"/>
                <w:spacing w:val="0"/>
                <w:w w:val="100"/>
                <w:kern w:val="0"/>
                <w:position w:val="0"/>
                <w:sz w:val="44"/>
                <w:szCs w:val="44"/>
                <w:u w:val="none"/>
                <w:shd w:val="clear" w:color="auto" w:fill="auto"/>
                <w:lang w:val="en-US" w:eastAsia="zh-CN" w:bidi="ar"/>
                <w14:textFill>
                  <w14:solidFill>
                    <w14:schemeClr w14:val="tx1"/>
                  </w14:solidFill>
                </w14:textFill>
              </w:rPr>
              <w:t>彭阳县冬季清洁取暖项目任务分配表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序号</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项目名称</w:t>
            </w:r>
          </w:p>
        </w:tc>
        <w:tc>
          <w:tcPr>
            <w:tcW w:w="4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项目内容</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项目</w:t>
            </w:r>
          </w:p>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规模</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项目起止时间</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总投资额（万元）</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拟申请中央财政资金（万元）</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地方财政资金</w:t>
            </w:r>
          </w:p>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（万元）</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其他投资来源</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责任    部门</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实施</w:t>
            </w:r>
          </w:p>
          <w:p>
            <w:pPr>
              <w:keepNext w:val="0"/>
              <w:keepLines w:val="0"/>
              <w:widowControl/>
              <w:suppressLineNumbers w:val="0"/>
              <w:shd w:val="clear" w:color="auto" w:fill="auto"/>
              <w:jc w:val="center"/>
              <w:textAlignment w:val="cente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4" w:hRule="atLeast"/>
          <w:jc w:val="center"/>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4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小标宋_GBK"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彭阳县城东热源厂环保改造</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对1台58兆瓦循环流化床锅炉脱硫、脱硝、除尘改造，1台46兆瓦链条锅炉脱硫改造。新建脱硫综合用房1座，脱硫塔（烟塔合一）2座、脱硫循环罐2座、58兆瓦布袋除尘器1座、58兆瓦脱硝反应器1座、钢灰库1座、石灰石粉仓1座、58兆瓦引风机1台；新增空压机系统、电气自控等系统，对58兆瓦锅炉进行尾部改造等，并预留超低排放改造空间。</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2932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房城乡</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建</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设</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房城乡</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建</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设</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彭阳县城东热源厂锅炉超低排放</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改造</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对东热源厂104兆瓦锅炉（1台46兆瓦、1台58兆瓦）实施超低排放改造。</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2023-</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936</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655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281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房城乡</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建</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设</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房城乡</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建</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设</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彭阳县城西热源厂锅炉超低排放</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改造</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对58兆瓦流化床锅炉和2台46兆瓦链条进行脱硫脱硝除尘系统改造，对58兆瓦流化床锅炉进行降低含氧量提高锅炉出力及分离器优化改造，共改造150兆瓦锅炉达到超低排放要求。</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7791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926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397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房城乡</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建</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设</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房城乡</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建</w:t>
            </w: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设</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彭阳县城新建换热站及供热管网</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迁建四小至五中片区换热站，安装DN70-250供热管网3400米，新建DN400供热管网4500米；新建300平方米换热站1座，安装原有换热机组和新装15万平方米换热机组各一套，配套专变等。药材公司片区新建10万平方米换热机组，铺设DN350供热管网4.1千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25万平方米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1480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彭阳县城供热系统平衡改造</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将原有热源厂、二次网大循环系统改造分布式泵变频系统，拆除原有的集分水器、循环泵、补水泵；增加去耦罐，将热源（换热器）与室外管网解耦，降低循环泵运行功率，稳定室外热网侧水力工况，提高供热质量。</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2500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w:t>
            </w:r>
            <w:bookmarkStart w:id="0" w:name="_GoBack"/>
            <w:bookmarkEnd w:id="0"/>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彭阳县城小区管道阀门改造</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对彭阳县城宁馨花园、茹河花园、南苑小区、富阳花园等小区，更换DN15-DN300的二级管网18746米，阀门及过滤器1873套，新增检查井76座，拆除恢复检查井172座。</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1100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262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彭阳县城建筑节能改造</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对彭阳县城建筑实施外墙保温、更换节能门窗等节能改造，完成改造面积约 15万平方米。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15万平方米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3750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2625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1125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彭阳县三个林场冬季采暖设施清洁化改造项目</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改造茹河、草庙、小园子三个林场供热设施，每个林场各安装1台30匹的超低温空气源热泵用于采暖，每个林场在屋顶或空闲场地各安装20千瓦的光伏发电板给采暖设备提供电力，各安装2.2千瓦的循环泵2台、2吨的水箱1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0.22万平方米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33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自然</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资源局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自然</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彭阳县乡镇政府清洁采暖建设项目</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采用空气源热泵、太阳能+空气源热泵、生物质等多元化方式，实施7个乡镇政府清洁采暖，增加供热面积39000平方米。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3.90万平方米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1500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lang w:val="en-US"/>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546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lang w:val="en-US"/>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954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2"/>
                <w:szCs w:val="22"/>
                <w:u w:val="none"/>
                <w:lang w:val="en-US" w:eastAsia="zh-CN"/>
                <w14:textFill>
                  <w14:solidFill>
                    <w14:schemeClr w14:val="tx1"/>
                  </w14:solidFill>
                </w14:textFill>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 xml:space="preserve">固原市生态环境局彭阳分局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 xml:space="preserve">固原市生态环境局彭阳分局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彭阳县古城镇煤改气及配套天然气管网建设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项目</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新建调压站1座，新建主管网13公里，提供2200户燃气采暖（包含政府机关及周边居民点采暖），采暖总面积16万平方米。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0.22万户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2783</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847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363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彭阳县王洼镇集中供热智慧平台</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建设</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对2台28兆瓦锅炉及6座换热站远程自动化控制，实现供热数据的采集、监控、智能控制等功能，建设1421户热用户IC卡收费系统。</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1500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发展改革局</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宁夏煤海商贸有限公司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彭阳县王洼镇集中供热老旧供热管网及4座换热站改造项目</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改造老旧二级管网5120米，更换4台老旧换热站。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1090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72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31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发展改革局</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宁夏煤海商贸有限公司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彭阳县王洼镇集中供热移民居住新增管网及外墙保温项目</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新增管网4500米，外墙保温改造400余户。</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2.4万平方米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750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218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94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发展改革局</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宁夏煤海商贸有限公司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彭阳县王洼镇窑炉余热回收利用技术改造项目</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对彭阳县鑫卓能源科技发展有限公司厂房和办公楼进行窑炉余热集中回收供暖，增设换热器2台、水泵房30平方米、余热回收管道1100米、车间暖气片120片等。</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2021-</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368</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发展改革局</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 xml:space="preserve">           </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彭阳县鑫卓能源科技发展有限公司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彭阳县农村热源清洁化改造</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采用空气源热泵、太阳能等方式，结合电暖器、电热炕，改造农村1.37万户分散供热设施。</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1.37万户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11330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6738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2888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居民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自筹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农业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农村局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农业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彭阳县农村生物质热源改造</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对全县具备条件的约1800户农户进行改造，安装生物质成型燃料专用炉具。</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0.18万户</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810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567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243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农业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农村局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农业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彭阳县农村建筑节能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改造</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完成农房建筑节能改造面积约20.73万平方米。</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20.73万平方米</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2695</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1886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808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彭阳县清洁取暖技术咨询项目</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40" w:firstLineChars="200"/>
              <w:jc w:val="left"/>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彭阳县冬季清洁取暖项目相关各个领域规划、建设、管理过程中委托专家、技术团队开展方案、咨询、监测、评估、培训费用。</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2022-</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2024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120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96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r>
              <w:rPr>
                <w:rFonts w:hint="eastAsia"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住房城乡建设局</w:t>
            </w:r>
            <w:r>
              <w:rPr>
                <w:rFonts w:hint="default" w:ascii="Times New Roman" w:hAnsi="Times New Roman" w:eastAsia="宋体" w:cs="Times New Roman"/>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 xml:space="preserve">、自然资源局、农业农村局、固原市生态环境局彭阳分局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合  计</w:t>
            </w:r>
          </w:p>
        </w:tc>
        <w:tc>
          <w:tcPr>
            <w:tcW w:w="4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43468</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u w:val="none"/>
                <w:lang w:val="en-US"/>
                <w14:textFill>
                  <w14:solidFill>
                    <w14:schemeClr w14:val="tx1"/>
                  </w14:solidFill>
                </w14:textFill>
              </w:rPr>
            </w:pPr>
            <w:r>
              <w:rPr>
                <w:rFonts w:hint="default" w:ascii="Times New Roman" w:hAnsi="Times New Roman" w:eastAsia="宋体"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15466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2"/>
                <w:szCs w:val="22"/>
                <w:u w:val="none"/>
                <w:lang w:val="en-US"/>
                <w14:textFill>
                  <w14:solidFill>
                    <w14:schemeClr w14:val="tx1"/>
                  </w14:solidFill>
                </w14:textFill>
              </w:rPr>
            </w:pPr>
            <w:r>
              <w:rPr>
                <w:rFonts w:hint="default" w:ascii="Times New Roman" w:hAnsi="Times New Roman" w:eastAsia="宋体" w:cs="Times New Roman"/>
                <w:b/>
                <w:bCs/>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7332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2"/>
                <w:szCs w:val="22"/>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bl>
    <w:p>
      <w:pPr>
        <w:pStyle w:val="8"/>
        <w:numPr>
          <w:ilvl w:val="0"/>
          <w:numId w:val="0"/>
        </w:numPr>
        <w:tabs>
          <w:tab w:val="left" w:pos="762"/>
        </w:tabs>
        <w:ind w:right="0" w:rightChars="0"/>
        <w:rPr>
          <w:rFonts w:hint="default" w:ascii="Times New Roman" w:hAnsi="Times New Roman" w:eastAsia="仿宋_GB2312" w:cs="Times New Roman"/>
          <w:kern w:val="0"/>
          <w:sz w:val="32"/>
          <w:szCs w:val="32"/>
          <w:lang w:val="en-US" w:eastAsia="zh-CN" w:bidi="ar-SA"/>
        </w:rPr>
        <w:sectPr>
          <w:footerReference r:id="rId5" w:type="default"/>
          <w:pgSz w:w="16838" w:h="11906" w:orient="landscape"/>
          <w:pgMar w:top="1587" w:right="1701" w:bottom="1587" w:left="1701" w:header="851" w:footer="1417"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sectPr>
      <w:footerReference r:id="rId6" w:type="default"/>
      <w:pgSz w:w="16838" w:h="11906" w:orient="landscape"/>
      <w:pgMar w:top="1587" w:right="2098" w:bottom="1474" w:left="1984" w:header="851" w:footer="1417" w:gutter="0"/>
      <w:pgNumType w:fmt="decimal"/>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727AEB-BC67-403D-B65A-165531AD2F48}"/>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embedRegular r:id="rId2" w:fontKey="{9F7A5358-A823-409A-9431-AC603D2C2743}"/>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embedRegular r:id="rId3" w:fontKey="{FAFE5042-CB92-4F98-9AC1-6E1DE7B0542C}"/>
  </w:font>
  <w:font w:name="方正仿宋_GBK">
    <w:panose1 w:val="03000509000000000000"/>
    <w:charset w:val="86"/>
    <w:family w:val="auto"/>
    <w:pitch w:val="default"/>
    <w:sig w:usb0="00000001" w:usb1="080E0000" w:usb2="00000000" w:usb3="00000000" w:csb0="00040000" w:csb1="00000000"/>
    <w:embedRegular r:id="rId4" w:fontKey="{7A3228BD-8AF5-454F-97DD-0E304EEFD255}"/>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s>
  <w:rsids>
    <w:rsidRoot w:val="00000000"/>
    <w:rsid w:val="01962B3A"/>
    <w:rsid w:val="033B50CF"/>
    <w:rsid w:val="0357004D"/>
    <w:rsid w:val="03E16C10"/>
    <w:rsid w:val="04C04979"/>
    <w:rsid w:val="06A0415B"/>
    <w:rsid w:val="06B33FC3"/>
    <w:rsid w:val="094E713D"/>
    <w:rsid w:val="09DD4313"/>
    <w:rsid w:val="0A2E1A6A"/>
    <w:rsid w:val="0A864841"/>
    <w:rsid w:val="0C7A5342"/>
    <w:rsid w:val="0D036B72"/>
    <w:rsid w:val="0D474670"/>
    <w:rsid w:val="0F2F0A61"/>
    <w:rsid w:val="13BC361F"/>
    <w:rsid w:val="15074B69"/>
    <w:rsid w:val="15DB0444"/>
    <w:rsid w:val="162F089C"/>
    <w:rsid w:val="19287A4C"/>
    <w:rsid w:val="1B574BAD"/>
    <w:rsid w:val="1B876C83"/>
    <w:rsid w:val="1C0943B0"/>
    <w:rsid w:val="1C2C085F"/>
    <w:rsid w:val="1C552377"/>
    <w:rsid w:val="1C8F359D"/>
    <w:rsid w:val="1CB4043E"/>
    <w:rsid w:val="1DA8488E"/>
    <w:rsid w:val="20585FB7"/>
    <w:rsid w:val="206E6CF5"/>
    <w:rsid w:val="2080572B"/>
    <w:rsid w:val="20F4289B"/>
    <w:rsid w:val="211D4E88"/>
    <w:rsid w:val="21652E53"/>
    <w:rsid w:val="218945D9"/>
    <w:rsid w:val="21D1173A"/>
    <w:rsid w:val="24835593"/>
    <w:rsid w:val="250C3D4C"/>
    <w:rsid w:val="26272792"/>
    <w:rsid w:val="281417D0"/>
    <w:rsid w:val="28304227"/>
    <w:rsid w:val="29D05E1B"/>
    <w:rsid w:val="2B9A5D3F"/>
    <w:rsid w:val="2C233008"/>
    <w:rsid w:val="2CD15DCE"/>
    <w:rsid w:val="2DCE611F"/>
    <w:rsid w:val="2EB227AD"/>
    <w:rsid w:val="2F9C09B2"/>
    <w:rsid w:val="31C54DD6"/>
    <w:rsid w:val="333F2F3A"/>
    <w:rsid w:val="33727052"/>
    <w:rsid w:val="34D92825"/>
    <w:rsid w:val="356011ED"/>
    <w:rsid w:val="35E44E9E"/>
    <w:rsid w:val="35F44AE6"/>
    <w:rsid w:val="36AB06C4"/>
    <w:rsid w:val="37533A8E"/>
    <w:rsid w:val="3A116D7B"/>
    <w:rsid w:val="3A194B3B"/>
    <w:rsid w:val="3F065225"/>
    <w:rsid w:val="3F7F3F22"/>
    <w:rsid w:val="3FDE18BF"/>
    <w:rsid w:val="3FE548E2"/>
    <w:rsid w:val="43666479"/>
    <w:rsid w:val="43F73FA9"/>
    <w:rsid w:val="458953C5"/>
    <w:rsid w:val="47D668AB"/>
    <w:rsid w:val="49907A9B"/>
    <w:rsid w:val="4ACF6658"/>
    <w:rsid w:val="4DD014A7"/>
    <w:rsid w:val="4EE05735"/>
    <w:rsid w:val="4F2E5D89"/>
    <w:rsid w:val="4F375252"/>
    <w:rsid w:val="519E04ED"/>
    <w:rsid w:val="52DC1F1F"/>
    <w:rsid w:val="57A27FF0"/>
    <w:rsid w:val="5B0C4025"/>
    <w:rsid w:val="5C2F1BFA"/>
    <w:rsid w:val="5F284204"/>
    <w:rsid w:val="6085265B"/>
    <w:rsid w:val="60A51F11"/>
    <w:rsid w:val="60DB06BE"/>
    <w:rsid w:val="623954AB"/>
    <w:rsid w:val="631A4D07"/>
    <w:rsid w:val="63F024E1"/>
    <w:rsid w:val="65D30BAA"/>
    <w:rsid w:val="68887122"/>
    <w:rsid w:val="69912C6C"/>
    <w:rsid w:val="6AFE30C8"/>
    <w:rsid w:val="6C08168A"/>
    <w:rsid w:val="7028710F"/>
    <w:rsid w:val="70585696"/>
    <w:rsid w:val="729D1092"/>
    <w:rsid w:val="72F279D6"/>
    <w:rsid w:val="742015B5"/>
    <w:rsid w:val="7693217F"/>
    <w:rsid w:val="788D434B"/>
    <w:rsid w:val="78966F79"/>
    <w:rsid w:val="7AEC35AA"/>
    <w:rsid w:val="7B073F40"/>
    <w:rsid w:val="7B737E74"/>
    <w:rsid w:val="7CB07885"/>
    <w:rsid w:val="7CB63E70"/>
    <w:rsid w:val="7D4F3AAF"/>
    <w:rsid w:val="7D9D5170"/>
    <w:rsid w:val="7E7C356B"/>
    <w:rsid w:val="7E8F4979"/>
    <w:rsid w:val="9DBBB475"/>
    <w:rsid w:val="BFFAE6AE"/>
    <w:rsid w:val="EF926DDC"/>
    <w:rsid w:val="FE7E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widowControl w:val="0"/>
      <w:spacing w:after="120" w:afterLines="0"/>
      <w:ind w:left="420" w:leftChars="200" w:firstLine="420" w:firstLineChars="200"/>
      <w:jc w:val="both"/>
    </w:pPr>
    <w:rPr>
      <w:rFonts w:hint="eastAsia" w:ascii="Times New Roman" w:hAnsi="Times New Roman" w:eastAsia="仿宋_GB2312" w:cs="Times New Roman"/>
      <w:kern w:val="10"/>
      <w:sz w:val="32"/>
      <w:lang w:val="en-US" w:eastAsia="zh-CN" w:bidi="ar-SA"/>
    </w:rPr>
  </w:style>
  <w:style w:type="paragraph" w:customStyle="1" w:styleId="3">
    <w:name w:val="Body Text Indent1"/>
    <w:qFormat/>
    <w:uiPriority w:val="0"/>
    <w:pPr>
      <w:widowControl w:val="0"/>
      <w:spacing w:after="120" w:afterLines="0"/>
      <w:ind w:left="420" w:leftChars="200"/>
      <w:jc w:val="both"/>
    </w:pPr>
    <w:rPr>
      <w:rFonts w:hint="eastAsia" w:ascii="Times New Roman" w:hAnsi="Times New Roman" w:eastAsia="仿宋_GB2312" w:cs="Times New Roman"/>
      <w:kern w:val="10"/>
      <w:sz w:val="32"/>
      <w:lang w:val="en-US" w:eastAsia="zh-CN" w:bidi="ar-SA"/>
    </w:rPr>
  </w:style>
  <w:style w:type="paragraph" w:styleId="4">
    <w:name w:val="Body Text Indent"/>
    <w:basedOn w:val="1"/>
    <w:qFormat/>
    <w:uiPriority w:val="0"/>
    <w:pPr>
      <w:spacing w:after="120"/>
      <w:ind w:left="420"/>
    </w:pPr>
  </w:style>
  <w:style w:type="paragraph" w:styleId="5">
    <w:name w:val="Plain Text"/>
    <w:basedOn w:val="1"/>
    <w:unhideWhenUsed/>
    <w:qFormat/>
    <w:uiPriority w:val="99"/>
    <w:rPr>
      <w:rFonts w:ascii="宋体" w:hAnsi="Courier New"/>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0"/>
    <w:pPr>
      <w:ind w:left="0" w:firstLine="40"/>
    </w:pPr>
    <w:rPr>
      <w:rFonts w:ascii="仿宋_GB2312" w:hAnsi="仿宋_GB2312" w:eastAsia="仿宋" w:cs="仿宋_GB2312"/>
      <w:sz w:val="32"/>
      <w:szCs w:val="32"/>
    </w:rPr>
  </w:style>
  <w:style w:type="paragraph" w:customStyle="1" w:styleId="11">
    <w:name w:val="Heading #2|1"/>
    <w:basedOn w:val="1"/>
    <w:qFormat/>
    <w:uiPriority w:val="0"/>
    <w:pPr>
      <w:widowControl w:val="0"/>
      <w:shd w:val="clear" w:color="auto" w:fill="auto"/>
      <w:spacing w:after="460" w:line="564"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2">
    <w:name w:val="Body text|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 w:type="character" w:customStyle="1" w:styleId="13">
    <w:name w:val="font01"/>
    <w:basedOn w:val="10"/>
    <w:qFormat/>
    <w:uiPriority w:val="0"/>
    <w:rPr>
      <w:rFonts w:hint="eastAsia" w:ascii="宋体" w:hAnsi="宋体" w:eastAsia="宋体" w:cs="宋体"/>
      <w:color w:val="000000"/>
      <w:sz w:val="22"/>
      <w:szCs w:val="22"/>
      <w:u w:val="none"/>
    </w:rPr>
  </w:style>
  <w:style w:type="character" w:customStyle="1" w:styleId="14">
    <w:name w:val="font11"/>
    <w:basedOn w:val="10"/>
    <w:qFormat/>
    <w:uiPriority w:val="0"/>
    <w:rPr>
      <w:rFonts w:hint="default" w:ascii="Times New Roman" w:hAnsi="Times New Roman" w:cs="Times New Roman"/>
      <w:color w:val="000000"/>
      <w:sz w:val="22"/>
      <w:szCs w:val="22"/>
      <w:u w:val="none"/>
    </w:rPr>
  </w:style>
  <w:style w:type="character" w:customStyle="1" w:styleId="15">
    <w:name w:val="font61"/>
    <w:basedOn w:val="10"/>
    <w:qFormat/>
    <w:uiPriority w:val="0"/>
    <w:rPr>
      <w:rFonts w:hint="eastAsia" w:ascii="宋体" w:hAnsi="宋体" w:eastAsia="宋体" w:cs="宋体"/>
      <w:b/>
      <w:bCs/>
      <w:color w:val="000000"/>
      <w:sz w:val="22"/>
      <w:szCs w:val="22"/>
      <w:u w:val="none"/>
    </w:rPr>
  </w:style>
  <w:style w:type="character" w:customStyle="1" w:styleId="16">
    <w:name w:val="font41"/>
    <w:basedOn w:val="10"/>
    <w:qFormat/>
    <w:uiPriority w:val="0"/>
    <w:rPr>
      <w:rFonts w:hint="default" w:ascii="Times New Roman" w:hAnsi="Times New Roman" w:cs="Times New Roman"/>
      <w:b/>
      <w:bCs/>
      <w:color w:val="000000"/>
      <w:sz w:val="22"/>
      <w:szCs w:val="22"/>
      <w:u w:val="none"/>
    </w:rPr>
  </w:style>
  <w:style w:type="character" w:customStyle="1" w:styleId="17">
    <w:name w:val="font91"/>
    <w:basedOn w:val="10"/>
    <w:qFormat/>
    <w:uiPriority w:val="0"/>
    <w:rPr>
      <w:rFonts w:hint="default" w:ascii="Times New Roman" w:hAnsi="Times New Roman" w:cs="Times New Roman"/>
      <w:color w:val="000000"/>
      <w:sz w:val="28"/>
      <w:szCs w:val="28"/>
      <w:u w:val="none"/>
    </w:rPr>
  </w:style>
  <w:style w:type="character" w:customStyle="1" w:styleId="18">
    <w:name w:val="font51"/>
    <w:basedOn w:val="10"/>
    <w:qFormat/>
    <w:uiPriority w:val="0"/>
    <w:rPr>
      <w:rFonts w:hint="eastAsia" w:ascii="MingLiU" w:hAnsi="MingLiU" w:eastAsia="MingLiU" w:cs="MingLiU"/>
      <w:color w:val="000000"/>
      <w:sz w:val="40"/>
      <w:szCs w:val="40"/>
      <w:u w:val="none"/>
    </w:rPr>
  </w:style>
  <w:style w:type="character" w:customStyle="1" w:styleId="19">
    <w:name w:val="font31"/>
    <w:basedOn w:val="10"/>
    <w:qFormat/>
    <w:uiPriority w:val="0"/>
    <w:rPr>
      <w:rFonts w:hint="eastAsia" w:ascii="宋体" w:hAnsi="宋体" w:eastAsia="宋体" w:cs="宋体"/>
      <w:color w:val="000000"/>
      <w:sz w:val="40"/>
      <w:szCs w:val="40"/>
      <w:u w:val="none"/>
    </w:rPr>
  </w:style>
  <w:style w:type="character" w:customStyle="1" w:styleId="20">
    <w:name w:val="font101"/>
    <w:basedOn w:val="10"/>
    <w:qFormat/>
    <w:uiPriority w:val="0"/>
    <w:rPr>
      <w:rFonts w:ascii="宋体" w:hAnsi="宋体" w:eastAsia="宋体" w:cs="宋体"/>
      <w:b/>
      <w:bCs/>
      <w:color w:val="000000"/>
      <w:sz w:val="20"/>
      <w:szCs w:val="20"/>
      <w:u w:val="none"/>
    </w:rPr>
  </w:style>
  <w:style w:type="character" w:customStyle="1" w:styleId="21">
    <w:name w:val="font112"/>
    <w:basedOn w:val="10"/>
    <w:qFormat/>
    <w:uiPriority w:val="0"/>
    <w:rPr>
      <w:rFonts w:hint="eastAsia" w:ascii="宋体" w:hAnsi="宋体" w:eastAsia="宋体" w:cs="宋体"/>
      <w:b/>
      <w:bCs/>
      <w:color w:val="000000"/>
      <w:sz w:val="20"/>
      <w:szCs w:val="20"/>
      <w:u w:val="none"/>
    </w:rPr>
  </w:style>
  <w:style w:type="character" w:customStyle="1" w:styleId="22">
    <w:name w:val="font21"/>
    <w:basedOn w:val="10"/>
    <w:qFormat/>
    <w:uiPriority w:val="0"/>
    <w:rPr>
      <w:rFonts w:hint="eastAsia" w:ascii="宋体" w:hAnsi="宋体" w:eastAsia="宋体" w:cs="宋体"/>
      <w:color w:val="000000"/>
      <w:sz w:val="40"/>
      <w:szCs w:val="40"/>
      <w:u w:val="none"/>
    </w:rPr>
  </w:style>
  <w:style w:type="character" w:customStyle="1" w:styleId="23">
    <w:name w:val="font111"/>
    <w:basedOn w:val="10"/>
    <w:qFormat/>
    <w:uiPriority w:val="0"/>
    <w:rPr>
      <w:rFonts w:ascii="宋体" w:hAnsi="宋体" w:eastAsia="宋体" w:cs="宋体"/>
      <w:b/>
      <w:bCs/>
      <w:color w:val="000000"/>
      <w:sz w:val="20"/>
      <w:szCs w:val="20"/>
      <w:u w:val="none"/>
    </w:rPr>
  </w:style>
  <w:style w:type="character" w:customStyle="1" w:styleId="24">
    <w:name w:val="font122"/>
    <w:basedOn w:val="10"/>
    <w:qFormat/>
    <w:uiPriority w:val="0"/>
    <w:rPr>
      <w:rFonts w:hint="eastAsia" w:ascii="宋体" w:hAnsi="宋体" w:eastAsia="宋体" w:cs="宋体"/>
      <w:b/>
      <w:bCs/>
      <w:color w:val="000000"/>
      <w:sz w:val="20"/>
      <w:szCs w:val="20"/>
      <w:u w:val="none"/>
    </w:rPr>
  </w:style>
  <w:style w:type="character" w:customStyle="1" w:styleId="25">
    <w:name w:val="font131"/>
    <w:basedOn w:val="1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1859</Words>
  <Characters>2214</Characters>
  <Lines>0</Lines>
  <Paragraphs>0</Paragraphs>
  <TotalTime>1</TotalTime>
  <ScaleCrop>false</ScaleCrop>
  <LinksUpToDate>false</LinksUpToDate>
  <CharactersWithSpaces>2274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俱往矣</cp:lastModifiedBy>
  <cp:lastPrinted>2022-09-20T23:30:00Z</cp:lastPrinted>
  <dcterms:modified xsi:type="dcterms:W3CDTF">2022-09-27T02:03:09Z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1692297526594C48999BA8FE2B00D9B5</vt:lpwstr>
  </property>
</Properties>
</file>