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jc w:val="center"/>
      </w:pPr>
      <w:bookmarkStart w:id="0" w:name="_Toc69111983"/>
      <w:bookmarkStart w:id="1" w:name="_Toc132732994"/>
    </w:p>
    <w:p>
      <w:pPr>
        <w:ind w:firstLine="480"/>
        <w:jc w:val="center"/>
      </w:pPr>
    </w:p>
    <w:p>
      <w:pPr>
        <w:ind w:firstLine="480"/>
        <w:jc w:val="center"/>
      </w:pPr>
    </w:p>
    <w:p>
      <w:pPr>
        <w:ind w:firstLine="480"/>
        <w:jc w:val="center"/>
      </w:pPr>
    </w:p>
    <w:p>
      <w:pPr>
        <w:ind w:firstLine="480"/>
        <w:jc w:val="center"/>
      </w:pPr>
    </w:p>
    <w:p>
      <w:pPr>
        <w:ind w:firstLine="480"/>
        <w:jc w:val="center"/>
      </w:pPr>
    </w:p>
    <w:p>
      <w:pPr>
        <w:ind w:firstLine="0" w:firstLineChars="0"/>
        <w:jc w:val="center"/>
        <w:rPr>
          <w:rFonts w:ascii="黑体" w:hAnsi="黑体" w:eastAsia="黑体"/>
          <w:sz w:val="72"/>
          <w:szCs w:val="72"/>
        </w:rPr>
      </w:pPr>
      <w:r>
        <w:rPr>
          <w:rFonts w:hint="eastAsia" w:ascii="黑体" w:hAnsi="黑体" w:eastAsia="黑体"/>
          <w:sz w:val="72"/>
          <w:szCs w:val="72"/>
        </w:rPr>
        <w:t>垫江</w:t>
      </w:r>
      <w:r>
        <w:rPr>
          <w:rFonts w:ascii="黑体" w:hAnsi="黑体" w:eastAsia="黑体"/>
          <w:sz w:val="72"/>
          <w:szCs w:val="72"/>
        </w:rPr>
        <w:t>县电动机动车公共充电设施专项规划</w:t>
      </w:r>
      <w:r>
        <w:rPr>
          <w:rFonts w:hint="eastAsia" w:ascii="黑体" w:hAnsi="黑体" w:eastAsia="黑体"/>
          <w:sz w:val="72"/>
          <w:szCs w:val="72"/>
        </w:rPr>
        <w:t>（</w:t>
      </w:r>
      <w:r>
        <w:rPr>
          <w:rFonts w:ascii="黑体" w:hAnsi="黑体" w:eastAsia="黑体"/>
          <w:sz w:val="72"/>
          <w:szCs w:val="72"/>
        </w:rPr>
        <w:t>2023</w:t>
      </w:r>
      <w:r>
        <w:rPr>
          <w:rFonts w:hint="eastAsia" w:ascii="黑体" w:hAnsi="黑体" w:eastAsia="黑体"/>
          <w:sz w:val="72"/>
          <w:szCs w:val="72"/>
          <w:lang w:eastAsia="zh-CN"/>
        </w:rPr>
        <w:t>—</w:t>
      </w:r>
      <w:r>
        <w:rPr>
          <w:rFonts w:ascii="黑体" w:hAnsi="黑体" w:eastAsia="黑体"/>
          <w:sz w:val="72"/>
          <w:szCs w:val="72"/>
        </w:rPr>
        <w:t>2027</w:t>
      </w:r>
      <w:r>
        <w:rPr>
          <w:rFonts w:hint="eastAsia" w:ascii="黑体" w:hAnsi="黑体" w:eastAsia="黑体"/>
          <w:sz w:val="72"/>
          <w:szCs w:val="72"/>
        </w:rPr>
        <w:t>年）</w:t>
      </w:r>
    </w:p>
    <w:p>
      <w:pPr>
        <w:ind w:firstLine="0" w:firstLineChars="0"/>
        <w:jc w:val="center"/>
        <w:rPr>
          <w:sz w:val="72"/>
        </w:rPr>
      </w:pPr>
    </w:p>
    <w:p>
      <w:pPr>
        <w:ind w:firstLine="0" w:firstLineChars="0"/>
        <w:jc w:val="center"/>
        <w:rPr>
          <w:sz w:val="72"/>
        </w:rPr>
      </w:pPr>
    </w:p>
    <w:p>
      <w:pPr>
        <w:pStyle w:val="25"/>
        <w:numPr>
          <w:ilvl w:val="0"/>
          <w:numId w:val="1"/>
        </w:numPr>
        <w:ind w:firstLineChars="0"/>
        <w:jc w:val="center"/>
        <w:rPr>
          <w:rFonts w:ascii="黑体" w:hAnsi="黑体" w:eastAsia="黑体"/>
          <w:sz w:val="56"/>
          <w:szCs w:val="22"/>
        </w:rPr>
      </w:pPr>
      <w:r>
        <w:rPr>
          <w:rFonts w:hint="eastAsia" w:ascii="黑体" w:hAnsi="黑体" w:eastAsia="黑体"/>
          <w:sz w:val="56"/>
          <w:szCs w:val="22"/>
        </w:rPr>
        <w:t>文  本</w:t>
      </w:r>
    </w:p>
    <w:p>
      <w:pPr>
        <w:pStyle w:val="25"/>
        <w:numPr>
          <w:ilvl w:val="0"/>
          <w:numId w:val="1"/>
        </w:numPr>
        <w:ind w:firstLineChars="0"/>
        <w:jc w:val="center"/>
        <w:rPr>
          <w:rFonts w:ascii="黑体" w:hAnsi="黑体" w:eastAsia="黑体"/>
          <w:sz w:val="56"/>
          <w:szCs w:val="22"/>
        </w:rPr>
      </w:pPr>
      <w:r>
        <w:rPr>
          <w:rFonts w:hint="eastAsia" w:ascii="黑体" w:hAnsi="黑体" w:eastAsia="黑体"/>
          <w:sz w:val="56"/>
          <w:szCs w:val="22"/>
        </w:rPr>
        <w:t xml:space="preserve">图 </w:t>
      </w:r>
      <w:r>
        <w:rPr>
          <w:rFonts w:ascii="黑体" w:hAnsi="黑体" w:eastAsia="黑体"/>
          <w:sz w:val="56"/>
          <w:szCs w:val="22"/>
        </w:rPr>
        <w:t xml:space="preserve"> </w:t>
      </w:r>
      <w:r>
        <w:rPr>
          <w:rFonts w:hint="eastAsia" w:ascii="黑体" w:hAnsi="黑体" w:eastAsia="黑体"/>
          <w:sz w:val="56"/>
          <w:szCs w:val="22"/>
        </w:rPr>
        <w:t>纸</w:t>
      </w:r>
    </w:p>
    <w:p>
      <w:pPr>
        <w:pStyle w:val="25"/>
        <w:ind w:left="440" w:firstLine="0" w:firstLineChars="0"/>
        <w:rPr>
          <w:rFonts w:ascii="黑体" w:hAnsi="黑体" w:eastAsia="黑体"/>
          <w:sz w:val="56"/>
          <w:szCs w:val="22"/>
        </w:rPr>
      </w:pPr>
    </w:p>
    <w:p>
      <w:pPr>
        <w:ind w:firstLine="0" w:firstLineChars="0"/>
        <w:jc w:val="center"/>
        <w:rPr>
          <w:sz w:val="72"/>
        </w:rPr>
      </w:pPr>
    </w:p>
    <w:p>
      <w:pPr>
        <w:ind w:firstLine="0" w:firstLineChars="0"/>
        <w:jc w:val="center"/>
        <w:rPr>
          <w:sz w:val="72"/>
        </w:rPr>
      </w:pPr>
    </w:p>
    <w:p>
      <w:pPr>
        <w:ind w:firstLine="0" w:firstLineChars="0"/>
        <w:jc w:val="center"/>
        <w:rPr>
          <w:sz w:val="72"/>
        </w:rPr>
      </w:pPr>
    </w:p>
    <w:p>
      <w:pPr>
        <w:ind w:firstLine="0" w:firstLineChars="0"/>
        <w:jc w:val="center"/>
        <w:rPr>
          <w:rFonts w:ascii="黑体" w:hAnsi="黑体" w:eastAsia="黑体"/>
          <w:sz w:val="52"/>
          <w:szCs w:val="21"/>
        </w:rPr>
      </w:pPr>
      <w:r>
        <w:rPr>
          <w:rFonts w:hint="eastAsia" w:ascii="黑体" w:hAnsi="黑体" w:eastAsia="黑体"/>
          <w:sz w:val="52"/>
          <w:szCs w:val="21"/>
          <w:lang w:eastAsia="zh-CN"/>
        </w:rPr>
        <w:t>二〇</w:t>
      </w:r>
      <w:r>
        <w:rPr>
          <w:rFonts w:hint="eastAsia" w:ascii="黑体" w:hAnsi="黑体" w:eastAsia="黑体"/>
          <w:sz w:val="52"/>
          <w:szCs w:val="21"/>
        </w:rPr>
        <w:t>二四</w:t>
      </w:r>
      <w:r>
        <w:rPr>
          <w:rFonts w:ascii="黑体" w:hAnsi="黑体" w:eastAsia="黑体"/>
          <w:sz w:val="52"/>
          <w:szCs w:val="21"/>
        </w:rPr>
        <w:t>年</w:t>
      </w:r>
      <w:r>
        <w:rPr>
          <w:rFonts w:hint="eastAsia" w:ascii="黑体" w:hAnsi="黑体" w:eastAsia="黑体"/>
          <w:sz w:val="52"/>
          <w:szCs w:val="21"/>
          <w:lang w:val="en-US" w:eastAsia="zh-CN"/>
        </w:rPr>
        <w:t>六</w:t>
      </w:r>
      <w:r>
        <w:rPr>
          <w:rFonts w:ascii="黑体" w:hAnsi="黑体" w:eastAsia="黑体"/>
          <w:sz w:val="52"/>
          <w:szCs w:val="21"/>
        </w:rPr>
        <w:t>月</w:t>
      </w:r>
    </w:p>
    <w:p>
      <w:pPr>
        <w:ind w:firstLine="0" w:firstLineChars="0"/>
        <w:jc w:val="center"/>
      </w:pPr>
    </w:p>
    <w:p>
      <w:pPr>
        <w:ind w:firstLine="0" w:firstLineChars="0"/>
        <w:jc w:val="center"/>
      </w:pPr>
    </w:p>
    <w:p>
      <w:pPr>
        <w:ind w:firstLine="0" w:firstLineChars="0"/>
        <w:jc w:val="center"/>
        <w:rPr>
          <w:rFonts w:ascii="黑体" w:hAnsi="黑体" w:eastAsia="黑体"/>
          <w:sz w:val="56"/>
          <w:szCs w:val="22"/>
        </w:rPr>
      </w:pPr>
    </w:p>
    <w:p>
      <w:pPr>
        <w:ind w:firstLine="0" w:firstLineChars="0"/>
        <w:jc w:val="center"/>
        <w:rPr>
          <w:rFonts w:ascii="黑体" w:hAnsi="黑体" w:eastAsia="黑体"/>
          <w:sz w:val="56"/>
          <w:szCs w:val="22"/>
        </w:rPr>
      </w:pPr>
    </w:p>
    <w:p>
      <w:pPr>
        <w:ind w:firstLine="0" w:firstLineChars="0"/>
        <w:jc w:val="center"/>
        <w:rPr>
          <w:rFonts w:ascii="黑体" w:hAnsi="黑体" w:eastAsia="黑体"/>
          <w:sz w:val="56"/>
          <w:szCs w:val="22"/>
        </w:rPr>
      </w:pPr>
    </w:p>
    <w:p>
      <w:pPr>
        <w:ind w:firstLine="0" w:firstLineChars="0"/>
        <w:jc w:val="center"/>
        <w:rPr>
          <w:rFonts w:ascii="黑体" w:hAnsi="黑体" w:eastAsia="黑体"/>
          <w:sz w:val="56"/>
          <w:szCs w:val="22"/>
        </w:rPr>
      </w:pPr>
    </w:p>
    <w:p>
      <w:pPr>
        <w:ind w:firstLine="0" w:firstLineChars="0"/>
        <w:jc w:val="center"/>
        <w:rPr>
          <w:rFonts w:ascii="黑体" w:hAnsi="黑体" w:eastAsia="黑体"/>
          <w:sz w:val="72"/>
        </w:rPr>
        <w:sectPr>
          <w:headerReference r:id="rId7" w:type="first"/>
          <w:footerReference r:id="rId10" w:type="first"/>
          <w:headerReference r:id="rId5" w:type="default"/>
          <w:footerReference r:id="rId8" w:type="default"/>
          <w:headerReference r:id="rId6" w:type="even"/>
          <w:footerReference r:id="rId9" w:type="even"/>
          <w:pgSz w:w="23814" w:h="16839" w:orient="landscape"/>
          <w:pgMar w:top="1800" w:right="1440" w:bottom="1800" w:left="1440" w:header="851" w:footer="992" w:gutter="0"/>
          <w:cols w:space="425" w:num="1"/>
          <w:docGrid w:type="lines" w:linePitch="326" w:charSpace="0"/>
        </w:sectPr>
      </w:pPr>
      <w:r>
        <w:rPr>
          <w:rFonts w:hint="eastAsia" w:ascii="黑体" w:hAnsi="黑体" w:eastAsia="黑体"/>
          <w:sz w:val="72"/>
        </w:rPr>
        <w:t>规划文本</w:t>
      </w:r>
    </w:p>
    <w:p>
      <w:pPr>
        <w:ind w:firstLine="0" w:firstLineChars="0"/>
        <w:jc w:val="center"/>
      </w:pPr>
    </w:p>
    <w:p>
      <w:pPr>
        <w:pStyle w:val="24"/>
        <w:jc w:val="center"/>
        <w:rPr>
          <w:color w:val="auto"/>
          <w:sz w:val="36"/>
        </w:rPr>
      </w:pPr>
      <w:r>
        <w:rPr>
          <w:b/>
          <w:color w:val="auto"/>
          <w:sz w:val="36"/>
          <w:lang w:val="zh-CN"/>
        </w:rPr>
        <w:t>目</w:t>
      </w:r>
      <w:r>
        <w:rPr>
          <w:rFonts w:hint="eastAsia"/>
          <w:b/>
          <w:color w:val="auto"/>
          <w:sz w:val="36"/>
          <w:lang w:val="zh-CN"/>
        </w:rPr>
        <w:t xml:space="preserve"> </w:t>
      </w:r>
      <w:r>
        <w:rPr>
          <w:b/>
          <w:color w:val="auto"/>
          <w:sz w:val="36"/>
          <w:lang w:val="zh-CN"/>
        </w:rPr>
        <w:t>录</w:t>
      </w:r>
    </w:p>
    <w:p>
      <w:pPr>
        <w:pStyle w:val="6"/>
        <w:tabs>
          <w:tab w:val="right" w:leader="dot" w:pos="10244"/>
        </w:tabs>
        <w:ind w:left="0" w:leftChars="0" w:firstLine="0" w:firstLineChars="0"/>
        <w:rPr>
          <w:rFonts w:ascii="Calibri" w:hAnsi="Calibri" w:cs="宋体"/>
          <w:sz w:val="22"/>
          <w14:ligatures w14:val="standardContextual"/>
        </w:rPr>
      </w:pPr>
      <w:r>
        <w:rPr>
          <w:sz w:val="28"/>
        </w:rPr>
        <w:fldChar w:fldCharType="begin"/>
      </w:r>
      <w:r>
        <w:rPr>
          <w:sz w:val="28"/>
        </w:rPr>
        <w:instrText xml:space="preserve"> TOC \o "1-3" \h \z \u </w:instrText>
      </w:r>
      <w:r>
        <w:rPr>
          <w:sz w:val="28"/>
        </w:rPr>
        <w:fldChar w:fldCharType="separate"/>
      </w:r>
      <w:r>
        <w:fldChar w:fldCharType="begin"/>
      </w:r>
      <w:r>
        <w:instrText xml:space="preserve"> HYPERLINK \l "_Toc157635362" </w:instrText>
      </w:r>
      <w:r>
        <w:fldChar w:fldCharType="separate"/>
      </w:r>
      <w:r>
        <w:rPr>
          <w:rStyle w:val="17"/>
          <w:color w:val="auto"/>
          <w:sz w:val="28"/>
          <w:szCs w:val="28"/>
        </w:rPr>
        <w:t>第一章 总 则</w:t>
      </w:r>
      <w:r>
        <w:rPr>
          <w:sz w:val="28"/>
          <w:szCs w:val="28"/>
        </w:rPr>
        <w:tab/>
      </w:r>
      <w:r>
        <w:rPr>
          <w:sz w:val="28"/>
          <w:szCs w:val="28"/>
        </w:rPr>
        <w:fldChar w:fldCharType="begin"/>
      </w:r>
      <w:r>
        <w:rPr>
          <w:sz w:val="28"/>
          <w:szCs w:val="28"/>
        </w:rPr>
        <w:instrText xml:space="preserve"> PAGEREF _Toc157635362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"_Toc157635363" </w:instrText>
      </w:r>
      <w:r>
        <w:fldChar w:fldCharType="separate"/>
      </w:r>
      <w:r>
        <w:rPr>
          <w:rStyle w:val="17"/>
          <w:color w:val="auto"/>
          <w:sz w:val="28"/>
          <w:szCs w:val="28"/>
        </w:rPr>
        <w:t>第二章 垫江县充换电基础设施现状</w:t>
      </w:r>
      <w:r>
        <w:rPr>
          <w:sz w:val="28"/>
          <w:szCs w:val="28"/>
        </w:rPr>
        <w:tab/>
      </w:r>
      <w:r>
        <w:rPr>
          <w:sz w:val="28"/>
          <w:szCs w:val="28"/>
        </w:rPr>
        <w:fldChar w:fldCharType="begin"/>
      </w:r>
      <w:r>
        <w:rPr>
          <w:sz w:val="28"/>
          <w:szCs w:val="28"/>
        </w:rPr>
        <w:instrText xml:space="preserve"> PAGEREF _Toc157635363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"_Toc157635364" </w:instrText>
      </w:r>
      <w:r>
        <w:fldChar w:fldCharType="separate"/>
      </w:r>
      <w:r>
        <w:rPr>
          <w:rStyle w:val="17"/>
          <w:color w:val="auto"/>
          <w:sz w:val="28"/>
          <w:szCs w:val="28"/>
        </w:rPr>
        <w:t>第三章 垫江县充换电基础设施预测</w:t>
      </w:r>
      <w:r>
        <w:rPr>
          <w:sz w:val="28"/>
          <w:szCs w:val="28"/>
        </w:rPr>
        <w:tab/>
      </w:r>
      <w:r>
        <w:rPr>
          <w:sz w:val="28"/>
          <w:szCs w:val="28"/>
        </w:rPr>
        <w:fldChar w:fldCharType="begin"/>
      </w:r>
      <w:r>
        <w:rPr>
          <w:sz w:val="28"/>
          <w:szCs w:val="28"/>
        </w:rPr>
        <w:instrText xml:space="preserve"> PAGEREF _Toc157635364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"_Toc157635365" </w:instrText>
      </w:r>
      <w:r>
        <w:fldChar w:fldCharType="separate"/>
      </w:r>
      <w:r>
        <w:rPr>
          <w:rStyle w:val="17"/>
          <w:color w:val="auto"/>
          <w:sz w:val="28"/>
          <w:szCs w:val="28"/>
        </w:rPr>
        <w:t>第四章 垫江县充换电基础设施规划</w:t>
      </w:r>
      <w:r>
        <w:rPr>
          <w:sz w:val="28"/>
          <w:szCs w:val="28"/>
        </w:rPr>
        <w:tab/>
      </w:r>
      <w:r>
        <w:rPr>
          <w:sz w:val="28"/>
          <w:szCs w:val="28"/>
        </w:rPr>
        <w:fldChar w:fldCharType="begin"/>
      </w:r>
      <w:r>
        <w:rPr>
          <w:sz w:val="28"/>
          <w:szCs w:val="28"/>
        </w:rPr>
        <w:instrText xml:space="preserve"> PAGEREF _Toc157635365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"_Toc157635366" </w:instrText>
      </w:r>
      <w:r>
        <w:fldChar w:fldCharType="separate"/>
      </w:r>
      <w:r>
        <w:rPr>
          <w:rStyle w:val="17"/>
          <w:color w:val="auto"/>
          <w:sz w:val="28"/>
          <w:szCs w:val="28"/>
        </w:rPr>
        <w:t>第五章 垫江县充换电设施重点任务</w:t>
      </w:r>
      <w:r>
        <w:rPr>
          <w:sz w:val="28"/>
          <w:szCs w:val="28"/>
        </w:rPr>
        <w:tab/>
      </w:r>
      <w:r>
        <w:rPr>
          <w:sz w:val="28"/>
          <w:szCs w:val="28"/>
        </w:rPr>
        <w:fldChar w:fldCharType="begin"/>
      </w:r>
      <w:r>
        <w:rPr>
          <w:sz w:val="28"/>
          <w:szCs w:val="28"/>
        </w:rPr>
        <w:instrText xml:space="preserve"> PAGEREF _Toc157635366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"_Toc157635367" </w:instrText>
      </w:r>
      <w:r>
        <w:fldChar w:fldCharType="separate"/>
      </w:r>
      <w:r>
        <w:rPr>
          <w:rStyle w:val="17"/>
          <w:color w:val="auto"/>
          <w:sz w:val="28"/>
          <w:szCs w:val="28"/>
        </w:rPr>
        <w:t>第六章 环境影响评价</w:t>
      </w:r>
      <w:r>
        <w:rPr>
          <w:sz w:val="28"/>
          <w:szCs w:val="28"/>
        </w:rPr>
        <w:tab/>
      </w:r>
      <w:r>
        <w:rPr>
          <w:sz w:val="28"/>
          <w:szCs w:val="28"/>
        </w:rPr>
        <w:fldChar w:fldCharType="begin"/>
      </w:r>
      <w:r>
        <w:rPr>
          <w:sz w:val="28"/>
          <w:szCs w:val="28"/>
        </w:rPr>
        <w:instrText xml:space="preserve"> PAGEREF _Toc157635367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"_Toc157635368" </w:instrText>
      </w:r>
      <w:r>
        <w:fldChar w:fldCharType="separate"/>
      </w:r>
      <w:r>
        <w:rPr>
          <w:rStyle w:val="17"/>
          <w:color w:val="auto"/>
          <w:sz w:val="28"/>
          <w:szCs w:val="28"/>
        </w:rPr>
        <w:t>第七章 规划实施建议</w:t>
      </w:r>
      <w:r>
        <w:rPr>
          <w:sz w:val="28"/>
          <w:szCs w:val="28"/>
        </w:rPr>
        <w:tab/>
      </w:r>
      <w:r>
        <w:rPr>
          <w:sz w:val="28"/>
          <w:szCs w:val="28"/>
        </w:rPr>
        <w:fldChar w:fldCharType="begin"/>
      </w:r>
      <w:r>
        <w:rPr>
          <w:sz w:val="28"/>
          <w:szCs w:val="28"/>
        </w:rPr>
        <w:instrText xml:space="preserve"> PAGEREF _Toc157635368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"_Toc157635369" </w:instrText>
      </w:r>
      <w:r>
        <w:fldChar w:fldCharType="separate"/>
      </w:r>
      <w:r>
        <w:rPr>
          <w:rStyle w:val="17"/>
          <w:color w:val="auto"/>
          <w:sz w:val="28"/>
          <w:szCs w:val="28"/>
        </w:rPr>
        <w:t>附表1 一类区规划公共充电站一览表</w:t>
      </w:r>
      <w:r>
        <w:rPr>
          <w:sz w:val="28"/>
          <w:szCs w:val="28"/>
        </w:rPr>
        <w:tab/>
      </w:r>
      <w:r>
        <w:rPr>
          <w:sz w:val="28"/>
          <w:szCs w:val="28"/>
        </w:rPr>
        <w:fldChar w:fldCharType="begin"/>
      </w:r>
      <w:r>
        <w:rPr>
          <w:sz w:val="28"/>
          <w:szCs w:val="28"/>
        </w:rPr>
        <w:instrText xml:space="preserve"> PAGEREF _Toc157635369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"_Toc157635370" </w:instrText>
      </w:r>
      <w:r>
        <w:fldChar w:fldCharType="separate"/>
      </w:r>
      <w:r>
        <w:rPr>
          <w:rStyle w:val="17"/>
          <w:color w:val="auto"/>
          <w:sz w:val="28"/>
          <w:szCs w:val="28"/>
        </w:rPr>
        <w:t>附表2 二类区和三类区规划公共充电站一览表</w:t>
      </w:r>
      <w:r>
        <w:rPr>
          <w:sz w:val="28"/>
          <w:szCs w:val="28"/>
        </w:rPr>
        <w:tab/>
      </w:r>
      <w:r>
        <w:rPr>
          <w:sz w:val="28"/>
          <w:szCs w:val="28"/>
        </w:rPr>
        <w:fldChar w:fldCharType="begin"/>
      </w:r>
      <w:r>
        <w:rPr>
          <w:sz w:val="28"/>
          <w:szCs w:val="28"/>
        </w:rPr>
        <w:instrText xml:space="preserve"> PAGEREF _Toc157635370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"_Toc157635371" </w:instrText>
      </w:r>
      <w:r>
        <w:fldChar w:fldCharType="separate"/>
      </w:r>
      <w:r>
        <w:rPr>
          <w:rStyle w:val="17"/>
          <w:color w:val="auto"/>
          <w:sz w:val="28"/>
          <w:szCs w:val="28"/>
        </w:rPr>
        <w:t>附表3 规划专用充换电站一览表</w:t>
      </w:r>
      <w:r>
        <w:rPr>
          <w:sz w:val="28"/>
          <w:szCs w:val="28"/>
        </w:rPr>
        <w:tab/>
      </w:r>
      <w:r>
        <w:rPr>
          <w:sz w:val="28"/>
          <w:szCs w:val="28"/>
        </w:rPr>
        <w:fldChar w:fldCharType="begin"/>
      </w:r>
      <w:r>
        <w:rPr>
          <w:sz w:val="28"/>
          <w:szCs w:val="28"/>
        </w:rPr>
        <w:instrText xml:space="preserve"> PAGEREF _Toc157635371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2"/>
          <w14:ligatures w14:val="standardContextual"/>
        </w:rPr>
      </w:pPr>
      <w:r>
        <w:fldChar w:fldCharType="begin"/>
      </w:r>
      <w:r>
        <w:instrText xml:space="preserve"> HYPERLINK \l "_Toc157635372" </w:instrText>
      </w:r>
      <w:r>
        <w:fldChar w:fldCharType="separate"/>
      </w:r>
      <w:r>
        <w:rPr>
          <w:rStyle w:val="17"/>
          <w:color w:val="auto"/>
          <w:sz w:val="28"/>
          <w:szCs w:val="28"/>
        </w:rPr>
        <w:t>附表4 储备公共充电站一览表</w:t>
      </w:r>
      <w:r>
        <w:rPr>
          <w:sz w:val="28"/>
          <w:szCs w:val="28"/>
        </w:rPr>
        <w:tab/>
      </w:r>
      <w:r>
        <w:rPr>
          <w:sz w:val="28"/>
          <w:szCs w:val="28"/>
        </w:rPr>
        <w:fldChar w:fldCharType="begin"/>
      </w:r>
      <w:r>
        <w:rPr>
          <w:sz w:val="28"/>
          <w:szCs w:val="28"/>
        </w:rPr>
        <w:instrText xml:space="preserve"> PAGEREF _Toc157635372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6"/>
        <w:tabs>
          <w:tab w:val="right" w:leader="dot" w:pos="10244"/>
        </w:tabs>
        <w:ind w:left="0" w:leftChars="0" w:firstLine="0" w:firstLineChars="0"/>
        <w:rPr>
          <w:rFonts w:ascii="Calibri" w:hAnsi="Calibri" w:cs="宋体"/>
          <w:sz w:val="21"/>
          <w:szCs w:val="22"/>
          <w14:ligatures w14:val="standardContextual"/>
        </w:rPr>
      </w:pPr>
      <w:r>
        <w:fldChar w:fldCharType="begin"/>
      </w:r>
      <w:r>
        <w:instrText xml:space="preserve"> HYPERLINK \l "_Toc157635373" </w:instrText>
      </w:r>
      <w:r>
        <w:fldChar w:fldCharType="separate"/>
      </w:r>
      <w:r>
        <w:rPr>
          <w:rStyle w:val="17"/>
          <w:color w:val="auto"/>
          <w:sz w:val="28"/>
          <w:szCs w:val="28"/>
        </w:rPr>
        <w:t>附表5 公共充电设施统计表</w:t>
      </w:r>
      <w:r>
        <w:rPr>
          <w:sz w:val="28"/>
          <w:szCs w:val="28"/>
        </w:rPr>
        <w:tab/>
      </w:r>
      <w:r>
        <w:rPr>
          <w:sz w:val="28"/>
          <w:szCs w:val="28"/>
        </w:rPr>
        <w:fldChar w:fldCharType="begin"/>
      </w:r>
      <w:r>
        <w:rPr>
          <w:sz w:val="28"/>
          <w:szCs w:val="28"/>
        </w:rPr>
        <w:instrText xml:space="preserve"> PAGEREF _Toc157635373 \h </w:instrText>
      </w:r>
      <w:r>
        <w:rPr>
          <w:sz w:val="28"/>
          <w:szCs w:val="28"/>
        </w:rPr>
        <w:fldChar w:fldCharType="separate"/>
      </w:r>
      <w:r>
        <w:rPr>
          <w:sz w:val="28"/>
          <w:szCs w:val="28"/>
        </w:rPr>
        <w:t>17</w:t>
      </w:r>
      <w:r>
        <w:rPr>
          <w:sz w:val="28"/>
          <w:szCs w:val="28"/>
        </w:rPr>
        <w:fldChar w:fldCharType="end"/>
      </w:r>
      <w:r>
        <w:rPr>
          <w:sz w:val="28"/>
          <w:szCs w:val="28"/>
        </w:rPr>
        <w:fldChar w:fldCharType="end"/>
      </w:r>
    </w:p>
    <w:p>
      <w:pPr>
        <w:ind w:firstLine="0" w:firstLineChars="0"/>
      </w:pPr>
      <w:r>
        <w:rPr>
          <w:b/>
          <w:bCs/>
          <w:sz w:val="28"/>
          <w:lang w:val="zh-CN"/>
        </w:rPr>
        <w:fldChar w:fldCharType="end"/>
      </w:r>
    </w:p>
    <w:p>
      <w:pPr>
        <w:ind w:firstLine="0" w:firstLineChars="0"/>
        <w:jc w:val="center"/>
      </w:pPr>
    </w:p>
    <w:p>
      <w:pPr>
        <w:ind w:firstLine="480"/>
      </w:pPr>
    </w:p>
    <w:p>
      <w:pPr>
        <w:ind w:firstLine="480"/>
      </w:pPr>
    </w:p>
    <w:p>
      <w:pPr>
        <w:ind w:firstLine="480"/>
      </w:pPr>
    </w:p>
    <w:p>
      <w:pPr>
        <w:ind w:firstLine="480"/>
        <w:sectPr>
          <w:pgSz w:w="23814" w:h="16839" w:orient="landscape"/>
          <w:pgMar w:top="1800" w:right="1440" w:bottom="1800" w:left="1440" w:header="851" w:footer="992" w:gutter="0"/>
          <w:cols w:space="425" w:num="2"/>
          <w:docGrid w:type="lines" w:linePitch="326" w:charSpace="0"/>
        </w:sectPr>
      </w:pPr>
    </w:p>
    <w:p>
      <w:pPr>
        <w:pStyle w:val="3"/>
        <w:spacing w:before="120" w:after="120" w:line="415" w:lineRule="auto"/>
        <w:ind w:firstLine="0" w:firstLineChars="0"/>
        <w:jc w:val="center"/>
        <w:rPr>
          <w:rFonts w:ascii="Times New Roman" w:hAnsi="Times New Roman" w:cs="Times New Roman"/>
        </w:rPr>
      </w:pPr>
      <w:bookmarkStart w:id="2" w:name="_Toc157635362"/>
      <w:r>
        <w:rPr>
          <w:rFonts w:ascii="Times New Roman" w:hAnsi="Times New Roman" w:cs="Times New Roman"/>
          <w:sz w:val="36"/>
        </w:rPr>
        <w:t xml:space="preserve">第一章 </w:t>
      </w:r>
      <w:bookmarkEnd w:id="0"/>
      <w:r>
        <w:rPr>
          <w:rFonts w:ascii="Times New Roman" w:hAnsi="Times New Roman" w:cs="Times New Roman"/>
          <w:sz w:val="36"/>
        </w:rPr>
        <w:t>总 则</w:t>
      </w:r>
      <w:bookmarkEnd w:id="1"/>
      <w:bookmarkEnd w:id="2"/>
    </w:p>
    <w:p>
      <w:pPr>
        <w:pStyle w:val="18"/>
        <w:numPr>
          <w:ilvl w:val="0"/>
          <w:numId w:val="2"/>
        </w:numPr>
        <w:ind w:firstLineChars="0"/>
        <w:rPr>
          <w:b/>
          <w:color w:val="auto"/>
          <w:sz w:val="22"/>
        </w:rPr>
      </w:pPr>
      <w:r>
        <w:rPr>
          <w:b/>
          <w:color w:val="auto"/>
          <w:sz w:val="28"/>
        </w:rPr>
        <w:t>规划目的</w:t>
      </w:r>
    </w:p>
    <w:p>
      <w:pPr>
        <w:pStyle w:val="18"/>
        <w:ind w:firstLine="560"/>
        <w:rPr>
          <w:color w:val="auto"/>
          <w:sz w:val="22"/>
        </w:rPr>
      </w:pPr>
      <w:r>
        <w:rPr>
          <w:color w:val="auto"/>
          <w:sz w:val="28"/>
        </w:rPr>
        <w:t>为贯彻落实《新能源汽车产业发展规划（2021</w:t>
      </w:r>
      <w:r>
        <w:rPr>
          <w:rFonts w:hint="eastAsia"/>
          <w:color w:val="auto"/>
          <w:sz w:val="28"/>
          <w:lang w:eastAsia="zh-CN"/>
        </w:rPr>
        <w:t>—</w:t>
      </w:r>
      <w:r>
        <w:rPr>
          <w:color w:val="auto"/>
          <w:sz w:val="28"/>
        </w:rPr>
        <w:t>2035年）》（国办发〔2020〕39号）、《进一步提升电动汽车充电基础设施服务保障能力的实施意见》（发改能源〔2022〕53号）</w:t>
      </w:r>
      <w:r>
        <w:rPr>
          <w:rFonts w:hint="eastAsia"/>
          <w:color w:val="auto"/>
          <w:sz w:val="28"/>
        </w:rPr>
        <w:t>、</w:t>
      </w:r>
      <w:r>
        <w:rPr>
          <w:color w:val="auto"/>
          <w:sz w:val="28"/>
        </w:rPr>
        <w:t>《重庆市新型基础设施重大项目建设行动方案（2020</w:t>
      </w:r>
      <w:r>
        <w:rPr>
          <w:rFonts w:hint="eastAsia"/>
          <w:color w:val="auto"/>
          <w:sz w:val="28"/>
          <w:lang w:eastAsia="zh-CN"/>
        </w:rPr>
        <w:t>—</w:t>
      </w:r>
      <w:r>
        <w:rPr>
          <w:color w:val="auto"/>
          <w:sz w:val="28"/>
        </w:rPr>
        <w:t>2025年）》（渝府发〔2020〕18号）、《成渝地区双城经济圈建设规划纲要</w:t>
      </w:r>
      <w:r>
        <w:rPr>
          <w:rFonts w:hint="eastAsia"/>
          <w:color w:val="auto"/>
          <w:sz w:val="28"/>
          <w:lang w:eastAsia="zh-CN"/>
        </w:rPr>
        <w:t>》《</w:t>
      </w:r>
      <w:r>
        <w:rPr>
          <w:color w:val="auto"/>
          <w:sz w:val="28"/>
        </w:rPr>
        <w:t>重庆市国民经济和社会发展第十四个五年规划和二〇三五年远景目标纲要</w:t>
      </w:r>
      <w:r>
        <w:rPr>
          <w:rFonts w:hint="eastAsia"/>
          <w:color w:val="auto"/>
          <w:sz w:val="28"/>
          <w:lang w:eastAsia="zh-CN"/>
        </w:rPr>
        <w:t>》《</w:t>
      </w:r>
      <w:r>
        <w:rPr>
          <w:color w:val="auto"/>
          <w:sz w:val="28"/>
        </w:rPr>
        <w:t>重庆市充电基础设施“十四五”发展规划（2021</w:t>
      </w:r>
      <w:r>
        <w:rPr>
          <w:rFonts w:hint="eastAsia"/>
          <w:color w:val="auto"/>
          <w:sz w:val="28"/>
          <w:lang w:eastAsia="zh-CN"/>
        </w:rPr>
        <w:t>—</w:t>
      </w:r>
      <w:r>
        <w:rPr>
          <w:color w:val="auto"/>
          <w:sz w:val="28"/>
        </w:rPr>
        <w:t>2025年）》等系列文件，结合垫江县实际，制定垫江县电动机动车公共充电设施专项规划。</w:t>
      </w:r>
    </w:p>
    <w:p>
      <w:pPr>
        <w:pStyle w:val="18"/>
        <w:numPr>
          <w:ilvl w:val="0"/>
          <w:numId w:val="2"/>
        </w:numPr>
        <w:ind w:firstLineChars="0"/>
        <w:rPr>
          <w:b/>
          <w:color w:val="auto"/>
        </w:rPr>
      </w:pPr>
      <w:r>
        <w:rPr>
          <w:b/>
          <w:color w:val="auto"/>
          <w:sz w:val="28"/>
        </w:rPr>
        <w:t>规划依据</w:t>
      </w:r>
    </w:p>
    <w:p>
      <w:pPr>
        <w:pStyle w:val="18"/>
        <w:numPr>
          <w:ilvl w:val="0"/>
          <w:numId w:val="3"/>
        </w:numPr>
        <w:ind w:left="240" w:leftChars="100" w:firstLineChars="0"/>
        <w:rPr>
          <w:color w:val="auto"/>
          <w:sz w:val="28"/>
        </w:rPr>
      </w:pPr>
      <w:r>
        <w:rPr>
          <w:rFonts w:hint="eastAsia"/>
          <w:color w:val="auto"/>
          <w:sz w:val="28"/>
        </w:rPr>
        <w:t>《中华人民共和国土地管理法》</w:t>
      </w:r>
    </w:p>
    <w:p>
      <w:pPr>
        <w:pStyle w:val="18"/>
        <w:numPr>
          <w:ilvl w:val="0"/>
          <w:numId w:val="3"/>
        </w:numPr>
        <w:ind w:left="240" w:leftChars="100" w:firstLineChars="0"/>
        <w:rPr>
          <w:color w:val="auto"/>
          <w:sz w:val="28"/>
        </w:rPr>
      </w:pPr>
      <w:r>
        <w:rPr>
          <w:rFonts w:hint="eastAsia"/>
          <w:color w:val="auto"/>
          <w:sz w:val="28"/>
        </w:rPr>
        <w:t>《中华人民共和国城乡规划法》</w:t>
      </w:r>
    </w:p>
    <w:p>
      <w:pPr>
        <w:pStyle w:val="18"/>
        <w:numPr>
          <w:ilvl w:val="0"/>
          <w:numId w:val="3"/>
        </w:numPr>
        <w:ind w:left="240" w:leftChars="100" w:firstLineChars="0"/>
        <w:rPr>
          <w:color w:val="auto"/>
          <w:sz w:val="28"/>
        </w:rPr>
      </w:pPr>
      <w:r>
        <w:rPr>
          <w:color w:val="auto"/>
          <w:sz w:val="28"/>
        </w:rPr>
        <w:t>《关于进一步做好新能源汽车推广应用工作的通知》（财建〔2014〕11号）</w:t>
      </w:r>
    </w:p>
    <w:p>
      <w:pPr>
        <w:pStyle w:val="18"/>
        <w:numPr>
          <w:ilvl w:val="0"/>
          <w:numId w:val="3"/>
        </w:numPr>
        <w:ind w:left="240" w:leftChars="100" w:firstLineChars="0"/>
        <w:rPr>
          <w:color w:val="auto"/>
          <w:sz w:val="28"/>
        </w:rPr>
      </w:pPr>
      <w:r>
        <w:rPr>
          <w:rFonts w:hint="eastAsia"/>
          <w:color w:val="auto"/>
          <w:sz w:val="28"/>
        </w:rPr>
        <w:t>《国务院办公厅关于加快新能源汽车推广应用的指导意见》（国办发〔2015〕73号）</w:t>
      </w:r>
    </w:p>
    <w:p>
      <w:pPr>
        <w:pStyle w:val="18"/>
        <w:numPr>
          <w:ilvl w:val="0"/>
          <w:numId w:val="3"/>
        </w:numPr>
        <w:ind w:left="240" w:leftChars="100" w:firstLineChars="0"/>
        <w:rPr>
          <w:color w:val="auto"/>
          <w:sz w:val="28"/>
        </w:rPr>
      </w:pPr>
      <w:r>
        <w:rPr>
          <w:rFonts w:hint="eastAsia"/>
          <w:color w:val="auto"/>
          <w:sz w:val="28"/>
        </w:rPr>
        <w:t>《交通运输部关于加快推进新能源汽车在交通运输行业推广应用的实施意见》（交运发〔2015〕34号）</w:t>
      </w:r>
    </w:p>
    <w:p>
      <w:pPr>
        <w:pStyle w:val="18"/>
        <w:numPr>
          <w:ilvl w:val="0"/>
          <w:numId w:val="3"/>
        </w:numPr>
        <w:ind w:left="240" w:leftChars="100" w:firstLineChars="0"/>
        <w:rPr>
          <w:color w:val="auto"/>
          <w:sz w:val="28"/>
        </w:rPr>
      </w:pPr>
      <w:r>
        <w:rPr>
          <w:rFonts w:hint="eastAsia"/>
          <w:color w:val="auto"/>
          <w:sz w:val="28"/>
        </w:rPr>
        <w:t>《关于印发新能源汽车产业发展规划（2021</w:t>
      </w:r>
      <w:r>
        <w:rPr>
          <w:rFonts w:hint="eastAsia"/>
          <w:color w:val="auto"/>
          <w:sz w:val="28"/>
          <w:lang w:eastAsia="zh-CN"/>
        </w:rPr>
        <w:t>—</w:t>
      </w:r>
      <w:r>
        <w:rPr>
          <w:rFonts w:hint="eastAsia"/>
          <w:color w:val="auto"/>
          <w:sz w:val="28"/>
        </w:rPr>
        <w:t>2035年）的通知》（国办发〔2020〕39号）</w:t>
      </w:r>
    </w:p>
    <w:p>
      <w:pPr>
        <w:pStyle w:val="18"/>
        <w:numPr>
          <w:ilvl w:val="0"/>
          <w:numId w:val="3"/>
        </w:numPr>
        <w:ind w:left="240" w:leftChars="100" w:firstLineChars="0"/>
        <w:rPr>
          <w:color w:val="auto"/>
          <w:sz w:val="28"/>
        </w:rPr>
      </w:pPr>
      <w:r>
        <w:rPr>
          <w:rFonts w:hint="eastAsia"/>
          <w:color w:val="auto"/>
          <w:sz w:val="28"/>
        </w:rPr>
        <w:t>《国家发展改革委等部门关于进一步提升电动汽车充电基础设施服务保障能力的实施意见》（发改能源规〔2022〕53号）</w:t>
      </w:r>
    </w:p>
    <w:p>
      <w:pPr>
        <w:pStyle w:val="18"/>
        <w:numPr>
          <w:ilvl w:val="0"/>
          <w:numId w:val="3"/>
        </w:numPr>
        <w:ind w:left="240" w:leftChars="100" w:firstLineChars="0"/>
        <w:rPr>
          <w:color w:val="auto"/>
          <w:sz w:val="28"/>
        </w:rPr>
      </w:pPr>
      <w:r>
        <w:rPr>
          <w:rFonts w:hint="eastAsia"/>
          <w:color w:val="auto"/>
          <w:sz w:val="28"/>
        </w:rPr>
        <w:t>《重庆市人民政府办公厅关于印发重庆市支持新能源汽车推广应用政策措施（2018</w:t>
      </w:r>
      <w:r>
        <w:rPr>
          <w:rFonts w:hint="eastAsia"/>
          <w:color w:val="auto"/>
          <w:sz w:val="28"/>
          <w:lang w:eastAsia="zh-CN"/>
        </w:rPr>
        <w:t>—</w:t>
      </w:r>
      <w:r>
        <w:rPr>
          <w:rFonts w:hint="eastAsia"/>
          <w:color w:val="auto"/>
          <w:sz w:val="28"/>
        </w:rPr>
        <w:t>2022年）的通知》（渝府办发〔2018〕184号）</w:t>
      </w:r>
    </w:p>
    <w:p>
      <w:pPr>
        <w:pStyle w:val="18"/>
        <w:numPr>
          <w:ilvl w:val="0"/>
          <w:numId w:val="3"/>
        </w:numPr>
        <w:ind w:left="240" w:leftChars="100" w:firstLineChars="0"/>
        <w:rPr>
          <w:color w:val="auto"/>
          <w:sz w:val="28"/>
        </w:rPr>
      </w:pPr>
      <w:r>
        <w:rPr>
          <w:rFonts w:hint="eastAsia"/>
          <w:color w:val="auto"/>
          <w:sz w:val="28"/>
        </w:rPr>
        <w:t>《重庆市支持新能源汽车推广应用激励措施（2020年度）的通知》（渝府办发〔2020〕106号）</w:t>
      </w:r>
    </w:p>
    <w:p>
      <w:pPr>
        <w:pStyle w:val="18"/>
        <w:numPr>
          <w:ilvl w:val="0"/>
          <w:numId w:val="3"/>
        </w:numPr>
        <w:ind w:left="240" w:leftChars="100" w:firstLineChars="0"/>
        <w:rPr>
          <w:color w:val="auto"/>
          <w:sz w:val="28"/>
        </w:rPr>
      </w:pPr>
      <w:r>
        <w:rPr>
          <w:rFonts w:hint="eastAsia"/>
          <w:color w:val="auto"/>
          <w:sz w:val="28"/>
        </w:rPr>
        <w:t>《电动汽车充电基础设施发展指南（2015-2020）》（发改能源〔2015〕1454号）</w:t>
      </w:r>
    </w:p>
    <w:p>
      <w:pPr>
        <w:pStyle w:val="18"/>
        <w:numPr>
          <w:ilvl w:val="0"/>
          <w:numId w:val="3"/>
        </w:numPr>
        <w:ind w:left="240" w:leftChars="100" w:firstLineChars="0"/>
        <w:rPr>
          <w:color w:val="auto"/>
          <w:sz w:val="28"/>
        </w:rPr>
      </w:pPr>
      <w:r>
        <w:rPr>
          <w:rFonts w:hint="eastAsia"/>
          <w:color w:val="auto"/>
          <w:sz w:val="28"/>
        </w:rPr>
        <w:t>《重庆市建设世界级智能网联新能源汽车产业集群发展规划（2022—2030年）》（渝府发〔2022〕38号）</w:t>
      </w:r>
    </w:p>
    <w:p>
      <w:pPr>
        <w:pStyle w:val="18"/>
        <w:numPr>
          <w:ilvl w:val="0"/>
          <w:numId w:val="3"/>
        </w:numPr>
        <w:ind w:left="240" w:leftChars="100" w:firstLineChars="0"/>
        <w:rPr>
          <w:color w:val="auto"/>
          <w:sz w:val="28"/>
        </w:rPr>
      </w:pPr>
      <w:r>
        <w:rPr>
          <w:rFonts w:hint="eastAsia"/>
          <w:color w:val="auto"/>
          <w:sz w:val="28"/>
        </w:rPr>
        <w:t>《重庆市经济和信息化委员会关于印发全市加快建设充换电基础设施工作方案的通知》（渝经信规范〔2022〕9号）</w:t>
      </w:r>
    </w:p>
    <w:p>
      <w:pPr>
        <w:pStyle w:val="18"/>
        <w:numPr>
          <w:ilvl w:val="0"/>
          <w:numId w:val="3"/>
        </w:numPr>
        <w:ind w:left="240" w:leftChars="100" w:firstLineChars="0"/>
        <w:rPr>
          <w:color w:val="auto"/>
          <w:sz w:val="28"/>
        </w:rPr>
      </w:pPr>
      <w:r>
        <w:rPr>
          <w:rFonts w:hint="eastAsia"/>
          <w:color w:val="auto"/>
          <w:sz w:val="28"/>
        </w:rPr>
        <w:t>《重庆市人民政府办公厅关于印发重庆市推进智能网联新能源汽车基础设施建设及服务行动计划（2022</w:t>
      </w:r>
      <w:r>
        <w:rPr>
          <w:rFonts w:hint="eastAsia"/>
          <w:color w:val="auto"/>
          <w:sz w:val="28"/>
          <w:lang w:eastAsia="zh-CN"/>
        </w:rPr>
        <w:t>—</w:t>
      </w:r>
      <w:r>
        <w:rPr>
          <w:rFonts w:hint="eastAsia"/>
          <w:color w:val="auto"/>
          <w:sz w:val="28"/>
        </w:rPr>
        <w:t>2025年）的通知》</w:t>
      </w:r>
    </w:p>
    <w:p>
      <w:pPr>
        <w:pStyle w:val="18"/>
        <w:numPr>
          <w:ilvl w:val="0"/>
          <w:numId w:val="3"/>
        </w:numPr>
        <w:ind w:left="240" w:leftChars="100" w:firstLineChars="0"/>
        <w:rPr>
          <w:color w:val="auto"/>
          <w:sz w:val="28"/>
        </w:rPr>
      </w:pPr>
      <w:r>
        <w:rPr>
          <w:rFonts w:hint="eastAsia"/>
          <w:color w:val="auto"/>
          <w:sz w:val="28"/>
        </w:rPr>
        <w:t>《重庆市城市规划管理技术规定》</w:t>
      </w:r>
    </w:p>
    <w:p>
      <w:pPr>
        <w:pStyle w:val="18"/>
        <w:numPr>
          <w:ilvl w:val="0"/>
          <w:numId w:val="3"/>
        </w:numPr>
        <w:ind w:left="240" w:leftChars="100" w:firstLineChars="0"/>
        <w:rPr>
          <w:color w:val="auto"/>
          <w:sz w:val="28"/>
        </w:rPr>
      </w:pPr>
      <w:r>
        <w:rPr>
          <w:rFonts w:hint="eastAsia"/>
          <w:color w:val="auto"/>
          <w:sz w:val="28"/>
        </w:rPr>
        <w:t>《电动汽车充电站设计规范》（GB50966-2014）</w:t>
      </w:r>
    </w:p>
    <w:p>
      <w:pPr>
        <w:pStyle w:val="18"/>
        <w:numPr>
          <w:ilvl w:val="0"/>
          <w:numId w:val="3"/>
        </w:numPr>
        <w:ind w:left="240" w:leftChars="100" w:firstLineChars="0"/>
        <w:rPr>
          <w:color w:val="auto"/>
          <w:sz w:val="28"/>
        </w:rPr>
      </w:pPr>
      <w:r>
        <w:rPr>
          <w:rFonts w:hint="eastAsia"/>
          <w:color w:val="auto"/>
          <w:sz w:val="28"/>
        </w:rPr>
        <w:t>《重庆市电动汽车充电设施建设技术标准》（DBJ50-218-2020）</w:t>
      </w:r>
    </w:p>
    <w:p>
      <w:pPr>
        <w:pStyle w:val="18"/>
        <w:numPr>
          <w:ilvl w:val="0"/>
          <w:numId w:val="3"/>
        </w:numPr>
        <w:ind w:left="240" w:leftChars="100" w:firstLineChars="0"/>
        <w:rPr>
          <w:color w:val="auto"/>
          <w:sz w:val="28"/>
        </w:rPr>
      </w:pPr>
      <w:r>
        <w:rPr>
          <w:rFonts w:hint="eastAsia"/>
          <w:color w:val="auto"/>
          <w:sz w:val="28"/>
        </w:rPr>
        <w:t>《电动汽车分散充电设施工程技术标准》（GB/T 51313-2018）</w:t>
      </w:r>
    </w:p>
    <w:p>
      <w:pPr>
        <w:pStyle w:val="18"/>
        <w:numPr>
          <w:ilvl w:val="0"/>
          <w:numId w:val="3"/>
        </w:numPr>
        <w:ind w:left="240" w:leftChars="100" w:firstLineChars="0"/>
        <w:rPr>
          <w:color w:val="auto"/>
          <w:sz w:val="28"/>
        </w:rPr>
      </w:pPr>
      <w:r>
        <w:rPr>
          <w:rFonts w:hint="eastAsia"/>
          <w:color w:val="auto"/>
          <w:sz w:val="28"/>
        </w:rPr>
        <w:t>《电动汽车充电设施布局规划导则》</w:t>
      </w:r>
    </w:p>
    <w:p>
      <w:pPr>
        <w:pStyle w:val="18"/>
        <w:numPr>
          <w:ilvl w:val="0"/>
          <w:numId w:val="3"/>
        </w:numPr>
        <w:ind w:left="240" w:leftChars="100" w:firstLineChars="0"/>
        <w:rPr>
          <w:color w:val="auto"/>
          <w:sz w:val="28"/>
        </w:rPr>
      </w:pPr>
      <w:r>
        <w:rPr>
          <w:rFonts w:hint="eastAsia"/>
          <w:color w:val="auto"/>
          <w:sz w:val="28"/>
        </w:rPr>
        <w:t>《垫江县国土空间总体规划（2021</w:t>
      </w:r>
      <w:r>
        <w:rPr>
          <w:rFonts w:hint="eastAsia"/>
          <w:color w:val="auto"/>
          <w:sz w:val="28"/>
          <w:lang w:eastAsia="zh-CN"/>
        </w:rPr>
        <w:t>—</w:t>
      </w:r>
      <w:r>
        <w:rPr>
          <w:rFonts w:hint="eastAsia"/>
          <w:color w:val="auto"/>
          <w:sz w:val="28"/>
        </w:rPr>
        <w:t>2035年）》</w:t>
      </w:r>
    </w:p>
    <w:p>
      <w:pPr>
        <w:pStyle w:val="18"/>
        <w:numPr>
          <w:ilvl w:val="0"/>
          <w:numId w:val="3"/>
        </w:numPr>
        <w:ind w:left="240" w:leftChars="100" w:firstLineChars="0"/>
        <w:rPr>
          <w:color w:val="auto"/>
          <w:sz w:val="28"/>
        </w:rPr>
      </w:pPr>
      <w:r>
        <w:rPr>
          <w:rFonts w:hint="eastAsia"/>
          <w:color w:val="auto"/>
          <w:sz w:val="28"/>
        </w:rPr>
        <w:t>《垫江县城区公共停车场专项规划（2021</w:t>
      </w:r>
      <w:r>
        <w:rPr>
          <w:rFonts w:hint="eastAsia"/>
          <w:color w:val="auto"/>
          <w:sz w:val="28"/>
          <w:lang w:eastAsia="zh-CN"/>
        </w:rPr>
        <w:t>—</w:t>
      </w:r>
      <w:r>
        <w:rPr>
          <w:rFonts w:hint="eastAsia"/>
          <w:color w:val="auto"/>
          <w:sz w:val="28"/>
        </w:rPr>
        <w:t>2025年）》</w:t>
      </w:r>
    </w:p>
    <w:p>
      <w:pPr>
        <w:pStyle w:val="18"/>
        <w:numPr>
          <w:ilvl w:val="0"/>
          <w:numId w:val="3"/>
        </w:numPr>
        <w:ind w:left="240" w:leftChars="100" w:firstLineChars="0"/>
        <w:rPr>
          <w:color w:val="auto"/>
          <w:sz w:val="28"/>
        </w:rPr>
      </w:pPr>
      <w:r>
        <w:rPr>
          <w:rFonts w:hint="eastAsia"/>
          <w:color w:val="auto"/>
          <w:sz w:val="28"/>
        </w:rPr>
        <w:t>《垫江县综合交通运输“十四五”及2035年中长期发展规划》</w:t>
      </w:r>
    </w:p>
    <w:p>
      <w:pPr>
        <w:pStyle w:val="18"/>
        <w:numPr>
          <w:ilvl w:val="0"/>
          <w:numId w:val="3"/>
        </w:numPr>
        <w:ind w:left="240" w:leftChars="100" w:firstLineChars="0"/>
        <w:rPr>
          <w:color w:val="auto"/>
          <w:sz w:val="28"/>
        </w:rPr>
      </w:pPr>
      <w:r>
        <w:rPr>
          <w:rFonts w:hint="eastAsia"/>
          <w:color w:val="auto"/>
          <w:sz w:val="28"/>
        </w:rPr>
        <w:t>《垫江县城市基础设施建设“十四五”规划》</w:t>
      </w:r>
    </w:p>
    <w:p>
      <w:pPr>
        <w:pStyle w:val="18"/>
        <w:numPr>
          <w:ilvl w:val="0"/>
          <w:numId w:val="3"/>
        </w:numPr>
        <w:ind w:left="240" w:leftChars="100" w:firstLineChars="0"/>
        <w:rPr>
          <w:color w:val="auto"/>
          <w:sz w:val="28"/>
        </w:rPr>
      </w:pPr>
      <w:r>
        <w:rPr>
          <w:rFonts w:hint="eastAsia"/>
          <w:color w:val="auto"/>
          <w:sz w:val="28"/>
        </w:rPr>
        <w:t>《2020年重庆市垫江县交通发展年度报告》</w:t>
      </w:r>
    </w:p>
    <w:p>
      <w:pPr>
        <w:pStyle w:val="18"/>
        <w:numPr>
          <w:ilvl w:val="0"/>
          <w:numId w:val="3"/>
        </w:numPr>
        <w:ind w:left="240" w:leftChars="100" w:firstLineChars="0"/>
        <w:rPr>
          <w:color w:val="auto"/>
          <w:sz w:val="28"/>
        </w:rPr>
      </w:pPr>
      <w:r>
        <w:rPr>
          <w:rFonts w:hint="eastAsia"/>
          <w:color w:val="auto"/>
          <w:sz w:val="28"/>
        </w:rPr>
        <w:t>《垫江县“十四五”能源发展规划》</w:t>
      </w:r>
    </w:p>
    <w:p>
      <w:pPr>
        <w:pStyle w:val="18"/>
        <w:numPr>
          <w:ilvl w:val="0"/>
          <w:numId w:val="3"/>
        </w:numPr>
        <w:ind w:left="240" w:leftChars="100" w:firstLineChars="0"/>
        <w:rPr>
          <w:color w:val="auto"/>
          <w:sz w:val="28"/>
        </w:rPr>
      </w:pPr>
      <w:r>
        <w:rPr>
          <w:rFonts w:hint="eastAsia"/>
          <w:color w:val="auto"/>
          <w:sz w:val="28"/>
        </w:rPr>
        <w:t>《垫江县公共停车场充电桩建设项目可行性研究报告》</w:t>
      </w:r>
    </w:p>
    <w:p>
      <w:pPr>
        <w:pStyle w:val="18"/>
        <w:numPr>
          <w:ilvl w:val="0"/>
          <w:numId w:val="3"/>
        </w:numPr>
        <w:ind w:left="240" w:leftChars="100" w:firstLineChars="0"/>
        <w:rPr>
          <w:color w:val="auto"/>
          <w:sz w:val="28"/>
        </w:rPr>
      </w:pPr>
      <w:r>
        <w:rPr>
          <w:rFonts w:hint="eastAsia"/>
          <w:color w:val="auto"/>
          <w:sz w:val="28"/>
        </w:rPr>
        <w:t>《重庆市充电基础设施“十四五”发展规划》</w:t>
      </w:r>
    </w:p>
    <w:p>
      <w:pPr>
        <w:pStyle w:val="18"/>
        <w:numPr>
          <w:ilvl w:val="0"/>
          <w:numId w:val="3"/>
        </w:numPr>
        <w:ind w:left="240" w:leftChars="100" w:firstLineChars="0"/>
        <w:rPr>
          <w:color w:val="auto"/>
          <w:sz w:val="28"/>
        </w:rPr>
      </w:pPr>
      <w:r>
        <w:rPr>
          <w:rFonts w:hint="eastAsia"/>
          <w:color w:val="auto"/>
          <w:sz w:val="28"/>
        </w:rPr>
        <w:t>《重庆市能源发展“十四五”规划》</w:t>
      </w:r>
    </w:p>
    <w:p>
      <w:pPr>
        <w:pStyle w:val="18"/>
        <w:numPr>
          <w:ilvl w:val="0"/>
          <w:numId w:val="2"/>
        </w:numPr>
        <w:ind w:firstLineChars="0"/>
        <w:rPr>
          <w:b/>
          <w:color w:val="auto"/>
        </w:rPr>
      </w:pPr>
      <w:r>
        <w:rPr>
          <w:rFonts w:hint="eastAsia"/>
          <w:b/>
          <w:color w:val="auto"/>
          <w:sz w:val="28"/>
        </w:rPr>
        <w:t>基本</w:t>
      </w:r>
      <w:r>
        <w:rPr>
          <w:b/>
          <w:color w:val="auto"/>
          <w:sz w:val="28"/>
        </w:rPr>
        <w:t>原则</w:t>
      </w:r>
    </w:p>
    <w:p>
      <w:pPr>
        <w:pStyle w:val="18"/>
        <w:ind w:firstLine="560"/>
        <w:rPr>
          <w:color w:val="auto"/>
          <w:sz w:val="28"/>
        </w:rPr>
      </w:pPr>
      <w:r>
        <w:rPr>
          <w:rFonts w:hint="eastAsia"/>
          <w:color w:val="auto"/>
          <w:sz w:val="28"/>
        </w:rPr>
        <w:t>（一）因地制宜，有序推进</w:t>
      </w:r>
    </w:p>
    <w:p>
      <w:pPr>
        <w:pStyle w:val="18"/>
        <w:ind w:firstLine="560"/>
        <w:rPr>
          <w:color w:val="auto"/>
          <w:sz w:val="28"/>
        </w:rPr>
      </w:pPr>
      <w:r>
        <w:rPr>
          <w:rFonts w:hint="eastAsia"/>
          <w:color w:val="auto"/>
          <w:sz w:val="28"/>
        </w:rPr>
        <w:t>充分考虑垫江县电动机动车推广实际，科学预测垫江县电动机动车推广规模及充电需求，按照“实施一批、规划一批、储备一批”的理念，因地制宜、分类有序推进各领域充电基础设施发展。</w:t>
      </w:r>
    </w:p>
    <w:p>
      <w:pPr>
        <w:pStyle w:val="18"/>
        <w:ind w:firstLine="560"/>
        <w:rPr>
          <w:color w:val="auto"/>
          <w:sz w:val="28"/>
        </w:rPr>
      </w:pPr>
      <w:r>
        <w:rPr>
          <w:rFonts w:hint="eastAsia"/>
          <w:color w:val="auto"/>
          <w:sz w:val="28"/>
        </w:rPr>
        <w:t>（二）科学布局，服务便利</w:t>
      </w:r>
    </w:p>
    <w:p>
      <w:pPr>
        <w:pStyle w:val="18"/>
        <w:ind w:firstLine="560"/>
        <w:rPr>
          <w:color w:val="auto"/>
          <w:sz w:val="28"/>
        </w:rPr>
      </w:pPr>
      <w:r>
        <w:rPr>
          <w:rFonts w:hint="eastAsia"/>
          <w:color w:val="auto"/>
          <w:sz w:val="28"/>
        </w:rPr>
        <w:t>在新建或建成的公共停车场、小微停车场、城市边角地带、加油（加气）站等场地规划公共充电设施，在人口密集区域加大布点密度，并从城区向外辐射，在各乡镇至少建立一个公共充电站，以更好地满足电动机动车用户的充换电需求。</w:t>
      </w:r>
    </w:p>
    <w:p>
      <w:pPr>
        <w:pStyle w:val="18"/>
        <w:ind w:firstLine="560"/>
        <w:rPr>
          <w:color w:val="auto"/>
          <w:sz w:val="28"/>
        </w:rPr>
      </w:pPr>
      <w:r>
        <w:rPr>
          <w:rFonts w:hint="eastAsia"/>
          <w:color w:val="auto"/>
          <w:sz w:val="28"/>
        </w:rPr>
        <w:t>（三）适度超前，按需建设</w:t>
      </w:r>
    </w:p>
    <w:p>
      <w:pPr>
        <w:pStyle w:val="18"/>
        <w:ind w:firstLine="560"/>
        <w:rPr>
          <w:color w:val="auto"/>
          <w:sz w:val="28"/>
        </w:rPr>
      </w:pPr>
      <w:r>
        <w:rPr>
          <w:rFonts w:hint="eastAsia"/>
          <w:color w:val="auto"/>
          <w:sz w:val="28"/>
        </w:rPr>
        <w:t>强化规划引领，加强规划前瞻性和适度超前性，规划充换电设施规模保持适度富余。形成较为完善的充电基础设施体系，引领带动电动机动车产业发展。</w:t>
      </w:r>
    </w:p>
    <w:p>
      <w:pPr>
        <w:pStyle w:val="18"/>
        <w:numPr>
          <w:ilvl w:val="0"/>
          <w:numId w:val="2"/>
        </w:numPr>
        <w:ind w:firstLineChars="0"/>
        <w:rPr>
          <w:b/>
          <w:color w:val="auto"/>
        </w:rPr>
      </w:pPr>
      <w:r>
        <w:rPr>
          <w:b/>
          <w:color w:val="auto"/>
          <w:sz w:val="28"/>
        </w:rPr>
        <w:t>规划范围</w:t>
      </w:r>
    </w:p>
    <w:p>
      <w:pPr>
        <w:pStyle w:val="18"/>
        <w:ind w:firstLine="560"/>
        <w:rPr>
          <w:color w:val="auto"/>
          <w:sz w:val="28"/>
        </w:rPr>
      </w:pPr>
      <w:r>
        <w:rPr>
          <w:color w:val="auto"/>
          <w:sz w:val="28"/>
        </w:rPr>
        <w:t>规划范围为垫江县行政区范围，面积1516.31平方千米</w:t>
      </w:r>
      <w:r>
        <w:rPr>
          <w:rFonts w:hint="eastAsia"/>
          <w:color w:val="auto"/>
          <w:sz w:val="28"/>
        </w:rPr>
        <w:t>。</w:t>
      </w:r>
    </w:p>
    <w:p>
      <w:pPr>
        <w:pStyle w:val="18"/>
        <w:ind w:firstLine="560"/>
        <w:rPr>
          <w:color w:val="auto"/>
        </w:rPr>
      </w:pPr>
      <w:r>
        <w:rPr>
          <w:color w:val="auto"/>
          <w:sz w:val="28"/>
        </w:rPr>
        <w:t>包括桂溪街道、桂阳街道2个街道和黄沙镇、长龙镇、澄溪镇、高安镇、周嘉镇、坪山镇、新民镇、砚台镇、太平镇、五洞镇、杠家镇、高峰镇、沙坪镇、包家镇、鹤游镇、三溪镇、普顺镇、永安镇、曹回镇、永平镇、裴兴镇、白家镇、沙河乡、大石乡24个乡镇。</w:t>
      </w:r>
    </w:p>
    <w:p>
      <w:pPr>
        <w:pStyle w:val="18"/>
        <w:numPr>
          <w:ilvl w:val="0"/>
          <w:numId w:val="2"/>
        </w:numPr>
        <w:ind w:firstLineChars="0"/>
        <w:rPr>
          <w:b/>
          <w:color w:val="auto"/>
          <w:sz w:val="22"/>
        </w:rPr>
      </w:pPr>
      <w:r>
        <w:rPr>
          <w:b/>
          <w:color w:val="auto"/>
          <w:sz w:val="28"/>
        </w:rPr>
        <w:t>规划对象</w:t>
      </w:r>
    </w:p>
    <w:p>
      <w:pPr>
        <w:pStyle w:val="18"/>
        <w:ind w:firstLine="560"/>
        <w:rPr>
          <w:color w:val="auto"/>
          <w:sz w:val="28"/>
        </w:rPr>
      </w:pPr>
      <w:r>
        <w:rPr>
          <w:rFonts w:hint="eastAsia"/>
          <w:color w:val="auto"/>
          <w:sz w:val="28"/>
        </w:rPr>
        <w:t>本次规划以垫江县公共充电设施和专用充电设施为规划对象。</w:t>
      </w:r>
    </w:p>
    <w:p>
      <w:pPr>
        <w:pStyle w:val="18"/>
        <w:ind w:firstLine="560"/>
        <w:rPr>
          <w:color w:val="auto"/>
          <w:sz w:val="28"/>
        </w:rPr>
      </w:pPr>
      <w:r>
        <w:rPr>
          <w:rFonts w:hint="eastAsia"/>
          <w:color w:val="auto"/>
          <w:sz w:val="28"/>
        </w:rPr>
        <w:t>（1）公共充电设施</w:t>
      </w:r>
    </w:p>
    <w:p>
      <w:pPr>
        <w:pStyle w:val="18"/>
        <w:ind w:firstLine="560"/>
        <w:rPr>
          <w:color w:val="auto"/>
          <w:sz w:val="28"/>
        </w:rPr>
      </w:pPr>
      <w:r>
        <w:rPr>
          <w:rFonts w:hint="eastAsia"/>
          <w:color w:val="auto"/>
          <w:sz w:val="28"/>
        </w:rPr>
        <w:t>公共充电设施是结合公共服务设施、商业设施、公园、交通枢纽等公共停车场以及旅游景区停车场所设置的城市公共充（换）电站和公共充电桩。</w:t>
      </w:r>
    </w:p>
    <w:p>
      <w:pPr>
        <w:pStyle w:val="18"/>
        <w:ind w:firstLine="560"/>
        <w:rPr>
          <w:color w:val="auto"/>
          <w:sz w:val="28"/>
        </w:rPr>
      </w:pPr>
      <w:r>
        <w:rPr>
          <w:rFonts w:hint="eastAsia"/>
          <w:color w:val="auto"/>
          <w:sz w:val="28"/>
        </w:rPr>
        <w:t>（2）专用充电设施</w:t>
      </w:r>
    </w:p>
    <w:p>
      <w:pPr>
        <w:pStyle w:val="18"/>
        <w:ind w:firstLine="560"/>
        <w:rPr>
          <w:color w:val="auto"/>
        </w:rPr>
      </w:pPr>
      <w:r>
        <w:rPr>
          <w:rFonts w:hint="eastAsia"/>
          <w:color w:val="auto"/>
          <w:sz w:val="28"/>
        </w:rPr>
        <w:t>专用充电设施服务对象为公交、客运、环卫等公共服务领域的电动汽车，主要结合各自领域相应场站设置专用充电站。</w:t>
      </w:r>
    </w:p>
    <w:p>
      <w:pPr>
        <w:pStyle w:val="18"/>
        <w:numPr>
          <w:ilvl w:val="0"/>
          <w:numId w:val="2"/>
        </w:numPr>
        <w:ind w:firstLineChars="0"/>
        <w:rPr>
          <w:b/>
          <w:color w:val="auto"/>
          <w:sz w:val="22"/>
        </w:rPr>
      </w:pPr>
      <w:r>
        <w:rPr>
          <w:b/>
          <w:color w:val="auto"/>
          <w:sz w:val="28"/>
        </w:rPr>
        <w:t>规划期限</w:t>
      </w:r>
    </w:p>
    <w:p>
      <w:pPr>
        <w:pStyle w:val="18"/>
        <w:ind w:firstLine="560"/>
        <w:rPr>
          <w:color w:val="auto"/>
        </w:rPr>
      </w:pPr>
      <w:r>
        <w:rPr>
          <w:color w:val="auto"/>
          <w:sz w:val="28"/>
        </w:rPr>
        <w:t>本次规划期限为2023</w:t>
      </w:r>
      <w:r>
        <w:rPr>
          <w:rFonts w:hint="eastAsia"/>
          <w:color w:val="auto"/>
          <w:sz w:val="28"/>
          <w:lang w:eastAsia="zh-CN"/>
        </w:rPr>
        <w:t>—</w:t>
      </w:r>
      <w:r>
        <w:rPr>
          <w:color w:val="auto"/>
          <w:sz w:val="28"/>
        </w:rPr>
        <w:t>2027年，基准年为202</w:t>
      </w:r>
      <w:r>
        <w:rPr>
          <w:rFonts w:hint="eastAsia"/>
          <w:color w:val="auto"/>
          <w:sz w:val="28"/>
        </w:rPr>
        <w:t>3</w:t>
      </w:r>
      <w:r>
        <w:rPr>
          <w:color w:val="auto"/>
          <w:sz w:val="28"/>
        </w:rPr>
        <w:t>年，规划至2027年。</w:t>
      </w:r>
    </w:p>
    <w:p>
      <w:pPr>
        <w:pStyle w:val="18"/>
        <w:numPr>
          <w:ilvl w:val="0"/>
          <w:numId w:val="2"/>
        </w:numPr>
        <w:ind w:firstLineChars="0"/>
        <w:rPr>
          <w:b/>
          <w:color w:val="auto"/>
        </w:rPr>
      </w:pPr>
      <w:r>
        <w:rPr>
          <w:b/>
          <w:color w:val="auto"/>
          <w:sz w:val="28"/>
        </w:rPr>
        <w:t>规划目标</w:t>
      </w:r>
    </w:p>
    <w:p>
      <w:pPr>
        <w:pStyle w:val="18"/>
        <w:ind w:firstLine="560"/>
        <w:rPr>
          <w:color w:val="auto"/>
          <w:sz w:val="28"/>
        </w:rPr>
      </w:pPr>
      <w:r>
        <w:rPr>
          <w:rFonts w:hint="eastAsia"/>
          <w:color w:val="auto"/>
          <w:sz w:val="28"/>
        </w:rPr>
        <w:t>总体目标：遵循从城区到乡镇的原则，逐步布局公共充电设施，构建综合性公共充电服务；推动充电桩有序建设。</w:t>
      </w:r>
    </w:p>
    <w:p>
      <w:pPr>
        <w:pStyle w:val="18"/>
        <w:ind w:firstLine="560"/>
        <w:rPr>
          <w:color w:val="auto"/>
          <w:sz w:val="28"/>
        </w:rPr>
      </w:pPr>
      <w:r>
        <w:rPr>
          <w:rFonts w:hint="eastAsia"/>
          <w:color w:val="auto"/>
          <w:sz w:val="28"/>
        </w:rPr>
        <w:t>具体目标：根据《电动汽车充电基础设施发展指南（2015</w:t>
      </w:r>
      <w:r>
        <w:rPr>
          <w:rFonts w:hint="eastAsia"/>
          <w:color w:val="auto"/>
          <w:sz w:val="28"/>
          <w:lang w:eastAsia="zh-CN"/>
        </w:rPr>
        <w:t>—</w:t>
      </w:r>
      <w:r>
        <w:rPr>
          <w:rFonts w:hint="eastAsia"/>
          <w:color w:val="auto"/>
          <w:sz w:val="28"/>
        </w:rPr>
        <w:t>2020年）》（发改能源〔2015〕1454号），重庆市属于电动汽车示范推广地区，在新能源汽车推广应用城市，城市核心区公共充电桩与电动汽车的比例不低于1:8，公共充电服务半径小于1公里，一般城区及县城区公共充电桩与电动汽车比例不低于1:15，公共充电服务半径小于2.5公里。</w:t>
      </w:r>
    </w:p>
    <w:p>
      <w:pPr>
        <w:pStyle w:val="18"/>
        <w:ind w:firstLine="560"/>
        <w:rPr>
          <w:color w:val="auto"/>
          <w:sz w:val="28"/>
        </w:rPr>
      </w:pPr>
      <w:r>
        <w:rPr>
          <w:rFonts w:hint="eastAsia"/>
          <w:color w:val="auto"/>
          <w:sz w:val="28"/>
        </w:rPr>
        <w:t>结合垫江县充电设施发展现状，展望未来发展趋势，将垫江划分为一类、二类、三类充电设施发展区域，并对不同区域进行差异化公共充电设施布局。</w:t>
      </w:r>
    </w:p>
    <w:p>
      <w:pPr>
        <w:pStyle w:val="18"/>
        <w:ind w:firstLine="560"/>
        <w:rPr>
          <w:color w:val="auto"/>
          <w:sz w:val="28"/>
        </w:rPr>
      </w:pPr>
      <w:r>
        <w:rPr>
          <w:rFonts w:hint="eastAsia"/>
          <w:color w:val="auto"/>
          <w:sz w:val="28"/>
        </w:rPr>
        <w:t>根据垫江县国土空间分区规划，城区为桂溪街道和桂阳街道，设为一类区，公共充电桩与电动汽车的比例不低于1:7，公共充电服务半径小于0.9公里；重点乡镇包括高安镇、澄溪镇、黄沙镇、长龙镇、周嘉镇、新民镇、太平镇、坪山镇，设为二类区，公共充电桩与电动汽车的比例不低于1:8，公共充电服务半径小于1.2公里；其余乡镇设为三类区，其公共充电桩与电动汽车比例不低于1:15，公共充电服务半径小于2.5公里。</w:t>
      </w:r>
    </w:p>
    <w:p>
      <w:pPr>
        <w:pStyle w:val="18"/>
        <w:ind w:firstLine="560"/>
        <w:rPr>
          <w:color w:val="auto"/>
          <w:sz w:val="28"/>
        </w:rPr>
      </w:pPr>
    </w:p>
    <w:p>
      <w:pPr>
        <w:pStyle w:val="3"/>
        <w:spacing w:before="120" w:after="120" w:line="415" w:lineRule="auto"/>
        <w:ind w:firstLine="0" w:firstLineChars="0"/>
        <w:jc w:val="center"/>
        <w:rPr>
          <w:rFonts w:ascii="Times New Roman" w:hAnsi="Times New Roman" w:cs="Times New Roman"/>
          <w:color w:val="auto"/>
        </w:rPr>
      </w:pPr>
      <w:bookmarkStart w:id="3" w:name="_Toc157635363"/>
      <w:r>
        <w:rPr>
          <w:rFonts w:ascii="Times New Roman" w:hAnsi="Times New Roman" w:cs="Times New Roman"/>
          <w:color w:val="auto"/>
          <w:sz w:val="36"/>
        </w:rPr>
        <w:t>第二章 垫江县充换电基础设施现状</w:t>
      </w:r>
      <w:bookmarkEnd w:id="3"/>
    </w:p>
    <w:p>
      <w:pPr>
        <w:pStyle w:val="18"/>
        <w:numPr>
          <w:ilvl w:val="0"/>
          <w:numId w:val="2"/>
        </w:numPr>
        <w:ind w:firstLineChars="0"/>
        <w:rPr>
          <w:b/>
          <w:color w:val="auto"/>
        </w:rPr>
      </w:pPr>
      <w:r>
        <w:rPr>
          <w:b/>
          <w:color w:val="auto"/>
          <w:sz w:val="28"/>
        </w:rPr>
        <w:t>电动</w:t>
      </w:r>
      <w:r>
        <w:rPr>
          <w:rFonts w:hint="eastAsia"/>
          <w:b/>
          <w:color w:val="auto"/>
          <w:sz w:val="28"/>
        </w:rPr>
        <w:t>机动车</w:t>
      </w:r>
      <w:r>
        <w:rPr>
          <w:b/>
          <w:color w:val="auto"/>
          <w:sz w:val="28"/>
        </w:rPr>
        <w:t>发展现状</w:t>
      </w:r>
    </w:p>
    <w:p>
      <w:pPr>
        <w:pStyle w:val="18"/>
        <w:ind w:firstLine="560"/>
        <w:rPr>
          <w:b/>
          <w:color w:val="auto"/>
        </w:rPr>
      </w:pPr>
      <w:r>
        <w:rPr>
          <w:color w:val="auto"/>
          <w:sz w:val="28"/>
        </w:rPr>
        <w:t>截至2023年，全县机动车总量为22.42万辆</w:t>
      </w:r>
      <w:r>
        <w:rPr>
          <w:rFonts w:hint="eastAsia"/>
          <w:color w:val="auto"/>
          <w:sz w:val="28"/>
        </w:rPr>
        <w:t>，</w:t>
      </w:r>
      <w:r>
        <w:rPr>
          <w:color w:val="auto"/>
          <w:sz w:val="28"/>
        </w:rPr>
        <w:t>电动汽车保有量为6566辆，</w:t>
      </w:r>
      <w:r>
        <w:rPr>
          <w:rFonts w:hint="eastAsia"/>
          <w:color w:val="auto"/>
          <w:sz w:val="28"/>
        </w:rPr>
        <w:t>其中电动私人乘用车</w:t>
      </w:r>
      <w:r>
        <w:rPr>
          <w:color w:val="auto"/>
          <w:sz w:val="28"/>
        </w:rPr>
        <w:t>6390</w:t>
      </w:r>
      <w:r>
        <w:rPr>
          <w:rFonts w:hint="eastAsia"/>
          <w:color w:val="auto"/>
          <w:sz w:val="28"/>
        </w:rPr>
        <w:t>辆。</w:t>
      </w:r>
    </w:p>
    <w:p>
      <w:pPr>
        <w:pStyle w:val="18"/>
        <w:numPr>
          <w:ilvl w:val="0"/>
          <w:numId w:val="2"/>
        </w:numPr>
        <w:ind w:firstLineChars="0"/>
        <w:rPr>
          <w:b/>
          <w:color w:val="auto"/>
        </w:rPr>
      </w:pPr>
      <w:r>
        <w:rPr>
          <w:b/>
          <w:color w:val="auto"/>
          <w:sz w:val="28"/>
        </w:rPr>
        <w:t>充换电基础设施建设情况</w:t>
      </w:r>
    </w:p>
    <w:p>
      <w:pPr>
        <w:pStyle w:val="18"/>
        <w:ind w:firstLine="560"/>
        <w:rPr>
          <w:color w:val="auto"/>
          <w:sz w:val="28"/>
        </w:rPr>
      </w:pPr>
      <w:r>
        <w:rPr>
          <w:color w:val="auto"/>
          <w:sz w:val="28"/>
        </w:rPr>
        <w:t>截至2023年，垫江县共有电动汽车充电站19座，公用充电桩204个，自用充电桩810个</w:t>
      </w:r>
      <w:r>
        <w:rPr>
          <w:rFonts w:hint="eastAsia"/>
          <w:color w:val="auto"/>
          <w:sz w:val="28"/>
        </w:rPr>
        <w:t>，公共充电站桩车比为1:32。</w:t>
      </w:r>
    </w:p>
    <w:p>
      <w:pPr>
        <w:pStyle w:val="18"/>
        <w:ind w:firstLine="480"/>
        <w:rPr>
          <w:color w:val="auto"/>
        </w:rPr>
      </w:pPr>
    </w:p>
    <w:p>
      <w:pPr>
        <w:pStyle w:val="3"/>
        <w:spacing w:before="120" w:after="120" w:line="415" w:lineRule="auto"/>
        <w:ind w:firstLine="0" w:firstLineChars="0"/>
        <w:jc w:val="center"/>
        <w:rPr>
          <w:rFonts w:ascii="Times New Roman" w:hAnsi="Times New Roman" w:cs="Times New Roman"/>
          <w:color w:val="auto"/>
        </w:rPr>
      </w:pPr>
      <w:bookmarkStart w:id="4" w:name="_Toc157635364"/>
      <w:r>
        <w:rPr>
          <w:rFonts w:ascii="Times New Roman" w:hAnsi="Times New Roman" w:cs="Times New Roman"/>
          <w:color w:val="auto"/>
          <w:sz w:val="36"/>
        </w:rPr>
        <w:t>第三章 垫江县充换电基础设施预测</w:t>
      </w:r>
      <w:bookmarkEnd w:id="4"/>
    </w:p>
    <w:p>
      <w:pPr>
        <w:pStyle w:val="18"/>
        <w:numPr>
          <w:ilvl w:val="0"/>
          <w:numId w:val="2"/>
        </w:numPr>
        <w:ind w:firstLineChars="0"/>
        <w:rPr>
          <w:b/>
          <w:color w:val="auto"/>
        </w:rPr>
      </w:pPr>
      <w:r>
        <w:rPr>
          <w:b/>
          <w:color w:val="auto"/>
          <w:sz w:val="28"/>
        </w:rPr>
        <w:t>2027年电动机动车保有量预测</w:t>
      </w:r>
    </w:p>
    <w:p>
      <w:pPr>
        <w:pStyle w:val="18"/>
        <w:ind w:firstLine="560"/>
        <w:rPr>
          <w:color w:val="auto"/>
        </w:rPr>
      </w:pPr>
      <w:r>
        <w:rPr>
          <w:color w:val="auto"/>
          <w:sz w:val="28"/>
        </w:rPr>
        <w:t>到2027年，全县汽车保有量约为26.23万辆，电动汽车保有量约为1.62万辆</w:t>
      </w:r>
      <w:r>
        <w:rPr>
          <w:rFonts w:hint="eastAsia"/>
          <w:color w:val="auto"/>
          <w:sz w:val="28"/>
        </w:rPr>
        <w:t>。其中电动私人乘用车将达到1.</w:t>
      </w:r>
      <w:r>
        <w:rPr>
          <w:color w:val="auto"/>
          <w:sz w:val="28"/>
        </w:rPr>
        <w:t>4</w:t>
      </w:r>
      <w:r>
        <w:rPr>
          <w:rFonts w:hint="eastAsia"/>
          <w:color w:val="auto"/>
          <w:sz w:val="28"/>
          <w:lang w:val="en-US" w:eastAsia="zh-CN"/>
        </w:rPr>
        <w:t>8万</w:t>
      </w:r>
      <w:r>
        <w:rPr>
          <w:rFonts w:hint="eastAsia"/>
          <w:color w:val="auto"/>
          <w:sz w:val="28"/>
        </w:rPr>
        <w:t>辆，其余</w:t>
      </w:r>
      <w:r>
        <w:rPr>
          <w:color w:val="auto"/>
          <w:sz w:val="28"/>
        </w:rPr>
        <w:t>电动公交车将达到125辆，电动出租车将达到339辆，电动客运车将达到248辆，电动环卫车将达到102辆，电动公务车将达到556辆</w:t>
      </w:r>
      <w:r>
        <w:rPr>
          <w:rFonts w:hint="eastAsia"/>
          <w:color w:val="auto"/>
          <w:sz w:val="28"/>
        </w:rPr>
        <w:t>。</w:t>
      </w:r>
    </w:p>
    <w:p>
      <w:pPr>
        <w:pStyle w:val="18"/>
        <w:numPr>
          <w:ilvl w:val="0"/>
          <w:numId w:val="2"/>
        </w:numPr>
        <w:ind w:firstLineChars="0"/>
        <w:rPr>
          <w:b/>
          <w:color w:val="auto"/>
          <w:highlight w:val="none"/>
        </w:rPr>
      </w:pPr>
      <w:r>
        <w:rPr>
          <w:b/>
          <w:color w:val="auto"/>
          <w:sz w:val="28"/>
        </w:rPr>
        <w:t>2027年</w:t>
      </w:r>
      <w:r>
        <w:rPr>
          <w:rFonts w:hint="eastAsia"/>
          <w:b/>
          <w:color w:val="auto"/>
          <w:sz w:val="28"/>
        </w:rPr>
        <w:t>公共</w:t>
      </w:r>
      <w:r>
        <w:rPr>
          <w:b/>
          <w:color w:val="auto"/>
          <w:sz w:val="28"/>
        </w:rPr>
        <w:t>充换电基础设施预测</w:t>
      </w:r>
    </w:p>
    <w:p>
      <w:pPr>
        <w:pStyle w:val="18"/>
        <w:ind w:firstLine="560"/>
        <w:rPr>
          <w:color w:val="auto"/>
          <w:sz w:val="28"/>
          <w:highlight w:val="none"/>
        </w:rPr>
      </w:pPr>
      <w:r>
        <w:rPr>
          <w:color w:val="auto"/>
          <w:sz w:val="28"/>
          <w:highlight w:val="none"/>
        </w:rPr>
        <w:t>到2027年，全县</w:t>
      </w:r>
      <w:r>
        <w:rPr>
          <w:rFonts w:hint="eastAsia"/>
          <w:color w:val="auto"/>
          <w:sz w:val="28"/>
          <w:highlight w:val="none"/>
        </w:rPr>
        <w:t>电动私人乘用车充换电设施</w:t>
      </w:r>
      <w:r>
        <w:rPr>
          <w:color w:val="auto"/>
          <w:sz w:val="28"/>
          <w:highlight w:val="none"/>
        </w:rPr>
        <w:t>需求</w:t>
      </w:r>
      <w:r>
        <w:rPr>
          <w:rFonts w:hint="eastAsia"/>
          <w:color w:val="auto"/>
          <w:sz w:val="28"/>
          <w:highlight w:val="none"/>
        </w:rPr>
        <w:t>6480</w:t>
      </w:r>
      <w:r>
        <w:rPr>
          <w:color w:val="auto"/>
          <w:sz w:val="28"/>
          <w:highlight w:val="none"/>
        </w:rPr>
        <w:t>个</w:t>
      </w:r>
      <w:r>
        <w:rPr>
          <w:rFonts w:hint="eastAsia"/>
          <w:color w:val="auto"/>
          <w:sz w:val="28"/>
          <w:highlight w:val="none"/>
        </w:rPr>
        <w:t>（桩车比1:2.5）</w:t>
      </w:r>
      <w:r>
        <w:rPr>
          <w:color w:val="auto"/>
          <w:sz w:val="28"/>
          <w:highlight w:val="none"/>
        </w:rPr>
        <w:t>，</w:t>
      </w:r>
      <w:r>
        <w:rPr>
          <w:rFonts w:hint="eastAsia"/>
          <w:color w:val="auto"/>
          <w:sz w:val="28"/>
          <w:highlight w:val="none"/>
        </w:rPr>
        <w:t>公共充电设施14</w:t>
      </w:r>
      <w:r>
        <w:rPr>
          <w:rFonts w:hint="eastAsia"/>
          <w:color w:val="auto"/>
          <w:sz w:val="28"/>
          <w:highlight w:val="none"/>
          <w:lang w:val="en-US" w:eastAsia="zh-CN"/>
        </w:rPr>
        <w:t>80</w:t>
      </w:r>
      <w:r>
        <w:rPr>
          <w:rFonts w:hint="eastAsia"/>
          <w:color w:val="auto"/>
          <w:sz w:val="28"/>
          <w:highlight w:val="none"/>
        </w:rPr>
        <w:t>个车位（全县平均公共充电设施桩车比1:10），公共</w:t>
      </w:r>
      <w:r>
        <w:rPr>
          <w:color w:val="auto"/>
          <w:sz w:val="28"/>
          <w:highlight w:val="none"/>
        </w:rPr>
        <w:t>充电</w:t>
      </w:r>
      <w:r>
        <w:rPr>
          <w:rFonts w:hint="eastAsia"/>
          <w:color w:val="auto"/>
          <w:sz w:val="28"/>
          <w:highlight w:val="none"/>
        </w:rPr>
        <w:t>设施站点</w:t>
      </w:r>
      <w:r>
        <w:rPr>
          <w:color w:val="auto"/>
          <w:sz w:val="28"/>
          <w:highlight w:val="none"/>
        </w:rPr>
        <w:t>需求</w:t>
      </w:r>
      <w:r>
        <w:rPr>
          <w:rFonts w:hint="eastAsia"/>
          <w:color w:val="auto"/>
          <w:sz w:val="28"/>
          <w:highlight w:val="none"/>
          <w:lang w:val="en-US" w:eastAsia="zh-CN"/>
        </w:rPr>
        <w:t>107</w:t>
      </w:r>
      <w:r>
        <w:rPr>
          <w:color w:val="auto"/>
          <w:sz w:val="28"/>
          <w:highlight w:val="none"/>
        </w:rPr>
        <w:t>座，其中公共充电站</w:t>
      </w:r>
      <w:r>
        <w:rPr>
          <w:rFonts w:hint="eastAsia"/>
          <w:color w:val="auto"/>
          <w:sz w:val="28"/>
          <w:highlight w:val="none"/>
          <w:lang w:val="en-US" w:eastAsia="zh-CN"/>
        </w:rPr>
        <w:t>99</w:t>
      </w:r>
      <w:r>
        <w:rPr>
          <w:color w:val="auto"/>
          <w:sz w:val="28"/>
          <w:highlight w:val="none"/>
        </w:rPr>
        <w:t>座</w:t>
      </w:r>
      <w:r>
        <w:rPr>
          <w:rFonts w:hint="eastAsia"/>
          <w:color w:val="auto"/>
          <w:sz w:val="28"/>
          <w:highlight w:val="none"/>
        </w:rPr>
        <w:t>（含现状19座）</w:t>
      </w:r>
      <w:r>
        <w:rPr>
          <w:color w:val="auto"/>
          <w:sz w:val="28"/>
          <w:highlight w:val="none"/>
        </w:rPr>
        <w:t>，</w:t>
      </w:r>
      <w:r>
        <w:rPr>
          <w:rFonts w:hint="eastAsia"/>
          <w:color w:val="auto"/>
          <w:sz w:val="28"/>
          <w:highlight w:val="none"/>
        </w:rPr>
        <w:t>公交</w:t>
      </w:r>
      <w:r>
        <w:rPr>
          <w:color w:val="auto"/>
          <w:sz w:val="28"/>
          <w:highlight w:val="none"/>
        </w:rPr>
        <w:t>专用充电站3座，</w:t>
      </w:r>
      <w:r>
        <w:rPr>
          <w:rFonts w:hint="eastAsia"/>
          <w:color w:val="auto"/>
          <w:sz w:val="28"/>
          <w:highlight w:val="none"/>
        </w:rPr>
        <w:t>客运车</w:t>
      </w:r>
      <w:r>
        <w:rPr>
          <w:color w:val="auto"/>
          <w:sz w:val="28"/>
          <w:highlight w:val="none"/>
        </w:rPr>
        <w:t>专用充电站</w:t>
      </w:r>
      <w:r>
        <w:rPr>
          <w:rFonts w:hint="eastAsia"/>
          <w:color w:val="auto"/>
          <w:sz w:val="28"/>
          <w:highlight w:val="none"/>
        </w:rPr>
        <w:t>2座</w:t>
      </w:r>
      <w:r>
        <w:rPr>
          <w:color w:val="auto"/>
          <w:sz w:val="28"/>
          <w:highlight w:val="none"/>
        </w:rPr>
        <w:t>，</w:t>
      </w:r>
      <w:r>
        <w:rPr>
          <w:rFonts w:hint="eastAsia"/>
          <w:color w:val="auto"/>
          <w:sz w:val="28"/>
          <w:highlight w:val="none"/>
        </w:rPr>
        <w:t>环卫车</w:t>
      </w:r>
      <w:r>
        <w:rPr>
          <w:color w:val="auto"/>
          <w:sz w:val="28"/>
          <w:highlight w:val="none"/>
        </w:rPr>
        <w:t>专用充电站</w:t>
      </w:r>
      <w:r>
        <w:rPr>
          <w:rFonts w:hint="eastAsia"/>
          <w:color w:val="auto"/>
          <w:sz w:val="28"/>
          <w:highlight w:val="none"/>
        </w:rPr>
        <w:t>1座</w:t>
      </w:r>
      <w:r>
        <w:rPr>
          <w:color w:val="auto"/>
          <w:sz w:val="28"/>
          <w:highlight w:val="none"/>
        </w:rPr>
        <w:t>，</w:t>
      </w:r>
      <w:r>
        <w:rPr>
          <w:rFonts w:hint="eastAsia"/>
          <w:color w:val="auto"/>
          <w:sz w:val="28"/>
          <w:highlight w:val="none"/>
        </w:rPr>
        <w:t>出租车</w:t>
      </w:r>
      <w:r>
        <w:rPr>
          <w:color w:val="auto"/>
          <w:sz w:val="28"/>
          <w:highlight w:val="none"/>
        </w:rPr>
        <w:t>换电站2座。</w:t>
      </w:r>
    </w:p>
    <w:p>
      <w:pPr>
        <w:pStyle w:val="18"/>
        <w:ind w:firstLine="480"/>
        <w:rPr>
          <w:color w:val="auto"/>
        </w:rPr>
      </w:pPr>
    </w:p>
    <w:p>
      <w:pPr>
        <w:pStyle w:val="3"/>
        <w:spacing w:before="120" w:after="120" w:line="415" w:lineRule="auto"/>
        <w:ind w:firstLine="0" w:firstLineChars="0"/>
        <w:jc w:val="center"/>
        <w:rPr>
          <w:rFonts w:ascii="Times New Roman" w:hAnsi="Times New Roman" w:cs="Times New Roman"/>
          <w:color w:val="auto"/>
        </w:rPr>
      </w:pPr>
      <w:bookmarkStart w:id="5" w:name="_Toc157635365"/>
      <w:r>
        <w:rPr>
          <w:rFonts w:ascii="Times New Roman" w:hAnsi="Times New Roman" w:cs="Times New Roman"/>
          <w:color w:val="auto"/>
          <w:sz w:val="36"/>
        </w:rPr>
        <w:t>第四章 垫江县充换电基础设施规划</w:t>
      </w:r>
      <w:bookmarkEnd w:id="5"/>
    </w:p>
    <w:p>
      <w:pPr>
        <w:pStyle w:val="18"/>
        <w:numPr>
          <w:ilvl w:val="0"/>
          <w:numId w:val="2"/>
        </w:numPr>
        <w:ind w:firstLineChars="0"/>
        <w:rPr>
          <w:b/>
          <w:color w:val="auto"/>
        </w:rPr>
      </w:pPr>
      <w:r>
        <w:rPr>
          <w:b/>
          <w:color w:val="auto"/>
          <w:sz w:val="28"/>
        </w:rPr>
        <w:t>布局原则</w:t>
      </w:r>
    </w:p>
    <w:p>
      <w:pPr>
        <w:pStyle w:val="18"/>
        <w:ind w:firstLine="560"/>
        <w:rPr>
          <w:color w:val="auto"/>
          <w:sz w:val="28"/>
        </w:rPr>
      </w:pPr>
      <w:r>
        <w:rPr>
          <w:rFonts w:hint="eastAsia"/>
          <w:color w:val="auto"/>
          <w:sz w:val="28"/>
        </w:rPr>
        <w:t>1、电动机动车充电设施规划应与垫江县国土空间分区规划和发展规划等相协调，并应符合环境保护和防火安全的要求，应充分利用就近的供电、交通、消防、给排水及防排洪等公用设施，并对站区、电源进出线走廊、给排水设施、防排洪设施、进出站道路等进行合理布局、统筹安排。</w:t>
      </w:r>
    </w:p>
    <w:p>
      <w:pPr>
        <w:pStyle w:val="18"/>
        <w:ind w:firstLine="560"/>
        <w:rPr>
          <w:color w:val="auto"/>
          <w:sz w:val="28"/>
        </w:rPr>
      </w:pPr>
      <w:r>
        <w:rPr>
          <w:rFonts w:hint="eastAsia"/>
          <w:color w:val="auto"/>
          <w:sz w:val="28"/>
        </w:rPr>
        <w:t>2、充电站不宜设在多尘或有腐蚀性气体的场所，当无法远离时，不应设在污染源盛行风向的下风侧；不应设在有剧烈振动或高温的场所；不应设在地势低洼和可能积水的场所。</w:t>
      </w:r>
    </w:p>
    <w:p>
      <w:pPr>
        <w:pStyle w:val="18"/>
        <w:ind w:firstLine="560"/>
        <w:rPr>
          <w:color w:val="auto"/>
          <w:sz w:val="28"/>
        </w:rPr>
      </w:pPr>
      <w:r>
        <w:rPr>
          <w:rFonts w:hint="eastAsia"/>
          <w:color w:val="auto"/>
          <w:sz w:val="28"/>
        </w:rPr>
        <w:t>3、以用户居住地停车位、单位停车场、公交及出租车场站等配建的专用充电设施为主体，以公共建筑物停车场、社会公共停车场、临时停车位等配建的公共充电设施为辅助，以独立占地的城市快充站、换电站和高速公路服务区配建的城际快充站为补充，形成电动汽车充电基础设施体系。</w:t>
      </w:r>
    </w:p>
    <w:p>
      <w:pPr>
        <w:pStyle w:val="18"/>
        <w:ind w:firstLine="560"/>
        <w:rPr>
          <w:color w:val="auto"/>
          <w:sz w:val="28"/>
        </w:rPr>
      </w:pPr>
      <w:r>
        <w:rPr>
          <w:rFonts w:hint="eastAsia"/>
          <w:color w:val="auto"/>
          <w:sz w:val="28"/>
        </w:rPr>
        <w:t>4、专用充换电站的布局应与相应场站相结合，如公交车充换电站结合公交枢纽站、公交场站、公交首末站等设置；环卫车充电站结合环卫车停保场设置。</w:t>
      </w:r>
    </w:p>
    <w:p>
      <w:pPr>
        <w:pStyle w:val="18"/>
        <w:ind w:firstLine="560"/>
        <w:rPr>
          <w:color w:val="auto"/>
          <w:sz w:val="28"/>
          <w:highlight w:val="none"/>
        </w:rPr>
      </w:pPr>
      <w:r>
        <w:rPr>
          <w:rFonts w:hint="eastAsia"/>
          <w:color w:val="auto"/>
          <w:sz w:val="28"/>
        </w:rPr>
        <w:t>5、公共充电站空间布局宜按照“面、线、点”三个层次开展。“面”上，主要按照服务半径要求合理布局，满足基本充电需求；“线”上，主要结合规划和现状的城市主干道（含国道、省道等）</w:t>
      </w:r>
      <w:r>
        <w:rPr>
          <w:rFonts w:hint="eastAsia"/>
          <w:color w:val="auto"/>
          <w:sz w:val="28"/>
          <w:highlight w:val="none"/>
        </w:rPr>
        <w:t>周边停车场进行布局，建议结合有条件的加油（气）站布局；“点”上，交通枢纽、商业中心、大型综合体、旅游景点等重点位置宜结合公共停车场，按照“一点一站”的原则进行布局。</w:t>
      </w:r>
    </w:p>
    <w:p>
      <w:pPr>
        <w:pStyle w:val="18"/>
        <w:numPr>
          <w:ilvl w:val="0"/>
          <w:numId w:val="2"/>
        </w:numPr>
        <w:ind w:firstLineChars="0"/>
        <w:rPr>
          <w:b/>
          <w:color w:val="auto"/>
          <w:highlight w:val="none"/>
        </w:rPr>
      </w:pPr>
      <w:r>
        <w:rPr>
          <w:b/>
          <w:color w:val="auto"/>
          <w:sz w:val="28"/>
          <w:highlight w:val="none"/>
        </w:rPr>
        <w:t>公共充电站</w:t>
      </w:r>
    </w:p>
    <w:p>
      <w:pPr>
        <w:pStyle w:val="18"/>
        <w:ind w:firstLine="560"/>
        <w:rPr>
          <w:color w:val="auto"/>
          <w:sz w:val="28"/>
          <w:highlight w:val="none"/>
        </w:rPr>
      </w:pPr>
      <w:bookmarkStart w:id="6" w:name="_Hlk160284135"/>
      <w:r>
        <w:rPr>
          <w:color w:val="auto"/>
          <w:sz w:val="28"/>
          <w:highlight w:val="none"/>
        </w:rPr>
        <w:t>规划综合考虑站点服务半径、土地权属、实施态势等因素，在社会停车场、绿地、广场、加油加气站以及高速公路服务区、城市边角地等用地</w:t>
      </w:r>
      <w:r>
        <w:rPr>
          <w:rFonts w:hint="eastAsia"/>
          <w:color w:val="auto"/>
          <w:sz w:val="28"/>
          <w:highlight w:val="none"/>
        </w:rPr>
        <w:t>并结合重要交通干线</w:t>
      </w:r>
      <w:r>
        <w:rPr>
          <w:color w:val="auto"/>
          <w:sz w:val="28"/>
          <w:highlight w:val="none"/>
        </w:rPr>
        <w:t>进行公共</w:t>
      </w:r>
      <w:r>
        <w:rPr>
          <w:rFonts w:hint="eastAsia"/>
          <w:color w:val="auto"/>
          <w:sz w:val="28"/>
          <w:highlight w:val="none"/>
        </w:rPr>
        <w:t>充电</w:t>
      </w:r>
      <w:r>
        <w:rPr>
          <w:color w:val="auto"/>
          <w:sz w:val="28"/>
          <w:highlight w:val="none"/>
        </w:rPr>
        <w:t>站布点。本次规划新增公共充电站</w:t>
      </w:r>
      <w:r>
        <w:rPr>
          <w:rFonts w:hint="eastAsia"/>
          <w:color w:val="auto"/>
          <w:sz w:val="28"/>
          <w:highlight w:val="none"/>
          <w:lang w:val="en-US" w:eastAsia="zh-CN"/>
        </w:rPr>
        <w:t>80</w:t>
      </w:r>
      <w:r>
        <w:rPr>
          <w:color w:val="auto"/>
          <w:sz w:val="28"/>
          <w:highlight w:val="none"/>
        </w:rPr>
        <w:t>座，其中</w:t>
      </w:r>
      <w:r>
        <w:rPr>
          <w:rFonts w:hint="eastAsia"/>
          <w:color w:val="auto"/>
          <w:sz w:val="28"/>
          <w:highlight w:val="none"/>
        </w:rPr>
        <w:t>一类区</w:t>
      </w:r>
      <w:r>
        <w:rPr>
          <w:rFonts w:hint="eastAsia"/>
          <w:color w:val="auto"/>
          <w:sz w:val="28"/>
          <w:highlight w:val="none"/>
          <w:lang w:val="en-US" w:eastAsia="zh-CN"/>
        </w:rPr>
        <w:t>30</w:t>
      </w:r>
      <w:r>
        <w:rPr>
          <w:rFonts w:hint="eastAsia"/>
          <w:color w:val="auto"/>
          <w:sz w:val="28"/>
          <w:highlight w:val="none"/>
        </w:rPr>
        <w:t>座，二类区</w:t>
      </w:r>
      <w:r>
        <w:rPr>
          <w:rFonts w:hint="eastAsia"/>
          <w:color w:val="auto"/>
          <w:sz w:val="28"/>
          <w:highlight w:val="none"/>
          <w:lang w:val="en-US" w:eastAsia="zh-CN"/>
        </w:rPr>
        <w:t>22</w:t>
      </w:r>
      <w:r>
        <w:rPr>
          <w:rFonts w:hint="eastAsia"/>
          <w:color w:val="auto"/>
          <w:sz w:val="28"/>
          <w:highlight w:val="none"/>
        </w:rPr>
        <w:t>座，三类区2</w:t>
      </w:r>
      <w:r>
        <w:rPr>
          <w:rFonts w:hint="eastAsia"/>
          <w:color w:val="auto"/>
          <w:sz w:val="28"/>
          <w:highlight w:val="none"/>
          <w:lang w:val="en-US" w:eastAsia="zh-CN"/>
        </w:rPr>
        <w:t>8</w:t>
      </w:r>
      <w:r>
        <w:rPr>
          <w:rFonts w:hint="eastAsia"/>
          <w:color w:val="auto"/>
          <w:sz w:val="28"/>
          <w:highlight w:val="none"/>
        </w:rPr>
        <w:t>座，合计规划公共充电车位</w:t>
      </w:r>
      <w:r>
        <w:rPr>
          <w:rFonts w:hint="eastAsia"/>
          <w:color w:val="auto"/>
          <w:sz w:val="28"/>
          <w:highlight w:val="none"/>
          <w:lang w:val="en-US" w:eastAsia="zh-CN"/>
        </w:rPr>
        <w:t>1085</w:t>
      </w:r>
      <w:r>
        <w:rPr>
          <w:rFonts w:hint="eastAsia"/>
          <w:color w:val="auto"/>
          <w:sz w:val="28"/>
          <w:highlight w:val="none"/>
        </w:rPr>
        <w:t>个</w:t>
      </w:r>
      <w:r>
        <w:rPr>
          <w:rFonts w:hint="eastAsia"/>
          <w:color w:val="auto"/>
          <w:sz w:val="28"/>
          <w:highlight w:val="none"/>
          <w:lang w:eastAsia="zh-CN"/>
        </w:rPr>
        <w:t>；</w:t>
      </w:r>
      <w:r>
        <w:rPr>
          <w:rFonts w:hint="eastAsia"/>
          <w:color w:val="auto"/>
          <w:sz w:val="28"/>
          <w:highlight w:val="none"/>
          <w:lang w:val="en-US" w:eastAsia="zh-CN"/>
        </w:rPr>
        <w:t>现状充电站点19座，充电车位数408个，</w:t>
      </w:r>
      <w:r>
        <w:rPr>
          <w:rFonts w:hint="eastAsia" w:cs="方正仿宋_GBK" w:asciiTheme="majorEastAsia" w:hAnsiTheme="majorEastAsia" w:eastAsiaTheme="majorEastAsia"/>
          <w:color w:val="auto"/>
          <w:sz w:val="28"/>
        </w:rPr>
        <w:t>2027年车位合计</w:t>
      </w:r>
      <w:r>
        <w:rPr>
          <w:rFonts w:hint="eastAsia"/>
          <w:color w:val="auto"/>
          <w:sz w:val="28"/>
          <w:highlight w:val="none"/>
          <w:lang w:val="en-US" w:eastAsia="zh-CN"/>
        </w:rPr>
        <w:t>1493个；</w:t>
      </w:r>
      <w:r>
        <w:rPr>
          <w:rFonts w:hint="eastAsia"/>
          <w:color w:val="auto"/>
          <w:sz w:val="28"/>
          <w:highlight w:val="none"/>
        </w:rPr>
        <w:t>公共充电设施全县平均车桩比达到1:1</w:t>
      </w:r>
      <w:r>
        <w:rPr>
          <w:rFonts w:hint="eastAsia"/>
          <w:color w:val="auto"/>
          <w:sz w:val="28"/>
          <w:highlight w:val="none"/>
          <w:lang w:val="en-US" w:eastAsia="zh-CN"/>
        </w:rPr>
        <w:t>0</w:t>
      </w:r>
      <w:r>
        <w:rPr>
          <w:rFonts w:hint="eastAsia"/>
          <w:color w:val="auto"/>
          <w:sz w:val="28"/>
          <w:highlight w:val="none"/>
        </w:rPr>
        <w:t>。根据区域发展情况、</w:t>
      </w:r>
      <w:r>
        <w:rPr>
          <w:color w:val="auto"/>
          <w:sz w:val="28"/>
          <w:highlight w:val="none"/>
        </w:rPr>
        <w:t>充电设施覆盖</w:t>
      </w:r>
      <w:r>
        <w:rPr>
          <w:rFonts w:hint="eastAsia"/>
          <w:color w:val="auto"/>
          <w:sz w:val="28"/>
          <w:highlight w:val="none"/>
        </w:rPr>
        <w:t>、结合区域电动汽车发展</w:t>
      </w:r>
      <w:r>
        <w:rPr>
          <w:color w:val="auto"/>
          <w:sz w:val="28"/>
          <w:highlight w:val="none"/>
        </w:rPr>
        <w:t>情况</w:t>
      </w:r>
      <w:r>
        <w:rPr>
          <w:rFonts w:hint="eastAsia"/>
          <w:color w:val="auto"/>
          <w:sz w:val="28"/>
          <w:highlight w:val="none"/>
        </w:rPr>
        <w:t>，储备充电站7</w:t>
      </w:r>
      <w:r>
        <w:rPr>
          <w:rFonts w:hint="eastAsia"/>
          <w:color w:val="auto"/>
          <w:sz w:val="28"/>
          <w:highlight w:val="none"/>
          <w:lang w:val="en-US" w:eastAsia="zh-CN"/>
        </w:rPr>
        <w:t>4</w:t>
      </w:r>
      <w:r>
        <w:rPr>
          <w:rFonts w:hint="eastAsia"/>
          <w:color w:val="auto"/>
          <w:sz w:val="28"/>
          <w:highlight w:val="none"/>
        </w:rPr>
        <w:t>座，其中一类区11座，二类区</w:t>
      </w:r>
      <w:r>
        <w:rPr>
          <w:rFonts w:hint="eastAsia"/>
          <w:color w:val="auto"/>
          <w:sz w:val="28"/>
          <w:highlight w:val="none"/>
          <w:lang w:val="en-US" w:eastAsia="zh-CN"/>
        </w:rPr>
        <w:t>28</w:t>
      </w:r>
      <w:r>
        <w:rPr>
          <w:rFonts w:hint="eastAsia"/>
          <w:color w:val="auto"/>
          <w:sz w:val="28"/>
          <w:highlight w:val="none"/>
        </w:rPr>
        <w:t>座，三类区3</w:t>
      </w:r>
      <w:r>
        <w:rPr>
          <w:rFonts w:hint="eastAsia"/>
          <w:color w:val="auto"/>
          <w:sz w:val="28"/>
          <w:highlight w:val="none"/>
          <w:lang w:val="en-US" w:eastAsia="zh-CN"/>
        </w:rPr>
        <w:t>5</w:t>
      </w:r>
      <w:r>
        <w:rPr>
          <w:rFonts w:hint="eastAsia"/>
          <w:color w:val="auto"/>
          <w:sz w:val="28"/>
          <w:highlight w:val="none"/>
        </w:rPr>
        <w:t>座，合计储备公共充电车位</w:t>
      </w:r>
      <w:r>
        <w:rPr>
          <w:rFonts w:hint="eastAsia"/>
          <w:color w:val="auto"/>
          <w:sz w:val="28"/>
          <w:highlight w:val="none"/>
          <w:lang w:val="en-US" w:eastAsia="zh-CN"/>
        </w:rPr>
        <w:t>614</w:t>
      </w:r>
      <w:r>
        <w:rPr>
          <w:rFonts w:hint="eastAsia"/>
          <w:color w:val="auto"/>
          <w:sz w:val="28"/>
          <w:highlight w:val="none"/>
        </w:rPr>
        <w:t>个</w:t>
      </w:r>
      <w:bookmarkEnd w:id="6"/>
      <w:r>
        <w:rPr>
          <w:rFonts w:hint="eastAsia"/>
          <w:color w:val="auto"/>
          <w:sz w:val="28"/>
          <w:highlight w:val="none"/>
        </w:rPr>
        <w:t>，储备站点选点原则为补足服务空间、满足公共需求、注重公共服务。具体见</w:t>
      </w:r>
      <w:r>
        <w:rPr>
          <w:color w:val="auto"/>
          <w:sz w:val="28"/>
          <w:highlight w:val="none"/>
        </w:rPr>
        <w:t>附表。</w:t>
      </w:r>
    </w:p>
    <w:p>
      <w:pPr>
        <w:pStyle w:val="18"/>
        <w:ind w:firstLine="560"/>
        <w:rPr>
          <w:color w:val="auto"/>
          <w:sz w:val="28"/>
          <w:highlight w:val="none"/>
        </w:rPr>
      </w:pPr>
      <w:r>
        <w:rPr>
          <w:rFonts w:hint="eastAsia"/>
          <w:color w:val="auto"/>
          <w:sz w:val="28"/>
          <w:highlight w:val="none"/>
        </w:rPr>
        <w:t>本次规划针对加油加气站内的充换电设施布点主要依据服务影响区域和用地面积等因素进行预控，其实施应结合具体方案确定，并满足安全、环保等要求。</w:t>
      </w:r>
    </w:p>
    <w:p>
      <w:pPr>
        <w:pStyle w:val="18"/>
        <w:numPr>
          <w:ilvl w:val="0"/>
          <w:numId w:val="2"/>
        </w:numPr>
        <w:ind w:firstLineChars="0"/>
        <w:rPr>
          <w:b/>
          <w:color w:val="auto"/>
          <w:highlight w:val="none"/>
        </w:rPr>
      </w:pPr>
      <w:r>
        <w:rPr>
          <w:b/>
          <w:color w:val="auto"/>
          <w:sz w:val="28"/>
          <w:highlight w:val="none"/>
        </w:rPr>
        <w:t>专用充电站</w:t>
      </w:r>
    </w:p>
    <w:p>
      <w:pPr>
        <w:pStyle w:val="18"/>
        <w:ind w:firstLine="560"/>
        <w:rPr>
          <w:color w:val="auto"/>
          <w:sz w:val="28"/>
          <w:highlight w:val="none"/>
        </w:rPr>
      </w:pPr>
      <w:r>
        <w:rPr>
          <w:color w:val="auto"/>
          <w:sz w:val="28"/>
          <w:highlight w:val="none"/>
        </w:rPr>
        <w:t>结合电动公交需求和公交站场布局、服务半径等因素，规划新增公交专用充电站3座；结合电动客运车需求和客运中心布局等因素，规划新增客运专用充电站2座；结合环卫设施布局，规划新增环卫专用充电站1座；结合出租车换电需求，规划新增出租车专用换电站2座。</w:t>
      </w:r>
      <w:r>
        <w:rPr>
          <w:rFonts w:hint="eastAsia"/>
          <w:color w:val="auto"/>
          <w:sz w:val="28"/>
          <w:highlight w:val="none"/>
        </w:rPr>
        <w:t>具体</w:t>
      </w:r>
      <w:r>
        <w:rPr>
          <w:color w:val="auto"/>
          <w:sz w:val="28"/>
          <w:highlight w:val="none"/>
        </w:rPr>
        <w:t>见附表。</w:t>
      </w:r>
    </w:p>
    <w:p>
      <w:pPr>
        <w:pStyle w:val="18"/>
        <w:ind w:firstLine="560"/>
        <w:rPr>
          <w:color w:val="auto"/>
          <w:highlight w:val="none"/>
        </w:rPr>
      </w:pPr>
      <w:r>
        <w:rPr>
          <w:color w:val="auto"/>
          <w:sz w:val="28"/>
          <w:highlight w:val="none"/>
        </w:rPr>
        <w:t>规划专用充电站数量、布局等可结合本行业发展需要动态调整。</w:t>
      </w:r>
    </w:p>
    <w:p>
      <w:pPr>
        <w:pStyle w:val="3"/>
        <w:spacing w:before="120" w:after="120" w:line="415" w:lineRule="auto"/>
        <w:ind w:firstLine="0" w:firstLineChars="0"/>
        <w:jc w:val="center"/>
        <w:rPr>
          <w:rFonts w:ascii="Times New Roman" w:hAnsi="Times New Roman" w:cs="Times New Roman"/>
          <w:color w:val="auto"/>
          <w:highlight w:val="none"/>
        </w:rPr>
      </w:pPr>
      <w:bookmarkStart w:id="7" w:name="_Toc157635366"/>
      <w:r>
        <w:rPr>
          <w:rFonts w:ascii="Times New Roman" w:hAnsi="Times New Roman" w:cs="Times New Roman"/>
          <w:color w:val="auto"/>
          <w:sz w:val="36"/>
          <w:highlight w:val="none"/>
        </w:rPr>
        <w:t>第五章 垫江县充换电设施重点任务</w:t>
      </w:r>
      <w:bookmarkEnd w:id="7"/>
    </w:p>
    <w:p>
      <w:pPr>
        <w:pStyle w:val="18"/>
        <w:numPr>
          <w:ilvl w:val="0"/>
          <w:numId w:val="2"/>
        </w:numPr>
        <w:ind w:firstLineChars="0"/>
        <w:rPr>
          <w:b/>
          <w:color w:val="auto"/>
          <w:highlight w:val="none"/>
        </w:rPr>
      </w:pPr>
      <w:r>
        <w:rPr>
          <w:b/>
          <w:color w:val="auto"/>
          <w:sz w:val="28"/>
          <w:highlight w:val="none"/>
        </w:rPr>
        <w:t>全面推进充电设施网络布局和建设</w:t>
      </w:r>
    </w:p>
    <w:p>
      <w:pPr>
        <w:pStyle w:val="18"/>
        <w:ind w:firstLine="560"/>
        <w:rPr>
          <w:color w:val="auto"/>
          <w:sz w:val="28"/>
        </w:rPr>
      </w:pPr>
      <w:r>
        <w:rPr>
          <w:color w:val="auto"/>
          <w:sz w:val="28"/>
          <w:highlight w:val="none"/>
        </w:rPr>
        <w:t>有序推进充电服务网络建设，科学布局充电基础设施，加快推进住宅小区、单位内部停车场、专用领域和电动摩托车充电基础设施的建设。加强充电设施专项规划与综合交通规</w:t>
      </w:r>
      <w:r>
        <w:rPr>
          <w:color w:val="auto"/>
          <w:sz w:val="28"/>
        </w:rPr>
        <w:t>划、停车</w:t>
      </w:r>
      <w:r>
        <w:rPr>
          <w:rFonts w:hint="eastAsia"/>
          <w:color w:val="auto"/>
          <w:sz w:val="28"/>
        </w:rPr>
        <w:t>场</w:t>
      </w:r>
      <w:r>
        <w:rPr>
          <w:color w:val="auto"/>
          <w:sz w:val="28"/>
        </w:rPr>
        <w:t>规划、电力等专项规划的衔接，将充电设施作为城市重要基础设施纳入相关规划中。</w:t>
      </w:r>
    </w:p>
    <w:p>
      <w:pPr>
        <w:pStyle w:val="18"/>
        <w:ind w:firstLine="560"/>
        <w:rPr>
          <w:color w:val="auto"/>
          <w:sz w:val="28"/>
        </w:rPr>
      </w:pPr>
      <w:r>
        <w:rPr>
          <w:rFonts w:hint="eastAsia"/>
          <w:color w:val="auto"/>
          <w:sz w:val="28"/>
        </w:rPr>
        <w:t>加快推进住宅小区充电基础设施建设。积极推进住宅小区按照桩随车走的原则建设自用充电设施。对于有自有产权车位或长期租赁车位的用户，优先考虑结合停车位建设充电桩，鼓励在已建住宅小区公共停车位配建一定比例的公共充电车位，建立充电车位分时共享机制，为用户充电创造条件。对于实施条件较为困难的居住区，积极在小区周边发展公用充电设施予以补足。</w:t>
      </w:r>
    </w:p>
    <w:p>
      <w:pPr>
        <w:pStyle w:val="18"/>
        <w:ind w:firstLine="560"/>
        <w:rPr>
          <w:color w:val="auto"/>
          <w:sz w:val="28"/>
        </w:rPr>
      </w:pPr>
      <w:r>
        <w:rPr>
          <w:rFonts w:hint="eastAsia"/>
          <w:color w:val="auto"/>
          <w:sz w:val="28"/>
        </w:rPr>
        <w:t>加快推进公用充电网络建设。在商业等公共服务场所、公共停车场、高速公路服务区、加油站以及具备停车条件的可利用场地，建设以快充为主的公用充电设施。在城市交通节点、公交场站等区域，建设服务于特定型号或特定领域车辆的充电设施。</w:t>
      </w:r>
    </w:p>
    <w:p>
      <w:pPr>
        <w:pStyle w:val="18"/>
        <w:ind w:firstLine="560"/>
        <w:rPr>
          <w:color w:val="auto"/>
          <w:sz w:val="28"/>
        </w:rPr>
      </w:pPr>
      <w:r>
        <w:rPr>
          <w:rFonts w:hint="eastAsia"/>
          <w:color w:val="auto"/>
          <w:sz w:val="28"/>
        </w:rPr>
        <w:t>公用充电基础设施布局应按照从城区中心到边缘逐步推进的原则，逐步增加公共充电基础设施服务覆盖率。在城区以外区域或新能源重点发展地区适当新建独立用地的公共充电站。</w:t>
      </w:r>
      <w:bookmarkStart w:id="8" w:name="_Hlk155011826"/>
      <w:r>
        <w:rPr>
          <w:rFonts w:hint="eastAsia"/>
          <w:color w:val="auto"/>
          <w:sz w:val="28"/>
        </w:rPr>
        <w:t>根据区域发展和充电设施覆盖情况，</w:t>
      </w:r>
      <w:bookmarkEnd w:id="8"/>
      <w:r>
        <w:rPr>
          <w:rFonts w:hint="eastAsia"/>
          <w:color w:val="auto"/>
          <w:sz w:val="28"/>
        </w:rPr>
        <w:t>储备一批充电站。鼓励有条件的单位和个人充电基础设施向社会公众开放。推进本县高速公路服务区城际快充设施布局，建立城际快充网络，实现区域间互联互通，满足电动汽车城际、省际的出行需求。</w:t>
      </w:r>
    </w:p>
    <w:p>
      <w:pPr>
        <w:pStyle w:val="18"/>
        <w:ind w:firstLine="560"/>
        <w:rPr>
          <w:color w:val="auto"/>
          <w:sz w:val="28"/>
        </w:rPr>
      </w:pPr>
      <w:r>
        <w:rPr>
          <w:rFonts w:hint="eastAsia"/>
          <w:color w:val="auto"/>
          <w:sz w:val="28"/>
        </w:rPr>
        <w:t>加强专用领域充电基础设施建设。推进公交、客运等专用充电设施建设。在公交、客运等定点定线运行的公共服务领域，根据运营需求，优先在自有停车场站内配建充电基础设施。鼓励专用充电设施对外开放，进一步提高充电资源的利用效率。</w:t>
      </w:r>
    </w:p>
    <w:p>
      <w:pPr>
        <w:pStyle w:val="18"/>
        <w:ind w:firstLine="560"/>
        <w:rPr>
          <w:color w:val="auto"/>
          <w:sz w:val="28"/>
        </w:rPr>
      </w:pPr>
      <w:r>
        <w:rPr>
          <w:rFonts w:hint="eastAsia"/>
          <w:color w:val="auto"/>
          <w:sz w:val="28"/>
        </w:rPr>
        <w:t>推动电动摩托车充电基础设施建设。通过自建及引入社会投资等方式，积极推进住宅小区电动摩托车充电桩建设工作，在小区停车场内统一安装电动摩托车充电桩，并设置电动摩托车停放场所，完善消防和安防设施，并配备专人进行安全巡查等工作。</w:t>
      </w:r>
    </w:p>
    <w:p>
      <w:pPr>
        <w:pStyle w:val="18"/>
        <w:numPr>
          <w:ilvl w:val="0"/>
          <w:numId w:val="2"/>
        </w:numPr>
        <w:ind w:firstLineChars="0"/>
        <w:rPr>
          <w:b/>
          <w:color w:val="auto"/>
        </w:rPr>
      </w:pPr>
      <w:r>
        <w:rPr>
          <w:b/>
          <w:color w:val="auto"/>
          <w:sz w:val="28"/>
        </w:rPr>
        <w:t>加强配套电网综合保障能力</w:t>
      </w:r>
    </w:p>
    <w:p>
      <w:pPr>
        <w:pStyle w:val="18"/>
        <w:ind w:firstLine="560"/>
        <w:rPr>
          <w:color w:val="auto"/>
        </w:rPr>
      </w:pPr>
      <w:r>
        <w:rPr>
          <w:rFonts w:hint="eastAsia"/>
          <w:color w:val="auto"/>
          <w:sz w:val="28"/>
        </w:rPr>
        <w:t>开展充电设施发展对电网的影响分析，提出配套电网建设需求。将充电基础设施配套电网新建与改造项目纳入配电网专项规划，与其他相关规划相协调，在用地保障、廊道通行等方面给予支持，切实做到“设施建设、电网先行”。根据各类建筑配建充电基础设施需求，合理提高各类建筑用电设计标准，加强相关标准与规范的制修订工作。</w:t>
      </w:r>
    </w:p>
    <w:p>
      <w:pPr>
        <w:pStyle w:val="18"/>
        <w:numPr>
          <w:ilvl w:val="0"/>
          <w:numId w:val="2"/>
        </w:numPr>
        <w:ind w:firstLineChars="0"/>
        <w:rPr>
          <w:b/>
          <w:color w:val="auto"/>
        </w:rPr>
      </w:pPr>
      <w:r>
        <w:rPr>
          <w:b/>
          <w:color w:val="auto"/>
          <w:sz w:val="28"/>
        </w:rPr>
        <w:t>加强充电技术创新与标准支撑</w:t>
      </w:r>
    </w:p>
    <w:p>
      <w:pPr>
        <w:pStyle w:val="18"/>
        <w:ind w:firstLine="560"/>
        <w:rPr>
          <w:color w:val="auto"/>
          <w:sz w:val="28"/>
        </w:rPr>
      </w:pPr>
      <w:r>
        <w:rPr>
          <w:rFonts w:hint="eastAsia"/>
          <w:color w:val="auto"/>
          <w:sz w:val="28"/>
        </w:rPr>
        <w:t>加强跨行业协作，推动产业各方协同升级。鼓励探索即插即充、无线充电、自动充电等新技术应用。</w:t>
      </w:r>
    </w:p>
    <w:p>
      <w:pPr>
        <w:pStyle w:val="18"/>
        <w:ind w:firstLine="560"/>
        <w:rPr>
          <w:color w:val="auto"/>
        </w:rPr>
      </w:pPr>
      <w:r>
        <w:rPr>
          <w:rFonts w:hint="eastAsia"/>
          <w:color w:val="auto"/>
          <w:sz w:val="28"/>
        </w:rPr>
        <w:t>严格执行国家充电设施技术标准和规范，对于不符合要求的充电设施，加快改造升级。进一步规范电动机动车充电设施接口、基建配套、消防安全、数据采集等方面的技术标准。</w:t>
      </w:r>
    </w:p>
    <w:p>
      <w:pPr>
        <w:pStyle w:val="18"/>
        <w:numPr>
          <w:ilvl w:val="0"/>
          <w:numId w:val="2"/>
        </w:numPr>
        <w:ind w:firstLineChars="0"/>
        <w:rPr>
          <w:b/>
          <w:color w:val="auto"/>
        </w:rPr>
      </w:pPr>
      <w:r>
        <w:rPr>
          <w:b/>
          <w:color w:val="auto"/>
          <w:sz w:val="28"/>
        </w:rPr>
        <w:t>建设信息服务平台，提高设施利用率</w:t>
      </w:r>
    </w:p>
    <w:p>
      <w:pPr>
        <w:pStyle w:val="18"/>
        <w:ind w:firstLine="560"/>
        <w:rPr>
          <w:color w:val="auto"/>
          <w:sz w:val="28"/>
        </w:rPr>
      </w:pPr>
      <w:r>
        <w:rPr>
          <w:color w:val="auto"/>
          <w:sz w:val="28"/>
        </w:rPr>
        <w:t>大力推进“互联网+充电基础设施”建设，为优化充电设施的布点规划、完善补贴政策和监管办法以及产业发展规划的制定等提供科学指导。</w:t>
      </w:r>
    </w:p>
    <w:p>
      <w:pPr>
        <w:pStyle w:val="18"/>
        <w:ind w:firstLine="560"/>
        <w:rPr>
          <w:color w:val="auto"/>
          <w:sz w:val="28"/>
        </w:rPr>
      </w:pPr>
      <w:r>
        <w:rPr>
          <w:color w:val="auto"/>
          <w:sz w:val="28"/>
        </w:rPr>
        <w:t>发展有序充电技术，引导有序用电，减小峰谷差，提高设施效用效率，促进电动机动车与智能电网间能量和信息的双向互动。依托市级平台将充电服务信息接入信息平台，提升用户体验与运营效率。</w:t>
      </w:r>
    </w:p>
    <w:p>
      <w:pPr>
        <w:pStyle w:val="18"/>
        <w:numPr>
          <w:ilvl w:val="0"/>
          <w:numId w:val="2"/>
        </w:numPr>
        <w:ind w:firstLineChars="0"/>
        <w:rPr>
          <w:b/>
          <w:color w:val="auto"/>
        </w:rPr>
      </w:pPr>
      <w:r>
        <w:rPr>
          <w:b/>
          <w:color w:val="auto"/>
          <w:sz w:val="28"/>
        </w:rPr>
        <w:t>探索可持续商业模式</w:t>
      </w:r>
    </w:p>
    <w:p>
      <w:pPr>
        <w:pStyle w:val="18"/>
        <w:ind w:firstLine="560"/>
        <w:rPr>
          <w:color w:val="auto"/>
          <w:sz w:val="28"/>
        </w:rPr>
      </w:pPr>
      <w:r>
        <w:rPr>
          <w:color w:val="auto"/>
          <w:sz w:val="28"/>
        </w:rPr>
        <w:t>充分发挥市场的作用，探索可实施、可推广的充电设施运营商业化模式，鼓励社会资本参与充电设施网络及基础服务平台建设。</w:t>
      </w:r>
      <w:r>
        <w:rPr>
          <w:rFonts w:hint="eastAsia"/>
          <w:color w:val="auto"/>
          <w:sz w:val="28"/>
        </w:rPr>
        <w:t>加快形成私人用户住宅小区与办公场所配套停车场充电基础设施建设运营的市场机制。构建统一开放、竞争有序的充电服务市场。</w:t>
      </w:r>
    </w:p>
    <w:p>
      <w:pPr>
        <w:pStyle w:val="18"/>
        <w:ind w:firstLine="560"/>
        <w:rPr>
          <w:color w:val="auto"/>
          <w:sz w:val="28"/>
        </w:rPr>
      </w:pPr>
      <w:r>
        <w:rPr>
          <w:rFonts w:hint="eastAsia"/>
          <w:color w:val="auto"/>
          <w:sz w:val="28"/>
        </w:rPr>
        <w:t>加快探索建设“光储充放”多功能综合一体站，率先在工业园区、人流密集公共停车场和高速服务区充电站开展试点，既可减少新能源车大量接入时对电网造成的瞬时冲击，还可拓宽收益渠道，降低充电桩后期成本。</w:t>
      </w:r>
    </w:p>
    <w:p>
      <w:pPr>
        <w:pStyle w:val="18"/>
        <w:numPr>
          <w:ilvl w:val="0"/>
          <w:numId w:val="2"/>
        </w:numPr>
        <w:ind w:firstLineChars="0"/>
        <w:rPr>
          <w:b/>
          <w:color w:val="auto"/>
          <w:sz w:val="28"/>
        </w:rPr>
      </w:pPr>
      <w:r>
        <w:rPr>
          <w:rFonts w:hint="eastAsia"/>
          <w:b/>
          <w:color w:val="auto"/>
          <w:sz w:val="28"/>
        </w:rPr>
        <w:t>积极开展建设与运营模式示范</w:t>
      </w:r>
    </w:p>
    <w:p>
      <w:pPr>
        <w:pStyle w:val="18"/>
        <w:ind w:firstLine="560"/>
        <w:rPr>
          <w:color w:val="auto"/>
          <w:sz w:val="28"/>
        </w:rPr>
      </w:pPr>
      <w:r>
        <w:rPr>
          <w:rFonts w:hint="eastAsia"/>
          <w:color w:val="auto"/>
          <w:sz w:val="28"/>
        </w:rPr>
        <w:t>按照因地制宜、适度超前原则，在各个领域开展建设与运营示范。通过示范项目，理顺充电基础设施建设运营管理机制，探索系统化的支持政策以及可行的商业模式，以点带面，加快充电基础设施建设整体进程。建立多层次的充电基础设施示范经验交流推广机制，通过多种形式开展示范工作经验交流，提升示范效果，发挥带动作用。</w:t>
      </w:r>
    </w:p>
    <w:p>
      <w:pPr>
        <w:pStyle w:val="18"/>
        <w:ind w:firstLine="560"/>
        <w:rPr>
          <w:color w:val="auto"/>
          <w:sz w:val="28"/>
        </w:rPr>
      </w:pPr>
    </w:p>
    <w:p>
      <w:pPr>
        <w:pStyle w:val="3"/>
        <w:spacing w:before="120" w:after="120" w:line="415" w:lineRule="auto"/>
        <w:ind w:firstLine="0" w:firstLineChars="0"/>
        <w:jc w:val="center"/>
        <w:rPr>
          <w:rFonts w:ascii="Times New Roman" w:hAnsi="Times New Roman" w:cs="Times New Roman"/>
          <w:sz w:val="36"/>
        </w:rPr>
      </w:pPr>
      <w:bookmarkStart w:id="9" w:name="_Toc157635367"/>
      <w:r>
        <w:rPr>
          <w:rFonts w:ascii="Times New Roman" w:hAnsi="Times New Roman" w:cs="Times New Roman"/>
          <w:sz w:val="36"/>
        </w:rPr>
        <w:t xml:space="preserve">第六章 </w:t>
      </w:r>
      <w:r>
        <w:rPr>
          <w:rFonts w:hint="eastAsia" w:ascii="Times New Roman" w:hAnsi="Times New Roman" w:cs="Times New Roman"/>
          <w:sz w:val="36"/>
        </w:rPr>
        <w:t>环境</w:t>
      </w:r>
      <w:r>
        <w:rPr>
          <w:rFonts w:ascii="Times New Roman" w:hAnsi="Times New Roman" w:cs="Times New Roman"/>
          <w:sz w:val="36"/>
        </w:rPr>
        <w:t>影响评价</w:t>
      </w:r>
      <w:bookmarkEnd w:id="9"/>
    </w:p>
    <w:p>
      <w:pPr>
        <w:pStyle w:val="18"/>
        <w:numPr>
          <w:ilvl w:val="0"/>
          <w:numId w:val="2"/>
        </w:numPr>
        <w:ind w:firstLineChars="0"/>
        <w:rPr>
          <w:b/>
          <w:color w:val="auto"/>
          <w:sz w:val="28"/>
        </w:rPr>
      </w:pPr>
      <w:r>
        <w:rPr>
          <w:rFonts w:hint="eastAsia"/>
          <w:b/>
          <w:color w:val="auto"/>
          <w:sz w:val="28"/>
        </w:rPr>
        <w:t>环境影响分析</w:t>
      </w:r>
    </w:p>
    <w:p>
      <w:pPr>
        <w:pStyle w:val="18"/>
        <w:ind w:firstLine="560"/>
        <w:rPr>
          <w:color w:val="auto"/>
          <w:sz w:val="28"/>
        </w:rPr>
      </w:pPr>
      <w:r>
        <w:rPr>
          <w:rFonts w:hint="eastAsia"/>
          <w:color w:val="auto"/>
          <w:sz w:val="28"/>
        </w:rPr>
        <w:t>按照建设期和运营期分别进行分析。建设期涉及的环境影响因素主要为建设过程中产生的各种噪声、粉尘、固体废物（建筑垃圾）、废气、污水等，在落实设计、施工期的环境保护措施的情况下，可使项目建设产生的水、气、渣等对环境的不利影响降到最小限度。充换电基础设施在建成投入运营后，涉及的环境影响因素主要为各类变电设备产生的噪音、电磁辐射等，因此应强化运营期间管理。</w:t>
      </w:r>
    </w:p>
    <w:p>
      <w:pPr>
        <w:pStyle w:val="18"/>
        <w:numPr>
          <w:ilvl w:val="0"/>
          <w:numId w:val="2"/>
        </w:numPr>
        <w:ind w:firstLineChars="0"/>
        <w:rPr>
          <w:b/>
          <w:color w:val="auto"/>
          <w:sz w:val="28"/>
        </w:rPr>
      </w:pPr>
      <w:r>
        <w:rPr>
          <w:rFonts w:hint="eastAsia"/>
          <w:b/>
          <w:color w:val="auto"/>
          <w:sz w:val="28"/>
        </w:rPr>
        <w:t>环境保护措施</w:t>
      </w:r>
    </w:p>
    <w:p>
      <w:pPr>
        <w:pStyle w:val="18"/>
        <w:ind w:firstLine="560"/>
        <w:rPr>
          <w:color w:val="auto"/>
          <w:sz w:val="28"/>
        </w:rPr>
      </w:pPr>
      <w:r>
        <w:rPr>
          <w:rFonts w:hint="eastAsia"/>
          <w:color w:val="auto"/>
          <w:sz w:val="28"/>
        </w:rPr>
        <w:t>完善充换电基础设施环境保护监管机制。严格遵守《中华人民共和国环境保护法》《中华人民共和国节约能源法》《中华人民共和国环境影响评价法》等相关法律法规，切实履行充电基础设施建设运营企业的节能环保责任和义务。</w:t>
      </w:r>
    </w:p>
    <w:p>
      <w:pPr>
        <w:pStyle w:val="18"/>
        <w:ind w:firstLine="560"/>
        <w:rPr>
          <w:color w:val="auto"/>
          <w:sz w:val="28"/>
        </w:rPr>
      </w:pPr>
      <w:r>
        <w:rPr>
          <w:rFonts w:hint="eastAsia"/>
          <w:color w:val="auto"/>
          <w:sz w:val="28"/>
        </w:rPr>
        <w:t>加强与“三线一单”（生态保护红线、环境质量底线、资源利用上线和生态环境准入清单）生态环境分区管控体系衔接。实行企业自主监管、政府部门监管和社会监督同步运行的常态化监督机制，引导企业制定环境风险应急预案及保障体系，主动接受各方监督。</w:t>
      </w:r>
    </w:p>
    <w:p>
      <w:pPr>
        <w:pStyle w:val="18"/>
        <w:ind w:firstLine="560"/>
        <w:rPr>
          <w:color w:val="auto"/>
          <w:sz w:val="28"/>
        </w:rPr>
      </w:pPr>
      <w:r>
        <w:rPr>
          <w:rFonts w:hint="eastAsia"/>
          <w:color w:val="auto"/>
          <w:sz w:val="28"/>
        </w:rPr>
        <w:t>加强项目建设和运营期环境保护工作，对施工期及运营期可能造成的影响进行分析、预测和评估，提出预防或者减轻不良环境影响的对策和措施，落实各项环保措施和风险防范措施。按照国家法规对污水、废气排放进行监控和处理，项目建设和运营期严格执行国家规定排放标准，项目施工期间严格控制粉尘、噪音、固体废物等污染，项目建成投产后要加强运营期的环境监测，发现对环境的不利影响时应及时采取措施进行消除。</w:t>
      </w:r>
    </w:p>
    <w:p>
      <w:pPr>
        <w:pStyle w:val="18"/>
        <w:ind w:firstLine="480"/>
        <w:rPr>
          <w:color w:val="auto"/>
        </w:rPr>
      </w:pPr>
    </w:p>
    <w:p>
      <w:pPr>
        <w:pStyle w:val="3"/>
        <w:spacing w:before="120" w:after="120" w:line="415" w:lineRule="auto"/>
        <w:ind w:firstLine="0" w:firstLineChars="0"/>
        <w:jc w:val="center"/>
        <w:rPr>
          <w:rFonts w:ascii="Times New Roman" w:hAnsi="Times New Roman" w:cs="Times New Roman"/>
        </w:rPr>
      </w:pPr>
      <w:bookmarkStart w:id="10" w:name="_Toc157635368"/>
      <w:r>
        <w:rPr>
          <w:rFonts w:hint="eastAsia" w:ascii="Times New Roman" w:hAnsi="Times New Roman" w:cs="Times New Roman"/>
          <w:sz w:val="36"/>
        </w:rPr>
        <w:t xml:space="preserve">第七章 </w:t>
      </w:r>
      <w:r>
        <w:rPr>
          <w:rFonts w:ascii="Times New Roman" w:hAnsi="Times New Roman" w:cs="Times New Roman"/>
          <w:sz w:val="36"/>
        </w:rPr>
        <w:t>规划实施建议</w:t>
      </w:r>
      <w:bookmarkEnd w:id="10"/>
    </w:p>
    <w:p>
      <w:pPr>
        <w:pStyle w:val="18"/>
        <w:numPr>
          <w:ilvl w:val="0"/>
          <w:numId w:val="2"/>
        </w:numPr>
        <w:ind w:firstLineChars="0"/>
        <w:rPr>
          <w:b/>
          <w:color w:val="auto"/>
        </w:rPr>
      </w:pPr>
      <w:r>
        <w:rPr>
          <w:b/>
          <w:color w:val="auto"/>
          <w:sz w:val="28"/>
        </w:rPr>
        <w:t>加强规划引领</w:t>
      </w:r>
    </w:p>
    <w:p>
      <w:pPr>
        <w:pStyle w:val="18"/>
        <w:ind w:firstLine="560"/>
        <w:rPr>
          <w:color w:val="auto"/>
          <w:sz w:val="28"/>
        </w:rPr>
      </w:pPr>
      <w:r>
        <w:rPr>
          <w:color w:val="auto"/>
          <w:sz w:val="28"/>
        </w:rPr>
        <w:t>编制充电基础设施专项规划，明确各类充电设施的发展目标、</w:t>
      </w:r>
      <w:r>
        <w:rPr>
          <w:rFonts w:hint="eastAsia"/>
          <w:color w:val="auto"/>
          <w:sz w:val="28"/>
        </w:rPr>
        <w:t>规划</w:t>
      </w:r>
      <w:r>
        <w:rPr>
          <w:color w:val="auto"/>
          <w:sz w:val="28"/>
        </w:rPr>
        <w:t>布局，相关内容</w:t>
      </w:r>
      <w:r>
        <w:rPr>
          <w:rFonts w:hint="eastAsia"/>
          <w:color w:val="auto"/>
          <w:sz w:val="28"/>
        </w:rPr>
        <w:t>按</w:t>
      </w:r>
      <w:r>
        <w:rPr>
          <w:color w:val="auto"/>
          <w:sz w:val="28"/>
        </w:rPr>
        <w:t>程序纳入国土空间规划、综合交通规划、基础设施规划</w:t>
      </w:r>
      <w:r>
        <w:rPr>
          <w:rFonts w:hint="eastAsia"/>
          <w:color w:val="auto"/>
          <w:sz w:val="28"/>
        </w:rPr>
        <w:t>、</w:t>
      </w:r>
      <w:r>
        <w:rPr>
          <w:color w:val="auto"/>
          <w:sz w:val="28"/>
        </w:rPr>
        <w:t>电网规划</w:t>
      </w:r>
      <w:r>
        <w:rPr>
          <w:rFonts w:hint="eastAsia"/>
          <w:color w:val="auto"/>
          <w:sz w:val="28"/>
        </w:rPr>
        <w:t>等</w:t>
      </w:r>
      <w:r>
        <w:rPr>
          <w:color w:val="auto"/>
          <w:sz w:val="28"/>
        </w:rPr>
        <w:t>，形成完整的充电基础设施发展规划体系。</w:t>
      </w:r>
    </w:p>
    <w:p>
      <w:pPr>
        <w:pStyle w:val="18"/>
        <w:numPr>
          <w:ilvl w:val="0"/>
          <w:numId w:val="2"/>
        </w:numPr>
        <w:ind w:firstLineChars="0"/>
        <w:rPr>
          <w:b/>
          <w:color w:val="auto"/>
        </w:rPr>
      </w:pPr>
      <w:r>
        <w:rPr>
          <w:b/>
          <w:color w:val="auto"/>
          <w:sz w:val="28"/>
        </w:rPr>
        <w:t>站点优化调整</w:t>
      </w:r>
    </w:p>
    <w:p>
      <w:pPr>
        <w:pStyle w:val="18"/>
        <w:ind w:firstLine="560"/>
        <w:rPr>
          <w:color w:val="auto"/>
        </w:rPr>
      </w:pPr>
      <w:r>
        <w:rPr>
          <w:rFonts w:hint="eastAsia"/>
          <w:color w:val="auto"/>
          <w:sz w:val="28"/>
        </w:rPr>
        <w:t>规划区建充电站须满足本规划要求，如规划位置实施有难度等特殊情况，可在附近区域另行选址，但需要经过相关部门评审。若规划的充换电站不具备建设条件，可在站点周边适当范围进行调整。</w:t>
      </w:r>
      <w:r>
        <w:rPr>
          <w:color w:val="auto"/>
          <w:sz w:val="28"/>
        </w:rPr>
        <w:t>对于未纳入规划但确需建设的站点，经研究论证后按相关程序纳入专项规划，适时对《专项规划》进行评估和修编。</w:t>
      </w:r>
    </w:p>
    <w:p>
      <w:pPr>
        <w:pStyle w:val="18"/>
        <w:numPr>
          <w:ilvl w:val="0"/>
          <w:numId w:val="2"/>
        </w:numPr>
        <w:ind w:firstLineChars="0"/>
        <w:rPr>
          <w:b/>
          <w:color w:val="auto"/>
        </w:rPr>
      </w:pPr>
      <w:r>
        <w:rPr>
          <w:b/>
          <w:color w:val="auto"/>
          <w:sz w:val="28"/>
        </w:rPr>
        <w:t>明确监管责任</w:t>
      </w:r>
    </w:p>
    <w:p>
      <w:pPr>
        <w:pStyle w:val="18"/>
        <w:ind w:firstLine="560"/>
        <w:rPr>
          <w:color w:val="auto"/>
        </w:rPr>
      </w:pPr>
      <w:r>
        <w:rPr>
          <w:color w:val="auto"/>
          <w:sz w:val="28"/>
        </w:rPr>
        <w:t>按照“谁所有，谁负责”原则，公用、专用充电设施的安全主体责任由所有权人和运营企业共同承担，其安全监管工作由属地</w:t>
      </w:r>
      <w:r>
        <w:rPr>
          <w:rFonts w:hint="eastAsia"/>
          <w:color w:val="auto"/>
          <w:sz w:val="28"/>
          <w:lang w:val="en-US" w:eastAsia="zh-CN"/>
        </w:rPr>
        <w:t>乡</w:t>
      </w:r>
      <w:r>
        <w:rPr>
          <w:color w:val="auto"/>
          <w:sz w:val="28"/>
        </w:rPr>
        <w:t>镇</w:t>
      </w:r>
      <w:r>
        <w:rPr>
          <w:rFonts w:hint="eastAsia"/>
          <w:color w:val="auto"/>
          <w:sz w:val="28"/>
          <w:lang w:val="en-US" w:eastAsia="zh-CN"/>
        </w:rPr>
        <w:t>人民</w:t>
      </w:r>
      <w:r>
        <w:rPr>
          <w:color w:val="auto"/>
          <w:sz w:val="28"/>
        </w:rPr>
        <w:t>政府</w:t>
      </w:r>
      <w:r>
        <w:rPr>
          <w:rFonts w:hint="eastAsia"/>
          <w:color w:val="auto"/>
          <w:sz w:val="28"/>
          <w:lang w:eastAsia="zh-CN"/>
        </w:rPr>
        <w:t>、</w:t>
      </w:r>
      <w:r>
        <w:rPr>
          <w:color w:val="auto"/>
          <w:sz w:val="28"/>
        </w:rPr>
        <w:t>街道办事处和相关主管部门依职责分工负责。自用充电设施的安全主体责任由其所有权人承担。充电设施所有权人将其所属充电设施委托给第三方（包括但不限于运营企业、物管企业）运营、维护管理的，须签订安全生产管理协议，双方共同承担充电设施安全生产主体责任。各</w:t>
      </w:r>
      <w:r>
        <w:rPr>
          <w:rFonts w:hint="eastAsia"/>
          <w:color w:val="auto"/>
          <w:sz w:val="28"/>
          <w:lang w:val="en-US" w:eastAsia="zh-CN"/>
        </w:rPr>
        <w:t>乡</w:t>
      </w:r>
      <w:r>
        <w:rPr>
          <w:color w:val="auto"/>
          <w:sz w:val="28"/>
        </w:rPr>
        <w:t>镇</w:t>
      </w:r>
      <w:r>
        <w:rPr>
          <w:rFonts w:hint="eastAsia"/>
          <w:color w:val="auto"/>
          <w:sz w:val="28"/>
          <w:lang w:val="en-US" w:eastAsia="zh-CN"/>
        </w:rPr>
        <w:t>人民</w:t>
      </w:r>
      <w:r>
        <w:rPr>
          <w:color w:val="auto"/>
          <w:sz w:val="28"/>
        </w:rPr>
        <w:t>政府</w:t>
      </w:r>
      <w:r>
        <w:rPr>
          <w:rFonts w:hint="eastAsia"/>
          <w:color w:val="auto"/>
          <w:sz w:val="28"/>
          <w:lang w:eastAsia="zh-CN"/>
        </w:rPr>
        <w:t>、</w:t>
      </w:r>
      <w:r>
        <w:rPr>
          <w:color w:val="auto"/>
          <w:sz w:val="28"/>
        </w:rPr>
        <w:t>街道办事处应将辖区内各类充电设施纳入所在</w:t>
      </w:r>
      <w:r>
        <w:rPr>
          <w:rFonts w:hint="eastAsia"/>
          <w:color w:val="auto"/>
          <w:sz w:val="28"/>
          <w:lang w:val="en-US" w:eastAsia="zh-CN"/>
        </w:rPr>
        <w:t>乡</w:t>
      </w:r>
      <w:r>
        <w:rPr>
          <w:color w:val="auto"/>
          <w:sz w:val="28"/>
        </w:rPr>
        <w:t>镇</w:t>
      </w:r>
      <w:r>
        <w:rPr>
          <w:rFonts w:hint="eastAsia"/>
          <w:color w:val="auto"/>
          <w:sz w:val="28"/>
          <w:lang w:val="en-US" w:eastAsia="zh-CN"/>
        </w:rPr>
        <w:t>人民</w:t>
      </w:r>
      <w:r>
        <w:rPr>
          <w:color w:val="auto"/>
          <w:sz w:val="28"/>
        </w:rPr>
        <w:t>政府（街道办事处、园区管委会）、村（居）委的网格化管理范围。</w:t>
      </w:r>
    </w:p>
    <w:p>
      <w:pPr>
        <w:pStyle w:val="18"/>
        <w:numPr>
          <w:ilvl w:val="0"/>
          <w:numId w:val="2"/>
        </w:numPr>
        <w:ind w:firstLineChars="0"/>
        <w:rPr>
          <w:b/>
          <w:color w:val="auto"/>
        </w:rPr>
      </w:pPr>
      <w:r>
        <w:rPr>
          <w:b/>
          <w:color w:val="auto"/>
          <w:sz w:val="28"/>
        </w:rPr>
        <w:t>强化安全管理</w:t>
      </w:r>
    </w:p>
    <w:p>
      <w:pPr>
        <w:pStyle w:val="18"/>
        <w:ind w:firstLine="560"/>
        <w:rPr>
          <w:color w:val="auto"/>
          <w:sz w:val="28"/>
        </w:rPr>
      </w:pPr>
      <w:r>
        <w:rPr>
          <w:color w:val="auto"/>
          <w:sz w:val="28"/>
        </w:rPr>
        <w:t>严格按照“三管三必须”要求，落实各方安全责任。建立完善各级安全管理机制，加强充电设施运营安全监管，强化居住社区用电安全管理。建立火灾事故调查处理、溯源机制，鼓励相关安全责任保险推广应用。</w:t>
      </w:r>
    </w:p>
    <w:p>
      <w:pPr>
        <w:pStyle w:val="18"/>
        <w:numPr>
          <w:ilvl w:val="0"/>
          <w:numId w:val="2"/>
        </w:numPr>
        <w:ind w:firstLineChars="0"/>
        <w:rPr>
          <w:b/>
          <w:color w:val="auto"/>
          <w:sz w:val="28"/>
        </w:rPr>
      </w:pPr>
      <w:r>
        <w:rPr>
          <w:rFonts w:hint="eastAsia"/>
          <w:b/>
          <w:color w:val="auto"/>
          <w:sz w:val="28"/>
        </w:rPr>
        <w:t>注重发挥示范引领作用</w:t>
      </w:r>
    </w:p>
    <w:p>
      <w:pPr>
        <w:pStyle w:val="18"/>
        <w:ind w:firstLine="560"/>
        <w:rPr>
          <w:color w:val="auto"/>
          <w:sz w:val="28"/>
        </w:rPr>
      </w:pPr>
      <w:r>
        <w:rPr>
          <w:rFonts w:hint="eastAsia"/>
          <w:color w:val="auto"/>
          <w:sz w:val="28"/>
        </w:rPr>
        <w:t>结合电动机动车推广应用需要，积极开展“示范小区与单位”充电基础设施建设与运营模式试点示范。充分发挥现有公共设施的作用，创新充电基础设施建设与运营模式，形成可复制、可推广的充电基础设施发展经验，促进充电基础设施加快普及。</w:t>
      </w:r>
    </w:p>
    <w:p>
      <w:pPr>
        <w:pStyle w:val="18"/>
        <w:numPr>
          <w:ilvl w:val="0"/>
          <w:numId w:val="2"/>
        </w:numPr>
        <w:ind w:firstLineChars="0"/>
        <w:rPr>
          <w:b/>
          <w:color w:val="auto"/>
          <w:sz w:val="28"/>
        </w:rPr>
      </w:pPr>
      <w:r>
        <w:rPr>
          <w:b/>
          <w:color w:val="auto"/>
          <w:sz w:val="28"/>
        </w:rPr>
        <w:t>强化舆论宣传保障</w:t>
      </w:r>
    </w:p>
    <w:p>
      <w:pPr>
        <w:pStyle w:val="18"/>
        <w:ind w:firstLine="560"/>
        <w:rPr>
          <w:color w:val="auto"/>
          <w:sz w:val="28"/>
        </w:rPr>
      </w:pPr>
      <w:r>
        <w:rPr>
          <w:color w:val="auto"/>
          <w:sz w:val="28"/>
        </w:rPr>
        <w:t>建立舆论监督和公众监督机制，加大相关部门、企业和新闻媒体的宣传力度，综合运用法规强制、行政管理、市场引导、公众自愿等手段，</w:t>
      </w:r>
      <w:r>
        <w:rPr>
          <w:rFonts w:hint="eastAsia"/>
          <w:color w:val="auto"/>
          <w:sz w:val="28"/>
        </w:rPr>
        <w:t>营造全方位的支撑保障环境和</w:t>
      </w:r>
      <w:r>
        <w:rPr>
          <w:color w:val="auto"/>
          <w:sz w:val="28"/>
        </w:rPr>
        <w:t>有利于充电基础设施发展的舆论氛围。</w:t>
      </w:r>
    </w:p>
    <w:p>
      <w:pPr>
        <w:pStyle w:val="18"/>
        <w:ind w:firstLine="480"/>
        <w:rPr>
          <w:color w:val="auto"/>
        </w:rPr>
      </w:pPr>
    </w:p>
    <w:p>
      <w:pPr>
        <w:pStyle w:val="18"/>
        <w:ind w:firstLine="480"/>
        <w:rPr>
          <w:color w:val="auto"/>
        </w:rPr>
      </w:pPr>
    </w:p>
    <w:p>
      <w:pPr>
        <w:pStyle w:val="18"/>
        <w:ind w:firstLine="480"/>
        <w:rPr>
          <w:color w:val="auto"/>
        </w:rPr>
      </w:pPr>
    </w:p>
    <w:p>
      <w:pPr>
        <w:pStyle w:val="18"/>
        <w:ind w:firstLine="480"/>
        <w:rPr>
          <w:color w:val="auto"/>
        </w:rPr>
      </w:pPr>
    </w:p>
    <w:p>
      <w:pPr>
        <w:pStyle w:val="18"/>
        <w:ind w:firstLine="480"/>
        <w:rPr>
          <w:color w:val="auto"/>
        </w:rPr>
        <w:sectPr>
          <w:footerReference r:id="rId11" w:type="default"/>
          <w:pgSz w:w="23814" w:h="16839" w:orient="landscape"/>
          <w:pgMar w:top="1800" w:right="1440" w:bottom="1800" w:left="1440" w:header="851" w:footer="992" w:gutter="0"/>
          <w:pgNumType w:start="1"/>
          <w:cols w:space="425" w:num="2"/>
          <w:docGrid w:type="lines" w:linePitch="326" w:charSpace="0"/>
        </w:sectPr>
      </w:pPr>
    </w:p>
    <w:p>
      <w:pPr>
        <w:pStyle w:val="3"/>
        <w:spacing w:before="120" w:after="120" w:line="415" w:lineRule="auto"/>
        <w:ind w:firstLine="0" w:firstLineChars="0"/>
        <w:jc w:val="left"/>
        <w:rPr>
          <w:rFonts w:ascii="Times New Roman" w:hAnsi="Times New Roman" w:cs="Times New Roman"/>
        </w:rPr>
      </w:pPr>
      <w:bookmarkStart w:id="11" w:name="_Toc157635369"/>
      <w:r>
        <w:rPr>
          <w:rFonts w:ascii="Times New Roman" w:hAnsi="Times New Roman" w:cs="Times New Roman"/>
          <w:sz w:val="36"/>
        </w:rPr>
        <w:t>附表1 一类区</w:t>
      </w:r>
      <w:r>
        <w:rPr>
          <w:rFonts w:hint="eastAsia" w:ascii="Times New Roman" w:hAnsi="Times New Roman" w:cs="Times New Roman"/>
          <w:sz w:val="36"/>
        </w:rPr>
        <w:t>规划</w:t>
      </w:r>
      <w:r>
        <w:rPr>
          <w:rFonts w:ascii="Times New Roman" w:hAnsi="Times New Roman" w:cs="Times New Roman"/>
          <w:sz w:val="36"/>
        </w:rPr>
        <w:t>公共充电站一览表</w:t>
      </w:r>
      <w:bookmarkEnd w:id="11"/>
    </w:p>
    <w:tbl>
      <w:tblPr>
        <w:tblStyle w:val="7"/>
        <w:tblW w:w="20614" w:type="dxa"/>
        <w:tblInd w:w="91" w:type="dxa"/>
        <w:tblLayout w:type="fixed"/>
        <w:tblCellMar>
          <w:top w:w="0" w:type="dxa"/>
          <w:left w:w="108" w:type="dxa"/>
          <w:bottom w:w="0" w:type="dxa"/>
          <w:right w:w="108" w:type="dxa"/>
        </w:tblCellMar>
      </w:tblPr>
      <w:tblGrid>
        <w:gridCol w:w="828"/>
        <w:gridCol w:w="3333"/>
        <w:gridCol w:w="4255"/>
        <w:gridCol w:w="1500"/>
        <w:gridCol w:w="1044"/>
        <w:gridCol w:w="1489"/>
        <w:gridCol w:w="900"/>
        <w:gridCol w:w="810"/>
        <w:gridCol w:w="1466"/>
        <w:gridCol w:w="708"/>
        <w:gridCol w:w="720"/>
        <w:gridCol w:w="1520"/>
        <w:gridCol w:w="2041"/>
      </w:tblGrid>
      <w:tr>
        <w:tblPrEx>
          <w:tblCellMar>
            <w:top w:w="0" w:type="dxa"/>
            <w:left w:w="108" w:type="dxa"/>
            <w:bottom w:w="0" w:type="dxa"/>
            <w:right w:w="108" w:type="dxa"/>
          </w:tblCellMar>
        </w:tblPrEx>
        <w:trPr>
          <w:trHeight w:val="1003" w:hRule="atLeast"/>
          <w:tblHeader/>
        </w:trPr>
        <w:tc>
          <w:tcPr>
            <w:tcW w:w="828" w:type="dxa"/>
            <w:tcBorders>
              <w:top w:val="single" w:color="000000" w:sz="8" w:space="0"/>
              <w:left w:val="single" w:color="000000" w:sz="8"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编号</w:t>
            </w:r>
          </w:p>
        </w:tc>
        <w:tc>
          <w:tcPr>
            <w:tcW w:w="3333"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名称</w:t>
            </w:r>
          </w:p>
        </w:tc>
        <w:tc>
          <w:tcPr>
            <w:tcW w:w="4255"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位置</w:t>
            </w:r>
          </w:p>
        </w:tc>
        <w:tc>
          <w:tcPr>
            <w:tcW w:w="1500"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地块编号</w:t>
            </w:r>
          </w:p>
        </w:tc>
        <w:tc>
          <w:tcPr>
            <w:tcW w:w="1044"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地块面积（公顷）</w:t>
            </w:r>
          </w:p>
        </w:tc>
        <w:tc>
          <w:tcPr>
            <w:tcW w:w="1489"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站点</w:t>
            </w:r>
          </w:p>
          <w:p>
            <w:pPr>
              <w:widowControl/>
              <w:spacing w:line="240" w:lineRule="auto"/>
              <w:ind w:firstLine="0" w:firstLineChars="0"/>
              <w:jc w:val="center"/>
              <w:textAlignment w:val="center"/>
              <w:rPr>
                <w:rFonts w:ascii="宋体" w:hAnsi="宋体" w:cs="宋体"/>
              </w:rPr>
            </w:pPr>
            <w:r>
              <w:rPr>
                <w:rFonts w:hint="eastAsia" w:ascii="宋体" w:hAnsi="宋体" w:cs="宋体"/>
                <w:kern w:val="0"/>
              </w:rPr>
              <w:t>用地类型</w:t>
            </w:r>
          </w:p>
        </w:tc>
        <w:tc>
          <w:tcPr>
            <w:tcW w:w="900"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建设</w:t>
            </w:r>
          </w:p>
          <w:p>
            <w:pPr>
              <w:widowControl/>
              <w:spacing w:line="240" w:lineRule="auto"/>
              <w:ind w:firstLine="0" w:firstLineChars="0"/>
              <w:jc w:val="center"/>
              <w:textAlignment w:val="center"/>
              <w:rPr>
                <w:rFonts w:ascii="宋体" w:hAnsi="宋体" w:cs="宋体"/>
              </w:rPr>
            </w:pPr>
            <w:r>
              <w:rPr>
                <w:rFonts w:hint="eastAsia" w:ascii="宋体" w:hAnsi="宋体" w:cs="宋体"/>
                <w:kern w:val="0"/>
              </w:rPr>
              <w:t>方式</w:t>
            </w:r>
          </w:p>
        </w:tc>
        <w:tc>
          <w:tcPr>
            <w:tcW w:w="810"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站点功能类型</w:t>
            </w:r>
          </w:p>
        </w:tc>
        <w:tc>
          <w:tcPr>
            <w:tcW w:w="1466"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建议车位充电功率</w:t>
            </w:r>
          </w:p>
        </w:tc>
        <w:tc>
          <w:tcPr>
            <w:tcW w:w="708"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建议充电</w:t>
            </w:r>
          </w:p>
          <w:p>
            <w:pPr>
              <w:widowControl/>
              <w:spacing w:line="240" w:lineRule="auto"/>
              <w:ind w:firstLine="0" w:firstLineChars="0"/>
              <w:jc w:val="center"/>
              <w:textAlignment w:val="center"/>
              <w:rPr>
                <w:rFonts w:ascii="宋体" w:hAnsi="宋体" w:cs="宋体"/>
              </w:rPr>
            </w:pPr>
            <w:r>
              <w:rPr>
                <w:rFonts w:hint="eastAsia" w:ascii="宋体" w:hAnsi="宋体" w:cs="宋体"/>
                <w:kern w:val="0"/>
              </w:rPr>
              <w:t>车位</w:t>
            </w:r>
          </w:p>
        </w:tc>
        <w:tc>
          <w:tcPr>
            <w:tcW w:w="720"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超充</w:t>
            </w:r>
          </w:p>
          <w:p>
            <w:pPr>
              <w:widowControl/>
              <w:spacing w:line="240" w:lineRule="auto"/>
              <w:ind w:firstLine="0" w:firstLineChars="0"/>
              <w:jc w:val="center"/>
              <w:textAlignment w:val="center"/>
              <w:rPr>
                <w:rFonts w:ascii="宋体" w:hAnsi="宋体" w:cs="宋体"/>
              </w:rPr>
            </w:pPr>
            <w:r>
              <w:rPr>
                <w:rFonts w:hint="eastAsia" w:ascii="宋体" w:hAnsi="宋体" w:cs="宋体"/>
                <w:kern w:val="0"/>
              </w:rPr>
              <w:t>配置</w:t>
            </w:r>
          </w:p>
        </w:tc>
        <w:tc>
          <w:tcPr>
            <w:tcW w:w="1520" w:type="dxa"/>
            <w:tcBorders>
              <w:top w:val="single" w:color="000000" w:sz="8" w:space="0"/>
              <w:left w:val="single" w:color="000000" w:sz="4"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站点</w:t>
            </w:r>
          </w:p>
          <w:p>
            <w:pPr>
              <w:widowControl/>
              <w:spacing w:line="240" w:lineRule="auto"/>
              <w:ind w:firstLine="0" w:firstLineChars="0"/>
              <w:jc w:val="center"/>
              <w:textAlignment w:val="center"/>
              <w:rPr>
                <w:rFonts w:ascii="宋体" w:hAnsi="宋体" w:cs="宋体"/>
              </w:rPr>
            </w:pPr>
            <w:r>
              <w:rPr>
                <w:rFonts w:hint="eastAsia" w:ascii="宋体" w:hAnsi="宋体" w:cs="宋体"/>
                <w:kern w:val="0"/>
              </w:rPr>
              <w:t>建议分类</w:t>
            </w:r>
          </w:p>
        </w:tc>
        <w:tc>
          <w:tcPr>
            <w:tcW w:w="2041" w:type="dxa"/>
            <w:tcBorders>
              <w:top w:val="single" w:color="000000" w:sz="8" w:space="0"/>
              <w:left w:val="single" w:color="000000" w:sz="4"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备注</w:t>
            </w:r>
          </w:p>
        </w:tc>
      </w:tr>
      <w:tr>
        <w:tblPrEx>
          <w:tblCellMar>
            <w:top w:w="0" w:type="dxa"/>
            <w:left w:w="108" w:type="dxa"/>
            <w:bottom w:w="0" w:type="dxa"/>
            <w:right w:w="108" w:type="dxa"/>
          </w:tblCellMar>
        </w:tblPrEx>
        <w:trPr>
          <w:trHeight w:val="675" w:hRule="atLeast"/>
        </w:trPr>
        <w:tc>
          <w:tcPr>
            <w:tcW w:w="828"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DJ-01</w:t>
            </w:r>
          </w:p>
        </w:tc>
        <w:tc>
          <w:tcPr>
            <w:tcW w:w="3333"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玉鼎大道（白龙公园）充电站</w:t>
            </w:r>
          </w:p>
        </w:tc>
        <w:tc>
          <w:tcPr>
            <w:tcW w:w="4255"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桂西大道北段和回龙路交叉口西南侧（白龙公园停车场）</w:t>
            </w:r>
          </w:p>
        </w:tc>
        <w:tc>
          <w:tcPr>
            <w:tcW w:w="150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A04-04/02</w:t>
            </w:r>
          </w:p>
        </w:tc>
        <w:tc>
          <w:tcPr>
            <w:tcW w:w="1044"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0.47</w:t>
            </w:r>
          </w:p>
        </w:tc>
        <w:tc>
          <w:tcPr>
            <w:tcW w:w="1489"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16</w:t>
            </w:r>
          </w:p>
        </w:tc>
        <w:tc>
          <w:tcPr>
            <w:tcW w:w="720" w:type="dxa"/>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nil"/>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nil"/>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DJ-02</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西街社区充电站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陵园路与工农路交叉口北侧（林业局小区对面）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F02-20-3/03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pPr>
            <w:r>
              <w:rPr>
                <w:kern w:val="0"/>
              </w:rPr>
              <w:t>0.34</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DJ-03</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保合社区充电站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人民路与桂东大道东北侧（天子云庭斜对面）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B03-19/03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0.38</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DJ-04</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三合社区充电站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牡丹大道北侧与朝阳北路交叉处（三合苑旁）</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I03-19/03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pPr>
            <w:r>
              <w:rPr>
                <w:kern w:val="0"/>
              </w:rPr>
              <w:t>0.27</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Style w:val="26"/>
                <w:rFonts w:hint="default"/>
                <w:color w:val="auto"/>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DJ-05</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马蹄路充电站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马蹄路南侧（电力公司斜对面伴山壹品旁）</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K04-01-2/03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0.45</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DJ-06</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桂南大道充电站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垫江县桂南大道404号（天马桥饭是</w:t>
            </w:r>
            <w:r>
              <w:rPr>
                <w:rStyle w:val="26"/>
                <w:rFonts w:hint="eastAsia"/>
                <w:color w:val="auto"/>
                <w:lang w:val="en-US" w:eastAsia="zh-CN"/>
              </w:rPr>
              <w:t>钢</w:t>
            </w:r>
            <w:r>
              <w:rPr>
                <w:rStyle w:val="26"/>
                <w:rFonts w:hint="default"/>
                <w:color w:val="auto"/>
              </w:rPr>
              <w:t>酒楼对面）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K06-18/03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pPr>
            <w:r>
              <w:rPr>
                <w:kern w:val="0"/>
              </w:rPr>
              <w:t>1.1</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Style w:val="26"/>
                <w:rFonts w:hint="default"/>
                <w:color w:val="auto"/>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DJ-07</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牡丹大道南侧充电站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牡丹大道南侧（牡丹大道与朝阳二路交叉处，现君诚二手车市场）</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N01-02/02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0.64</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337"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DJ-08</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长安大道西段充电站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长安大道西段北侧（长安天樾对面）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L01-09/04</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0.82</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Fonts w:hint="eastAsia" w:ascii="宋体" w:hAnsi="宋体" w:cs="宋体"/>
                <w:kern w:val="0"/>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DJ-09</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朝阳一支路充电站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朝阳一支路（聚欣源）</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rFonts w:hint="eastAsia"/>
                <w:color w:val="auto"/>
              </w:rPr>
              <w:t>M04-10/02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0.35</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DJ-10</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高铁站充电站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垫江高铁站社会停车场</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N04-06/03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6.66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100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DJ-11</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牡丹湖湿地公园充电站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牡丹湖湿地公园（北一门停车场）</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K02-28/02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pPr>
            <w:r>
              <w:rPr>
                <w:kern w:val="0"/>
              </w:rPr>
              <w:t>11</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公园和绿地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DJ-12</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明月大道南段加油站充电站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明月大道南段加油站</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K01-15/02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pPr>
            <w:r>
              <w:rPr>
                <w:rFonts w:hint="eastAsia"/>
                <w:kern w:val="0"/>
              </w:rPr>
              <w:t xml:space="preserve"> </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加油加气站</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Style w:val="26"/>
                <w:rFonts w:hint="default"/>
                <w:color w:val="auto"/>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9"/>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DJ-13</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明月大道北段加油站充电站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明月大道北段加油站</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A01-03/03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0.35</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加油加气站</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lang w:eastAsia="zh-CN"/>
              </w:rPr>
            </w:pPr>
            <w:r>
              <w:rPr>
                <w:rFonts w:hint="eastAsia"/>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9"/>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501"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7"/>
                <w:color w:val="auto"/>
              </w:rPr>
            </w:pPr>
            <w:r>
              <w:rPr>
                <w:rFonts w:eastAsia="Tahoma"/>
                <w:kern w:val="0"/>
              </w:rPr>
              <w:t>DJ-14</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南阳大道加油站充电站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南阳大道南侧加油站</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7"/>
                <w:color w:val="auto"/>
              </w:rPr>
            </w:pPr>
            <w:r>
              <w:rPr>
                <w:color w:val="auto"/>
              </w:rPr>
              <w:t>O01-01-4/04</w:t>
            </w:r>
          </w:p>
        </w:tc>
        <w:tc>
          <w:tcPr>
            <w:tcW w:w="1044"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color w:val="auto"/>
                <w:kern w:val="0"/>
                <w:szCs w:val="24"/>
              </w:rPr>
            </w:pPr>
            <w:r>
              <w:rPr>
                <w:rFonts w:hint="eastAsia"/>
                <w:color w:val="auto"/>
              </w:rPr>
              <w:t>0.76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6"/>
                <w:rFonts w:hint="default"/>
                <w:color w:val="auto"/>
              </w:rPr>
            </w:pPr>
            <w:r>
              <w:rPr>
                <w:color w:val="auto"/>
              </w:rPr>
              <w:t>加油加气站</w:t>
            </w:r>
          </w:p>
        </w:tc>
        <w:tc>
          <w:tcPr>
            <w:tcW w:w="900" w:type="dxa"/>
            <w:tcBorders>
              <w:top w:val="single" w:color="000000" w:sz="4" w:space="0"/>
              <w:left w:val="single" w:color="000000" w:sz="4" w:space="0"/>
              <w:bottom w:val="single" w:color="000000" w:sz="4" w:space="0"/>
              <w:right w:val="single" w:color="000000" w:sz="4" w:space="0"/>
            </w:tcBorders>
            <w:shd w:val="clear" w:color="auto" w:fill="auto"/>
          </w:tcPr>
          <w:p>
            <w:pPr>
              <w:ind w:firstLine="0" w:firstLineChars="0"/>
              <w:jc w:val="center"/>
              <w:rPr>
                <w:rStyle w:val="26"/>
                <w:rFonts w:hint="default"/>
                <w:color w:val="auto"/>
              </w:rPr>
            </w:pPr>
            <w:r>
              <w:rPr>
                <w:rFonts w:hint="eastAsia"/>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rStyle w:val="29"/>
                <w:rFonts w:hint="default"/>
                <w:color w:val="auto"/>
              </w:rPr>
            </w:pPr>
            <w: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color w:val="auto"/>
                <w:kern w:val="0"/>
                <w:szCs w:val="24"/>
              </w:rPr>
            </w:pPr>
            <w:r>
              <w:rPr>
                <w:color w:val="auto"/>
                <w:kern w:val="0"/>
                <w:szCs w:val="24"/>
              </w:rPr>
              <w:t>80~</w:t>
            </w:r>
            <w:r>
              <w:rPr>
                <w:rFonts w:hint="eastAsia"/>
                <w:color w:val="auto"/>
                <w:kern w:val="0"/>
                <w:szCs w:val="24"/>
              </w:rPr>
              <w:t>600</w:t>
            </w:r>
            <w:r>
              <w:rPr>
                <w:color w:val="auto"/>
                <w:kern w:val="0"/>
                <w:szCs w:val="24"/>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color w:val="auto"/>
              </w:rPr>
            </w:pPr>
            <w:r>
              <w:rPr>
                <w:rFonts w:hint="eastAsia"/>
                <w:color w:val="auto"/>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Fonts w:ascii="宋体" w:hAnsi="宋体" w:cs="宋体"/>
                <w:color w:val="auto"/>
                <w:kern w:val="0"/>
                <w:szCs w:val="24"/>
              </w:rPr>
            </w:pPr>
            <w:r>
              <w:rPr>
                <w:rFonts w:hint="eastAsia" w:ascii="宋体" w:hAnsi="宋体" w:cs="宋体"/>
                <w:color w:val="auto"/>
                <w:kern w:val="0"/>
                <w:szCs w:val="24"/>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8"/>
              <w:ind w:firstLine="0" w:firstLineChars="0"/>
              <w:jc w:val="center"/>
              <w:rPr>
                <w:rFonts w:ascii="宋体" w:hAnsi="宋体" w:cs="宋体"/>
                <w:color w:val="auto"/>
                <w:kern w:val="0"/>
                <w:szCs w:val="24"/>
              </w:rPr>
            </w:pPr>
            <w:r>
              <w:rPr>
                <w:rFonts w:hint="eastAsia" w:ascii="宋体" w:hAnsi="宋体" w:cs="宋体"/>
                <w:color w:val="auto"/>
                <w:kern w:val="0"/>
                <w:szCs w:val="24"/>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rPr>
            </w:pPr>
          </w:p>
        </w:tc>
      </w:tr>
      <w:tr>
        <w:tblPrEx>
          <w:tblCellMar>
            <w:top w:w="0" w:type="dxa"/>
            <w:left w:w="108" w:type="dxa"/>
            <w:bottom w:w="0" w:type="dxa"/>
            <w:right w:w="108" w:type="dxa"/>
          </w:tblCellMar>
        </w:tblPrEx>
        <w:trPr>
          <w:trHeight w:val="501"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7"/>
                <w:color w:val="auto"/>
              </w:rPr>
            </w:pPr>
            <w:r>
              <w:rPr>
                <w:rFonts w:eastAsia="Tahoma"/>
                <w:kern w:val="0"/>
              </w:rPr>
              <w:t>DJ-15</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中国石油垫江北郊站充电站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工农北路81号（北门转盘处）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7"/>
                <w:color w:val="auto"/>
              </w:rPr>
            </w:pPr>
            <w:r>
              <w:rPr>
                <w:color w:val="auto"/>
              </w:rPr>
              <w:t>B02-07/02</w:t>
            </w:r>
          </w:p>
        </w:tc>
        <w:tc>
          <w:tcPr>
            <w:tcW w:w="1044"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color w:val="auto"/>
                <w:kern w:val="0"/>
                <w:szCs w:val="24"/>
              </w:rPr>
            </w:pPr>
            <w:r>
              <w:rPr>
                <w:rFonts w:hint="eastAsia"/>
                <w:color w:val="auto"/>
              </w:rPr>
              <w:t>0.18</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6"/>
                <w:rFonts w:hint="default"/>
                <w:color w:val="auto"/>
              </w:rPr>
            </w:pPr>
            <w:r>
              <w:rPr>
                <w:color w:val="auto"/>
              </w:rPr>
              <w:t>加油加气站</w:t>
            </w:r>
          </w:p>
        </w:tc>
        <w:tc>
          <w:tcPr>
            <w:tcW w:w="900" w:type="dxa"/>
            <w:tcBorders>
              <w:top w:val="single" w:color="000000" w:sz="4" w:space="0"/>
              <w:left w:val="single" w:color="000000" w:sz="4" w:space="0"/>
              <w:bottom w:val="single" w:color="000000" w:sz="4" w:space="0"/>
              <w:right w:val="single" w:color="000000" w:sz="4" w:space="0"/>
            </w:tcBorders>
            <w:shd w:val="clear" w:color="auto" w:fill="auto"/>
          </w:tcPr>
          <w:p>
            <w:pPr>
              <w:ind w:firstLine="0" w:firstLineChars="0"/>
              <w:jc w:val="center"/>
              <w:rPr>
                <w:rStyle w:val="26"/>
                <w:rFonts w:hint="default"/>
                <w:color w:val="auto"/>
              </w:rPr>
            </w:pPr>
            <w:r>
              <w:rPr>
                <w:rFonts w:hint="eastAsia"/>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rStyle w:val="29"/>
                <w:rFonts w:hint="default"/>
                <w:color w:val="auto"/>
              </w:rPr>
            </w:pPr>
            <w: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color w:val="auto"/>
                <w:kern w:val="0"/>
                <w:szCs w:val="24"/>
              </w:rPr>
            </w:pPr>
            <w:r>
              <w:rPr>
                <w:color w:val="auto"/>
                <w:kern w:val="0"/>
                <w:szCs w:val="24"/>
              </w:rPr>
              <w:t>80~</w:t>
            </w:r>
            <w:r>
              <w:rPr>
                <w:rFonts w:hint="eastAsia"/>
                <w:color w:val="auto"/>
                <w:kern w:val="0"/>
                <w:szCs w:val="24"/>
              </w:rPr>
              <w:t>600</w:t>
            </w:r>
            <w:r>
              <w:rPr>
                <w:color w:val="auto"/>
                <w:kern w:val="0"/>
                <w:szCs w:val="24"/>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color w:val="auto"/>
              </w:rPr>
            </w:pPr>
            <w:r>
              <w:rPr>
                <w:rFonts w:hint="eastAsia"/>
                <w:color w:val="auto"/>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Fonts w:ascii="宋体" w:hAnsi="宋体" w:cs="宋体"/>
                <w:color w:val="auto"/>
                <w:kern w:val="0"/>
                <w:szCs w:val="24"/>
              </w:rPr>
            </w:pPr>
            <w:r>
              <w:rPr>
                <w:rFonts w:hint="eastAsia" w:ascii="宋体" w:hAnsi="宋体" w:cs="宋体"/>
                <w:color w:val="auto"/>
                <w:kern w:val="0"/>
                <w:szCs w:val="24"/>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8"/>
              <w:ind w:firstLine="0" w:firstLineChars="0"/>
              <w:jc w:val="center"/>
              <w:rPr>
                <w:rFonts w:ascii="宋体" w:hAnsi="宋体" w:cs="宋体"/>
                <w:color w:val="auto"/>
                <w:kern w:val="0"/>
                <w:szCs w:val="24"/>
              </w:rPr>
            </w:pPr>
            <w:r>
              <w:rPr>
                <w:rFonts w:hint="eastAsia" w:ascii="宋体" w:hAnsi="宋体" w:cs="宋体"/>
                <w:color w:val="auto"/>
                <w:kern w:val="0"/>
                <w:szCs w:val="24"/>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rPr>
            </w:pPr>
          </w:p>
        </w:tc>
      </w:tr>
      <w:tr>
        <w:tblPrEx>
          <w:tblCellMar>
            <w:top w:w="0" w:type="dxa"/>
            <w:left w:w="108" w:type="dxa"/>
            <w:bottom w:w="0" w:type="dxa"/>
            <w:right w:w="108" w:type="dxa"/>
          </w:tblCellMar>
        </w:tblPrEx>
        <w:trPr>
          <w:trHeight w:val="501"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7"/>
                <w:color w:val="auto"/>
              </w:rPr>
            </w:pPr>
            <w:r>
              <w:rPr>
                <w:rFonts w:eastAsia="Tahoma"/>
                <w:kern w:val="0"/>
              </w:rPr>
              <w:t>DJ-16</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中国石油垫江桂西站充电站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桂溪大道松林一组（林业局旁）</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7"/>
                <w:color w:val="auto"/>
              </w:rPr>
            </w:pPr>
            <w:r>
              <w:rPr>
                <w:color w:val="auto"/>
              </w:rPr>
              <w:t>F01-10/02</w:t>
            </w:r>
          </w:p>
        </w:tc>
        <w:tc>
          <w:tcPr>
            <w:tcW w:w="1044"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color w:val="auto"/>
                <w:kern w:val="0"/>
                <w:szCs w:val="24"/>
              </w:rPr>
            </w:pPr>
            <w:r>
              <w:rPr>
                <w:rFonts w:hint="eastAsia"/>
                <w:color w:val="auto"/>
              </w:rPr>
              <w:t>0.30</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6"/>
                <w:rFonts w:hint="default"/>
                <w:color w:val="auto"/>
              </w:rPr>
            </w:pPr>
            <w:r>
              <w:rPr>
                <w:rFonts w:hint="eastAsia"/>
                <w:color w:val="auto"/>
              </w:rPr>
              <w:t>加油加气站</w:t>
            </w:r>
          </w:p>
        </w:tc>
        <w:tc>
          <w:tcPr>
            <w:tcW w:w="900"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rStyle w:val="26"/>
                <w:rFonts w:hint="default"/>
                <w:color w:val="auto"/>
              </w:rPr>
            </w:pPr>
            <w:r>
              <w:rPr>
                <w:rFonts w:hint="eastAsia"/>
                <w:color w:val="auto"/>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Style w:val="29"/>
                <w:rFonts w:hint="default"/>
                <w:color w:val="auto"/>
              </w:rPr>
            </w:pPr>
            <w:r>
              <w:rPr>
                <w:rFonts w:hint="eastAsia"/>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tcPr>
          <w:p>
            <w:pPr>
              <w:pStyle w:val="18"/>
              <w:ind w:firstLine="0" w:firstLineChars="0"/>
              <w:jc w:val="center"/>
              <w:rPr>
                <w:color w:val="auto"/>
                <w:kern w:val="0"/>
                <w:szCs w:val="24"/>
              </w:rPr>
            </w:pPr>
            <w:r>
              <w:rPr>
                <w:color w:val="auto"/>
                <w:kern w:val="0"/>
                <w:szCs w:val="24"/>
              </w:rPr>
              <w:t>80~</w:t>
            </w:r>
            <w:r>
              <w:rPr>
                <w:rFonts w:hint="eastAsia"/>
                <w:color w:val="auto"/>
                <w:kern w:val="0"/>
                <w:szCs w:val="24"/>
              </w:rPr>
              <w:t>600</w:t>
            </w:r>
            <w:r>
              <w:rPr>
                <w:color w:val="auto"/>
                <w:kern w:val="0"/>
                <w:szCs w:val="24"/>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color w:val="auto"/>
              </w:rPr>
            </w:pPr>
            <w:r>
              <w:rPr>
                <w:rFonts w:hint="eastAsia"/>
                <w:color w:val="auto"/>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ind w:firstLine="0" w:firstLineChars="0"/>
              <w:jc w:val="center"/>
              <w:rPr>
                <w:rFonts w:ascii="宋体" w:hAnsi="宋体" w:cs="宋体"/>
                <w:color w:val="auto"/>
                <w:kern w:val="0"/>
                <w:szCs w:val="24"/>
              </w:rPr>
            </w:pPr>
            <w:r>
              <w:rPr>
                <w:rFonts w:hint="eastAsia" w:ascii="宋体" w:hAnsi="宋体" w:cs="宋体"/>
                <w:color w:val="auto"/>
                <w:kern w:val="0"/>
                <w:szCs w:val="24"/>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8"/>
              <w:ind w:firstLine="0" w:firstLineChars="0"/>
              <w:jc w:val="center"/>
              <w:rPr>
                <w:rFonts w:ascii="宋体" w:hAnsi="宋体" w:cs="宋体"/>
                <w:color w:val="auto"/>
                <w:kern w:val="0"/>
                <w:szCs w:val="24"/>
              </w:rPr>
            </w:pPr>
            <w:r>
              <w:rPr>
                <w:rFonts w:hint="eastAsia" w:ascii="宋体" w:hAnsi="宋体" w:cs="宋体"/>
                <w:color w:val="auto"/>
                <w:kern w:val="0"/>
                <w:szCs w:val="24"/>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DJ-17</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三合湖湿地公园充电站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三合湖北通廊（北入口）停车场</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D01-01/04</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pPr>
            <w:r>
              <w:rPr>
                <w:kern w:val="0"/>
              </w:rPr>
              <w:t>1.9</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公园和绿地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top"/>
              <w:rPr>
                <w:rFonts w:ascii="宋体" w:hAnsi="宋体" w:cs="宋体"/>
              </w:rPr>
            </w:pPr>
            <w:r>
              <w:rPr>
                <w:rStyle w:val="26"/>
                <w:rFonts w:hint="default"/>
                <w:color w:val="auto"/>
              </w:rPr>
              <w:t>新建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9"/>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宋体" w:hAnsi="宋体" w:cs="宋体"/>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DJ-18</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盛满停车场充电站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重百商场后门停车场</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Style w:val="27"/>
                <w:color w:val="auto"/>
              </w:rPr>
              <w:t>G03-24/02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0</w:t>
            </w:r>
            <w:r>
              <w:rPr>
                <w:kern w:val="0"/>
              </w:rPr>
              <w:t>.</w:t>
            </w:r>
            <w:r>
              <w:rPr>
                <w:rFonts w:hint="eastAsia"/>
                <w:kern w:val="0"/>
              </w:rPr>
              <w:t>3</w:t>
            </w:r>
            <w:r>
              <w:rPr>
                <w:kern w:val="0"/>
              </w:rPr>
              <w:t>4</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商业用地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9"/>
                <w:rFonts w:hint="default"/>
                <w:color w:val="auto"/>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pPr>
            <w:r>
              <w:rPr>
                <w:rFonts w:eastAsia="Tahoma"/>
                <w:kern w:val="0"/>
              </w:rPr>
              <w:t>DJ-</w:t>
            </w:r>
            <w:r>
              <w:rPr>
                <w:rFonts w:hint="eastAsia" w:eastAsia="Tahoma"/>
                <w:kern w:val="0"/>
              </w:rPr>
              <w:t>19</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天宝寨充电站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天宝寨公园停车场（明月天街二期对面）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F01-16/02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1.64</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lang w:val="en-US" w:eastAsia="zh-CN"/>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eastAsia="Tahoma"/>
                <w:kern w:val="0"/>
              </w:rPr>
              <w:t>DJ-20</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明月二路充电站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月阳西路与明月二路交叉处（安澜酒店对面）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J02-11/02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0.39</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行政办公</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p>
        </w:tc>
      </w:tr>
      <w:tr>
        <w:tblPrEx>
          <w:tblCellMar>
            <w:top w:w="0" w:type="dxa"/>
            <w:left w:w="108" w:type="dxa"/>
            <w:bottom w:w="0" w:type="dxa"/>
            <w:right w:w="108" w:type="dxa"/>
          </w:tblCellMar>
        </w:tblPrEx>
        <w:trPr>
          <w:trHeight w:val="47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2"/>
                <w:sz w:val="24"/>
                <w:szCs w:val="24"/>
                <w:lang w:val="en-US" w:eastAsia="zh-CN" w:bidi="ar-SA"/>
              </w:rPr>
            </w:pPr>
            <w:bookmarkStart w:id="17" w:name="_GoBack" w:colFirst="3" w:colLast="4"/>
            <w:r>
              <w:rPr>
                <w:rFonts w:eastAsia="Tahoma"/>
                <w:kern w:val="0"/>
              </w:rPr>
              <w:t>DJ-21</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eastAsia="宋体"/>
                <w:color w:val="auto"/>
                <w:lang w:val="en-US" w:eastAsia="zh-CN"/>
              </w:rPr>
            </w:pPr>
            <w:r>
              <w:rPr>
                <w:rStyle w:val="26"/>
                <w:rFonts w:hint="eastAsia"/>
                <w:color w:val="auto"/>
                <w:lang w:val="en-US" w:eastAsia="zh-CN"/>
              </w:rPr>
              <w:t>汇丰广场充电站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Style w:val="26"/>
                <w:rFonts w:hint="default" w:eastAsia="宋体"/>
                <w:color w:val="auto"/>
                <w:lang w:val="en-US" w:eastAsia="zh-CN"/>
              </w:rPr>
            </w:pPr>
            <w:r>
              <w:rPr>
                <w:rStyle w:val="26"/>
                <w:rFonts w:hint="eastAsia"/>
                <w:color w:val="auto"/>
                <w:lang w:val="en-US" w:eastAsia="zh-CN"/>
              </w:rPr>
              <w:t>垫江县汇丰广场（县人民医院门口）</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kern w:val="0"/>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rPr>
            </w:pPr>
            <w:r>
              <w:rPr>
                <w:rStyle w:val="27"/>
                <w:rFonts w:hint="eastAsia"/>
                <w:color w:val="auto"/>
                <w:sz w:val="28"/>
                <w:szCs w:val="28"/>
                <w:lang w:val="en-US" w:eastAsia="zh-CN"/>
              </w:rPr>
              <w:t>/</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宋体"/>
                <w:kern w:val="0"/>
                <w:lang w:val="en-US" w:eastAsia="zh-CN"/>
              </w:rPr>
            </w:pPr>
            <w:r>
              <w:rPr>
                <w:rFonts w:hint="eastAsia"/>
                <w:kern w:val="0"/>
                <w:lang w:val="en-US" w:eastAsia="zh-CN"/>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rPr>
            </w:pPr>
          </w:p>
        </w:tc>
      </w:tr>
      <w:bookmarkEnd w:id="17"/>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2"/>
                <w:sz w:val="24"/>
                <w:szCs w:val="24"/>
                <w:lang w:val="en-US" w:eastAsia="zh-CN" w:bidi="ar-SA"/>
              </w:rPr>
            </w:pPr>
            <w:r>
              <w:rPr>
                <w:rFonts w:eastAsia="Tahoma"/>
                <w:kern w:val="0"/>
              </w:rPr>
              <w:t>DJ-22</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杏林充电站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天源街五一大院旁（中医院对面）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F01-27-2/03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1</w:t>
            </w:r>
            <w:r>
              <w:rPr>
                <w:kern w:val="0"/>
              </w:rPr>
              <w:t>.24</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100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val="en-US" w:eastAsia="zh-CN" w:bidi="ar-SA"/>
              </w:rPr>
            </w:pPr>
            <w:r>
              <w:rPr>
                <w:rFonts w:eastAsia="Tahoma"/>
                <w:kern w:val="0"/>
              </w:rPr>
              <w:t>DJ-23</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北门农贸市场充电站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工农北路与北新西路交叉处（北门农贸市场斜对面）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G01-04/02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0.31</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val="en-US" w:eastAsia="zh-CN" w:bidi="ar-SA"/>
              </w:rPr>
            </w:pPr>
            <w:r>
              <w:rPr>
                <w:rFonts w:eastAsia="Tahoma"/>
                <w:kern w:val="0"/>
              </w:rPr>
              <w:t>DJ-24</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三合大道南段充电站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三合大道南段与龙凤路交叉处（垫江工业园区科创孵化园）</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7"/>
                <w:color w:val="auto"/>
              </w:rPr>
            </w:pPr>
            <w:r>
              <w:rPr>
                <w:rStyle w:val="27"/>
                <w:rFonts w:hint="eastAsia"/>
                <w:color w:val="auto"/>
              </w:rPr>
              <w:t>O02-01/03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kern w:val="0"/>
              </w:rPr>
              <w:t>0.</w:t>
            </w:r>
            <w:r>
              <w:rPr>
                <w:rFonts w:hint="eastAsia"/>
                <w:kern w:val="0"/>
              </w:rPr>
              <w:t>46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rFonts w:hint="eastAsia"/>
                <w:kern w:val="0"/>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必配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重点站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val="en-US" w:eastAsia="zh-CN" w:bidi="ar-SA"/>
              </w:rPr>
            </w:pPr>
            <w:r>
              <w:rPr>
                <w:rFonts w:eastAsia="Tahoma"/>
                <w:kern w:val="0"/>
              </w:rPr>
              <w:t>DJ-25</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桂北小学校充电站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垫江县桂溪街道工农北路马房街66 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27"/>
                <w:rFonts w:hint="eastAsia" w:eastAsia="宋体"/>
                <w:color w:val="auto"/>
                <w:lang w:val="en-US" w:eastAsia="zh-CN"/>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lang w:val="en-US" w:eastAsia="zh-CN"/>
              </w:rPr>
            </w:pPr>
            <w:r>
              <w:rPr>
                <w:rFonts w:hint="eastAsia"/>
                <w:kern w:val="0"/>
                <w:lang w:val="en-US" w:eastAsia="zh-CN"/>
              </w:rPr>
              <w:t>0.56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rFonts w:hint="eastAsia"/>
                <w:kern w:val="0"/>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Times New Roman" w:hAnsi="Times New Roman" w:eastAsia="宋体" w:cs="Times New Roman"/>
                <w:kern w:val="0"/>
                <w:sz w:val="24"/>
                <w:szCs w:val="24"/>
                <w:highlight w:val="none"/>
                <w:lang w:val="en-US" w:eastAsia="zh-CN" w:bidi="ar-SA"/>
              </w:rPr>
            </w:pPr>
            <w:r>
              <w:rPr>
                <w:rFonts w:eastAsia="Tahoma"/>
                <w:kern w:val="0"/>
                <w:highlight w:val="none"/>
              </w:rPr>
              <w:t>DJ-2</w:t>
            </w:r>
            <w:r>
              <w:rPr>
                <w:rFonts w:hint="eastAsia"/>
                <w:kern w:val="0"/>
                <w:highlight w:val="none"/>
                <w:lang w:val="en-US" w:eastAsia="zh-CN"/>
              </w:rPr>
              <w:t>6</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林业局充电站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rPr>
            </w:pPr>
            <w:r>
              <w:rPr>
                <w:rStyle w:val="26"/>
                <w:rFonts w:hint="default"/>
                <w:color w:val="auto"/>
              </w:rPr>
              <w:t>垫江县桂西大道北段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27"/>
                <w:color w:val="auto"/>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lang w:val="en-US" w:eastAsia="zh-CN"/>
              </w:rPr>
            </w:pPr>
            <w:r>
              <w:rPr>
                <w:rFonts w:hint="eastAsia"/>
                <w:kern w:val="0"/>
                <w:lang w:val="en-US" w:eastAsia="zh-CN"/>
              </w:rPr>
              <w:t>1.03</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kern w:val="0"/>
              </w:rPr>
              <w:t>80~</w:t>
            </w:r>
            <w:r>
              <w:rPr>
                <w:rFonts w:hint="eastAsia"/>
                <w:kern w:val="0"/>
              </w:rPr>
              <w:t>600</w:t>
            </w:r>
            <w:r>
              <w:rPr>
                <w:kern w:val="0"/>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rPr>
            </w:pPr>
            <w:r>
              <w:rPr>
                <w:rFonts w:hint="eastAsia"/>
                <w:kern w:val="0"/>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Times New Roman" w:hAnsi="Times New Roman" w:eastAsia="宋体" w:cs="Times New Roman"/>
                <w:kern w:val="0"/>
                <w:sz w:val="24"/>
                <w:szCs w:val="24"/>
                <w:highlight w:val="none"/>
                <w:lang w:val="en-US" w:eastAsia="zh-CN" w:bidi="ar-SA"/>
              </w:rPr>
            </w:pPr>
            <w:r>
              <w:rPr>
                <w:rFonts w:eastAsia="Tahoma"/>
                <w:kern w:val="0"/>
                <w:highlight w:val="none"/>
              </w:rPr>
              <w:t>DJ-2</w:t>
            </w:r>
            <w:r>
              <w:rPr>
                <w:rFonts w:hint="eastAsia"/>
                <w:kern w:val="0"/>
                <w:highlight w:val="none"/>
                <w:lang w:val="en-US" w:eastAsia="zh-CN"/>
              </w:rPr>
              <w:t>7</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eastAsia" w:eastAsia="宋体"/>
                <w:color w:val="auto"/>
                <w:highlight w:val="none"/>
                <w:lang w:val="en-US" w:eastAsia="zh-CN"/>
              </w:rPr>
            </w:pPr>
            <w:r>
              <w:rPr>
                <w:rStyle w:val="26"/>
                <w:rFonts w:hint="default"/>
                <w:color w:val="auto"/>
                <w:highlight w:val="none"/>
              </w:rPr>
              <w:t>峰门铺文物保护工程（二期）</w:t>
            </w:r>
            <w:r>
              <w:rPr>
                <w:rStyle w:val="26"/>
                <w:rFonts w:hint="eastAsia"/>
                <w:color w:val="auto"/>
                <w:highlight w:val="none"/>
                <w:lang w:val="en-US" w:eastAsia="zh-CN"/>
              </w:rPr>
              <w:t>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eastAsia" w:eastAsia="宋体"/>
                <w:color w:val="auto"/>
                <w:highlight w:val="none"/>
                <w:lang w:eastAsia="zh-CN"/>
              </w:rPr>
            </w:pPr>
            <w:r>
              <w:rPr>
                <w:rStyle w:val="26"/>
                <w:rFonts w:hint="default"/>
                <w:color w:val="auto"/>
                <w:highlight w:val="none"/>
              </w:rPr>
              <w:t>桂阳街道十路村、太平镇桂花村7组</w:t>
            </w:r>
            <w:r>
              <w:rPr>
                <w:rStyle w:val="26"/>
                <w:rFonts w:hint="eastAsia"/>
                <w:color w:val="auto"/>
                <w:highlight w:val="none"/>
                <w:lang w:eastAsia="zh-CN"/>
              </w:rPr>
              <w:t>（</w:t>
            </w:r>
            <w:r>
              <w:rPr>
                <w:rStyle w:val="26"/>
                <w:rFonts w:hint="default"/>
                <w:color w:val="auto"/>
                <w:highlight w:val="none"/>
              </w:rPr>
              <w:t>峰门铺</w:t>
            </w:r>
            <w:r>
              <w:rPr>
                <w:rStyle w:val="26"/>
                <w:rFonts w:hint="eastAsia"/>
                <w:color w:val="auto"/>
                <w:highlight w:val="none"/>
                <w:lang w:eastAsia="zh-CN"/>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27"/>
                <w:color w:val="auto"/>
                <w:highlight w:val="none"/>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0.36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highlight w:val="none"/>
              </w:rPr>
            </w:pPr>
            <w:r>
              <w:rPr>
                <w:rFonts w:hint="eastAsia" w:ascii="宋体" w:hAnsi="宋体" w:cs="宋体"/>
                <w:highlight w:val="none"/>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highlight w:val="none"/>
              </w:rPr>
            </w:pPr>
            <w:r>
              <w:rPr>
                <w:kern w:val="0"/>
                <w:highlight w:val="none"/>
              </w:rPr>
              <w:t>80~</w:t>
            </w:r>
            <w:r>
              <w:rPr>
                <w:rFonts w:hint="eastAsia"/>
                <w:kern w:val="0"/>
                <w:highlight w:val="none"/>
              </w:rPr>
              <w:t>600</w:t>
            </w:r>
            <w:r>
              <w:rPr>
                <w:kern w:val="0"/>
                <w:highlight w:val="none"/>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Times New Roman" w:hAnsi="Times New Roman" w:eastAsia="宋体" w:cs="Times New Roman"/>
                <w:kern w:val="0"/>
                <w:sz w:val="24"/>
                <w:szCs w:val="24"/>
                <w:highlight w:val="none"/>
                <w:lang w:val="en-US" w:eastAsia="zh-CN" w:bidi="ar-SA"/>
              </w:rPr>
            </w:pPr>
            <w:r>
              <w:rPr>
                <w:rFonts w:eastAsia="Tahoma"/>
                <w:kern w:val="0"/>
                <w:highlight w:val="none"/>
              </w:rPr>
              <w:t>DJ-2</w:t>
            </w:r>
            <w:r>
              <w:rPr>
                <w:rFonts w:hint="eastAsia"/>
                <w:kern w:val="0"/>
                <w:highlight w:val="none"/>
                <w:lang w:val="en-US" w:eastAsia="zh-CN"/>
              </w:rPr>
              <w:t>8</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eastAsia" w:eastAsia="宋体"/>
                <w:color w:val="auto"/>
                <w:highlight w:val="none"/>
                <w:lang w:val="en-US" w:eastAsia="zh-CN"/>
              </w:rPr>
            </w:pPr>
            <w:r>
              <w:rPr>
                <w:rStyle w:val="26"/>
                <w:rFonts w:hint="default"/>
                <w:color w:val="auto"/>
                <w:highlight w:val="none"/>
              </w:rPr>
              <w:t>金桂果园露营基地</w:t>
            </w:r>
            <w:r>
              <w:rPr>
                <w:rStyle w:val="26"/>
                <w:rFonts w:hint="eastAsia"/>
                <w:color w:val="auto"/>
                <w:highlight w:val="none"/>
                <w:lang w:val="en-US" w:eastAsia="zh-CN"/>
              </w:rPr>
              <w:t>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eastAsia" w:eastAsia="宋体"/>
                <w:color w:val="auto"/>
                <w:highlight w:val="none"/>
                <w:lang w:eastAsia="zh-CN"/>
              </w:rPr>
            </w:pPr>
            <w:r>
              <w:rPr>
                <w:rStyle w:val="26"/>
                <w:rFonts w:hint="default"/>
                <w:color w:val="auto"/>
                <w:highlight w:val="none"/>
              </w:rPr>
              <w:t>桂溪街道西山村1组</w:t>
            </w:r>
            <w:r>
              <w:rPr>
                <w:rStyle w:val="26"/>
                <w:rFonts w:hint="eastAsia"/>
                <w:color w:val="auto"/>
                <w:highlight w:val="none"/>
                <w:lang w:eastAsia="zh-CN"/>
              </w:rPr>
              <w:t>（</w:t>
            </w:r>
            <w:r>
              <w:rPr>
                <w:rStyle w:val="26"/>
                <w:rFonts w:hint="default"/>
                <w:color w:val="auto"/>
                <w:highlight w:val="none"/>
              </w:rPr>
              <w:t>金桂果园</w:t>
            </w:r>
            <w:r>
              <w:rPr>
                <w:rStyle w:val="26"/>
                <w:rFonts w:hint="eastAsia"/>
                <w:color w:val="auto"/>
                <w:highlight w:val="none"/>
                <w:lang w:eastAsia="zh-CN"/>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27"/>
                <w:color w:val="auto"/>
                <w:highlight w:val="none"/>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0.59</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highlight w:val="none"/>
              </w:rPr>
            </w:pPr>
            <w:r>
              <w:rPr>
                <w:rFonts w:hint="eastAsia" w:ascii="宋体" w:hAnsi="宋体" w:cs="宋体"/>
                <w:highlight w:val="none"/>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highlight w:val="none"/>
              </w:rPr>
            </w:pPr>
            <w:r>
              <w:rPr>
                <w:kern w:val="0"/>
                <w:highlight w:val="none"/>
              </w:rPr>
              <w:t>80~</w:t>
            </w:r>
            <w:r>
              <w:rPr>
                <w:rFonts w:hint="eastAsia"/>
                <w:kern w:val="0"/>
                <w:highlight w:val="none"/>
              </w:rPr>
              <w:t>600</w:t>
            </w:r>
            <w:r>
              <w:rPr>
                <w:kern w:val="0"/>
                <w:highlight w:val="none"/>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rPr>
            </w:pPr>
            <w:r>
              <w:rPr>
                <w:rFonts w:hint="eastAsia" w:ascii="宋体" w:hAnsi="宋体" w:cs="宋体"/>
                <w:kern w:val="0"/>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p>
        </w:tc>
      </w:tr>
      <w:tr>
        <w:tblPrEx>
          <w:tblCellMar>
            <w:top w:w="0" w:type="dxa"/>
            <w:left w:w="108" w:type="dxa"/>
            <w:bottom w:w="0" w:type="dxa"/>
            <w:right w:w="108" w:type="dxa"/>
          </w:tblCellMar>
        </w:tblPrEx>
        <w:trPr>
          <w:trHeight w:val="665"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eastAsia="宋体"/>
                <w:kern w:val="0"/>
                <w:highlight w:val="none"/>
                <w:lang w:val="en-US" w:eastAsia="zh-CN"/>
              </w:rPr>
            </w:pPr>
            <w:r>
              <w:rPr>
                <w:rFonts w:eastAsia="Tahoma"/>
                <w:kern w:val="0"/>
                <w:highlight w:val="none"/>
              </w:rPr>
              <w:t>DJ-2</w:t>
            </w:r>
            <w:r>
              <w:rPr>
                <w:rFonts w:hint="eastAsia"/>
                <w:kern w:val="0"/>
                <w:highlight w:val="none"/>
                <w:lang w:val="en-US" w:eastAsia="zh-CN"/>
              </w:rPr>
              <w:t>9</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eastAsia" w:eastAsia="宋体"/>
                <w:color w:val="auto"/>
                <w:highlight w:val="none"/>
                <w:lang w:val="en-US" w:eastAsia="zh-CN"/>
              </w:rPr>
            </w:pPr>
            <w:r>
              <w:rPr>
                <w:rStyle w:val="26"/>
                <w:rFonts w:hint="default"/>
                <w:color w:val="auto"/>
                <w:highlight w:val="none"/>
              </w:rPr>
              <w:t>瓜子坪露营基地</w:t>
            </w:r>
            <w:r>
              <w:rPr>
                <w:rStyle w:val="26"/>
                <w:rFonts w:hint="eastAsia"/>
                <w:color w:val="auto"/>
                <w:highlight w:val="none"/>
                <w:lang w:val="en-US" w:eastAsia="zh-CN"/>
              </w:rPr>
              <w:t>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eastAsia" w:eastAsia="宋体"/>
                <w:color w:val="auto"/>
                <w:highlight w:val="none"/>
                <w:lang w:eastAsia="zh-CN"/>
              </w:rPr>
            </w:pPr>
            <w:r>
              <w:rPr>
                <w:rStyle w:val="26"/>
                <w:rFonts w:hint="default"/>
                <w:color w:val="auto"/>
                <w:highlight w:val="none"/>
              </w:rPr>
              <w:t>桂阳街道群山村3组与4组交界处</w:t>
            </w:r>
            <w:r>
              <w:rPr>
                <w:rStyle w:val="26"/>
                <w:rFonts w:hint="eastAsia"/>
                <w:color w:val="auto"/>
                <w:highlight w:val="none"/>
                <w:lang w:eastAsia="zh-CN"/>
              </w:rPr>
              <w:t>（</w:t>
            </w:r>
            <w:r>
              <w:rPr>
                <w:rStyle w:val="26"/>
                <w:rFonts w:hint="default"/>
                <w:color w:val="auto"/>
                <w:highlight w:val="none"/>
              </w:rPr>
              <w:t>瓜子坪</w:t>
            </w:r>
            <w:r>
              <w:rPr>
                <w:rStyle w:val="26"/>
                <w:rFonts w:hint="eastAsia"/>
                <w:color w:val="auto"/>
                <w:highlight w:val="none"/>
                <w:lang w:eastAsia="zh-CN"/>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27"/>
                <w:color w:val="auto"/>
                <w:highlight w:val="none"/>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0.87</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highlight w:val="none"/>
              </w:rPr>
            </w:pPr>
            <w:r>
              <w:rPr>
                <w:rFonts w:hint="eastAsia" w:ascii="宋体" w:hAnsi="宋体" w:cs="宋体"/>
                <w:highlight w:val="none"/>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highlight w:val="none"/>
              </w:rPr>
            </w:pPr>
            <w:r>
              <w:rPr>
                <w:kern w:val="0"/>
                <w:highlight w:val="none"/>
              </w:rPr>
              <w:t>80~</w:t>
            </w:r>
            <w:r>
              <w:rPr>
                <w:rFonts w:hint="eastAsia"/>
                <w:kern w:val="0"/>
                <w:highlight w:val="none"/>
              </w:rPr>
              <w:t>600</w:t>
            </w:r>
            <w:r>
              <w:rPr>
                <w:kern w:val="0"/>
                <w:highlight w:val="none"/>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highlight w:val="none"/>
              </w:rPr>
            </w:pPr>
          </w:p>
        </w:tc>
      </w:tr>
      <w:tr>
        <w:tblPrEx>
          <w:tblCellMar>
            <w:top w:w="0" w:type="dxa"/>
            <w:left w:w="108" w:type="dxa"/>
            <w:bottom w:w="0" w:type="dxa"/>
            <w:right w:w="108" w:type="dxa"/>
          </w:tblCellMar>
        </w:tblPrEx>
        <w:trPr>
          <w:trHeight w:val="466"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default" w:eastAsia="宋体"/>
                <w:kern w:val="0"/>
                <w:highlight w:val="none"/>
                <w:lang w:val="en-US" w:eastAsia="zh-CN"/>
              </w:rPr>
            </w:pPr>
            <w:r>
              <w:rPr>
                <w:rFonts w:hint="eastAsia"/>
                <w:kern w:val="0"/>
                <w:highlight w:val="none"/>
                <w:lang w:val="en-US" w:eastAsia="zh-CN"/>
              </w:rPr>
              <w:t>DJ-30</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highlight w:val="none"/>
              </w:rPr>
            </w:pPr>
            <w:r>
              <w:rPr>
                <w:rStyle w:val="26"/>
                <w:rFonts w:hint="eastAsia"/>
                <w:color w:val="auto"/>
                <w:highlight w:val="none"/>
                <w:lang w:val="en-US" w:eastAsia="zh-CN"/>
              </w:rPr>
              <w:t>玉湖澜湾充电站</w:t>
            </w:r>
          </w:p>
        </w:tc>
        <w:tc>
          <w:tcPr>
            <w:tcW w:w="4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Style w:val="26"/>
                <w:rFonts w:hint="default"/>
                <w:color w:val="auto"/>
                <w:highlight w:val="none"/>
              </w:rPr>
            </w:pPr>
            <w:r>
              <w:rPr>
                <w:rStyle w:val="26"/>
                <w:rFonts w:hint="eastAsia"/>
                <w:color w:val="auto"/>
                <w:highlight w:val="none"/>
                <w:lang w:val="en-US" w:eastAsia="zh-CN"/>
              </w:rPr>
              <w:t>玉湖澜湾路旁停车场</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27"/>
                <w:color w:val="auto"/>
                <w:highlight w:val="none"/>
              </w:rPr>
            </w:pPr>
            <w:r>
              <w:rPr>
                <w:rStyle w:val="27"/>
                <w:rFonts w:hint="eastAsia"/>
                <w:color w:val="auto"/>
                <w:sz w:val="28"/>
                <w:szCs w:val="28"/>
                <w:lang w:val="en-US" w:eastAsia="zh-CN"/>
              </w:rPr>
              <w:t>/</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highlight w:val="none"/>
                <w:lang w:val="en-US" w:eastAsia="zh-CN"/>
              </w:rPr>
            </w:pPr>
            <w:r>
              <w:rPr>
                <w:rStyle w:val="27"/>
                <w:rFonts w:hint="eastAsia"/>
                <w:color w:val="auto"/>
                <w:sz w:val="28"/>
                <w:szCs w:val="28"/>
                <w:lang w:val="en-US" w:eastAsia="zh-CN"/>
              </w:rPr>
              <w:t>/</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社会停车场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highlight w:val="none"/>
              </w:rPr>
            </w:pPr>
            <w:r>
              <w:rPr>
                <w:rFonts w:hint="eastAsia" w:ascii="宋体" w:hAnsi="宋体" w:cs="宋体"/>
                <w:highlight w:val="none"/>
              </w:rPr>
              <w:t>配建</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充电</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kern w:val="0"/>
                <w:highlight w:val="none"/>
              </w:rPr>
            </w:pPr>
            <w:r>
              <w:rPr>
                <w:kern w:val="0"/>
                <w:highlight w:val="none"/>
              </w:rPr>
              <w:t>80~</w:t>
            </w:r>
            <w:r>
              <w:rPr>
                <w:rFonts w:hint="eastAsia"/>
                <w:kern w:val="0"/>
                <w:highlight w:val="none"/>
              </w:rPr>
              <w:t>600</w:t>
            </w:r>
            <w:r>
              <w:rPr>
                <w:kern w:val="0"/>
                <w:highlight w:val="none"/>
              </w:rPr>
              <w:t>KW</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kern w:val="0"/>
                <w:highlight w:val="none"/>
                <w:lang w:val="en-US" w:eastAsia="zh-CN"/>
              </w:rPr>
            </w:pPr>
            <w:r>
              <w:rPr>
                <w:rFonts w:hint="eastAsia"/>
                <w:kern w:val="0"/>
                <w:highlight w:val="none"/>
                <w:lang w:val="en-US" w:eastAsia="zh-CN"/>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选配</w:t>
            </w:r>
          </w:p>
        </w:tc>
        <w:tc>
          <w:tcPr>
            <w:tcW w:w="152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r>
              <w:rPr>
                <w:rFonts w:hint="eastAsia" w:ascii="宋体" w:hAnsi="宋体" w:cs="宋体"/>
                <w:kern w:val="0"/>
                <w:highlight w:val="none"/>
              </w:rPr>
              <w:t>标准站</w:t>
            </w:r>
          </w:p>
        </w:tc>
        <w:tc>
          <w:tcPr>
            <w:tcW w:w="204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spacing w:line="240" w:lineRule="auto"/>
              <w:ind w:firstLine="0" w:firstLineChars="0"/>
              <w:jc w:val="center"/>
              <w:textAlignment w:val="center"/>
              <w:rPr>
                <w:rFonts w:hint="eastAsia" w:ascii="宋体" w:hAnsi="宋体" w:cs="宋体"/>
                <w:kern w:val="0"/>
                <w:highlight w:val="none"/>
              </w:rPr>
            </w:pPr>
          </w:p>
        </w:tc>
      </w:tr>
      <w:tr>
        <w:tblPrEx>
          <w:tblCellMar>
            <w:top w:w="0" w:type="dxa"/>
            <w:left w:w="108" w:type="dxa"/>
            <w:bottom w:w="0" w:type="dxa"/>
            <w:right w:w="108" w:type="dxa"/>
          </w:tblCellMar>
        </w:tblPrEx>
        <w:trPr>
          <w:trHeight w:val="466" w:hRule="atLeast"/>
        </w:trPr>
        <w:tc>
          <w:tcPr>
            <w:tcW w:w="15625" w:type="dxa"/>
            <w:gridSpan w:val="9"/>
            <w:tcBorders>
              <w:top w:val="single" w:color="000000" w:sz="4" w:space="0"/>
              <w:left w:val="single" w:color="000000" w:sz="8" w:space="0"/>
              <w:bottom w:val="nil"/>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Fonts w:hint="eastAsia" w:ascii="宋体" w:hAnsi="宋体" w:cs="宋体"/>
                <w:kern w:val="0"/>
              </w:rPr>
              <w:t>合计</w:t>
            </w:r>
          </w:p>
        </w:tc>
        <w:tc>
          <w:tcPr>
            <w:tcW w:w="2948" w:type="dxa"/>
            <w:gridSpan w:val="3"/>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pPr>
            <w:r>
              <w:rPr>
                <w:rFonts w:hint="eastAsia"/>
                <w:kern w:val="0"/>
                <w:lang w:val="en-US" w:eastAsia="zh-CN"/>
              </w:rPr>
              <w:t>712</w:t>
            </w:r>
            <w:r>
              <w:rPr>
                <w:rFonts w:hint="eastAsia"/>
                <w:kern w:val="0"/>
              </w:rPr>
              <w:t>个</w:t>
            </w:r>
          </w:p>
        </w:tc>
        <w:tc>
          <w:tcPr>
            <w:tcW w:w="2041"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auto"/>
              <w:ind w:firstLine="0" w:firstLineChars="0"/>
              <w:jc w:val="center"/>
              <w:textAlignment w:val="center"/>
              <w:rPr>
                <w:kern w:val="0"/>
              </w:rPr>
            </w:pPr>
          </w:p>
        </w:tc>
      </w:tr>
      <w:tr>
        <w:tblPrEx>
          <w:tblCellMar>
            <w:top w:w="0" w:type="dxa"/>
            <w:left w:w="108" w:type="dxa"/>
            <w:bottom w:w="0" w:type="dxa"/>
            <w:right w:w="108" w:type="dxa"/>
          </w:tblCellMar>
        </w:tblPrEx>
        <w:trPr>
          <w:trHeight w:val="2335" w:hRule="atLeast"/>
        </w:trPr>
        <w:tc>
          <w:tcPr>
            <w:tcW w:w="18573" w:type="dxa"/>
            <w:gridSpan w:val="12"/>
            <w:tcBorders>
              <w:top w:val="single" w:color="000000" w:sz="8" w:space="0"/>
              <w:left w:val="single" w:color="000000" w:sz="8" w:space="0"/>
              <w:bottom w:val="single" w:color="000000" w:sz="8" w:space="0"/>
              <w:right w:val="single" w:color="000000" w:sz="4" w:space="0"/>
            </w:tcBorders>
            <w:shd w:val="clear" w:color="auto" w:fill="auto"/>
            <w:vAlign w:val="center"/>
          </w:tcPr>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注：</w:t>
            </w:r>
          </w:p>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1、建设方式：配建——利用现状用地配建、增建充电车位；新建——利用规划未建用地建设充电站。（全部站点已经实地调研确认规划可行性）</w:t>
            </w:r>
          </w:p>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2、建议车位功率：单车位最低功率80KW，最高按照液冷超充标准（360-600KW）配置；</w:t>
            </w:r>
          </w:p>
          <w:p>
            <w:pPr>
              <w:keepNext w:val="0"/>
              <w:keepLines w:val="0"/>
              <w:pageBreakBefore w:val="0"/>
              <w:widowControl/>
              <w:kinsoku/>
              <w:wordWrap/>
              <w:overflowPunct/>
              <w:topLinePunct w:val="0"/>
              <w:autoSpaceDE/>
              <w:autoSpaceDN/>
              <w:bidi w:val="0"/>
              <w:adjustRightInd/>
              <w:snapToGrid/>
              <w:spacing w:line="240" w:lineRule="auto"/>
              <w:ind w:left="2040" w:hanging="2040" w:hangingChars="850"/>
              <w:jc w:val="left"/>
              <w:textAlignment w:val="top"/>
              <w:rPr>
                <w:rFonts w:ascii="宋体" w:hAnsi="宋体" w:cs="宋体"/>
                <w:kern w:val="0"/>
              </w:rPr>
            </w:pPr>
            <w:r>
              <w:rPr>
                <w:rFonts w:hint="eastAsia" w:ascii="宋体" w:hAnsi="宋体" w:cs="宋体"/>
                <w:kern w:val="0"/>
              </w:rPr>
              <w:t>3、站点建议分类：重点站（城市驿站）——城市高热度区域建设的具备光储充换多种技术组合，休闲购物多种功能的综合站点</w:t>
            </w:r>
            <w:r>
              <w:rPr>
                <w:rFonts w:hint="eastAsia" w:ascii="宋体" w:hAnsi="宋体" w:cs="宋体"/>
                <w:kern w:val="0"/>
                <w:lang w:eastAsia="zh-CN"/>
              </w:rPr>
              <w:t>（</w:t>
            </w:r>
            <w:r>
              <w:rPr>
                <w:rFonts w:hint="eastAsia" w:ascii="宋体" w:hAnsi="宋体" w:cs="宋体"/>
                <w:kern w:val="0"/>
                <w:lang w:val="en-US" w:eastAsia="zh-CN"/>
              </w:rPr>
              <w:t>充电车位20个及以上，且区位位置相对优越，配备超充站）</w:t>
            </w:r>
          </w:p>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 xml:space="preserve">                 标准站——城市中心区一般区域的站点，具备充电和简单配套功能</w:t>
            </w:r>
            <w:r>
              <w:rPr>
                <w:rFonts w:hint="eastAsia" w:ascii="宋体" w:hAnsi="宋体" w:cs="宋体"/>
                <w:kern w:val="0"/>
                <w:lang w:eastAsia="zh-CN"/>
              </w:rPr>
              <w:t>（</w:t>
            </w:r>
            <w:r>
              <w:rPr>
                <w:rFonts w:hint="eastAsia" w:ascii="宋体" w:hAnsi="宋体" w:cs="宋体"/>
                <w:kern w:val="0"/>
                <w:lang w:val="en-US" w:eastAsia="zh-CN"/>
              </w:rPr>
              <w:t>可配备超充站）</w:t>
            </w:r>
            <w:r>
              <w:rPr>
                <w:rFonts w:hint="eastAsia" w:ascii="宋体" w:hAnsi="宋体" w:cs="宋体"/>
                <w:kern w:val="0"/>
              </w:rPr>
              <w:t>；</w:t>
            </w:r>
          </w:p>
          <w:p>
            <w:pPr>
              <w:widowControl/>
              <w:spacing w:line="240" w:lineRule="auto"/>
              <w:ind w:firstLine="2040" w:firstLineChars="850"/>
              <w:jc w:val="left"/>
              <w:textAlignment w:val="top"/>
              <w:rPr>
                <w:rFonts w:ascii="宋体" w:hAnsi="宋体" w:cs="宋体"/>
              </w:rPr>
            </w:pPr>
            <w:r>
              <w:rPr>
                <w:rFonts w:hint="eastAsia" w:ascii="宋体" w:hAnsi="宋体" w:cs="宋体"/>
                <w:kern w:val="0"/>
              </w:rPr>
              <w:t>轻型站——城市一般区域和周边乡镇配套建设的仅具备充电功能。</w:t>
            </w:r>
          </w:p>
        </w:tc>
        <w:tc>
          <w:tcPr>
            <w:tcW w:w="2041" w:type="dxa"/>
            <w:tcBorders>
              <w:top w:val="single" w:color="000000" w:sz="8" w:space="0"/>
              <w:left w:val="single" w:color="000000" w:sz="8" w:space="0"/>
              <w:bottom w:val="single" w:color="000000" w:sz="8" w:space="0"/>
              <w:right w:val="single" w:color="000000" w:sz="4" w:space="0"/>
            </w:tcBorders>
            <w:shd w:val="clear" w:color="auto" w:fill="auto"/>
            <w:vAlign w:val="center"/>
          </w:tcPr>
          <w:p>
            <w:pPr>
              <w:widowControl/>
              <w:spacing w:line="240" w:lineRule="auto"/>
              <w:ind w:firstLine="0" w:firstLineChars="0"/>
              <w:jc w:val="left"/>
              <w:textAlignment w:val="top"/>
              <w:rPr>
                <w:rFonts w:ascii="宋体" w:hAnsi="宋体" w:cs="宋体"/>
                <w:kern w:val="0"/>
              </w:rPr>
            </w:pPr>
          </w:p>
        </w:tc>
      </w:tr>
    </w:tbl>
    <w:p>
      <w:pPr>
        <w:ind w:firstLine="720"/>
        <w:rPr>
          <w:sz w:val="36"/>
        </w:rPr>
      </w:pPr>
      <w:bookmarkStart w:id="12" w:name="_Toc157635370"/>
      <w:r>
        <w:rPr>
          <w:sz w:val="36"/>
        </w:rPr>
        <w:br w:type="page"/>
      </w:r>
    </w:p>
    <w:p>
      <w:pPr>
        <w:pStyle w:val="3"/>
        <w:spacing w:before="120" w:after="120" w:line="415" w:lineRule="auto"/>
        <w:ind w:firstLine="0" w:firstLineChars="0"/>
        <w:jc w:val="left"/>
        <w:rPr>
          <w:rFonts w:ascii="Times New Roman" w:hAnsi="Times New Roman" w:cs="Times New Roman"/>
          <w:sz w:val="36"/>
        </w:rPr>
      </w:pPr>
      <w:r>
        <w:rPr>
          <w:rFonts w:ascii="Times New Roman" w:hAnsi="Times New Roman" w:cs="Times New Roman"/>
          <w:sz w:val="36"/>
        </w:rPr>
        <w:t>附表2 二类区</w:t>
      </w:r>
      <w:r>
        <w:rPr>
          <w:rFonts w:hint="eastAsia" w:ascii="Times New Roman" w:hAnsi="Times New Roman" w:cs="Times New Roman"/>
          <w:sz w:val="36"/>
        </w:rPr>
        <w:t>和</w:t>
      </w:r>
      <w:r>
        <w:rPr>
          <w:rFonts w:ascii="Times New Roman" w:hAnsi="Times New Roman" w:cs="Times New Roman"/>
          <w:sz w:val="36"/>
        </w:rPr>
        <w:t>三类区</w:t>
      </w:r>
      <w:r>
        <w:rPr>
          <w:rFonts w:hint="eastAsia" w:ascii="Times New Roman" w:hAnsi="Times New Roman" w:cs="Times New Roman"/>
          <w:sz w:val="36"/>
        </w:rPr>
        <w:t>规划</w:t>
      </w:r>
      <w:r>
        <w:rPr>
          <w:rFonts w:ascii="Times New Roman" w:hAnsi="Times New Roman" w:cs="Times New Roman"/>
          <w:sz w:val="36"/>
        </w:rPr>
        <w:t>公共充电站一览表</w:t>
      </w:r>
      <w:bookmarkEnd w:id="12"/>
    </w:p>
    <w:tbl>
      <w:tblPr>
        <w:tblStyle w:val="7"/>
        <w:tblW w:w="20575" w:type="dxa"/>
        <w:tblInd w:w="91" w:type="dxa"/>
        <w:tblLayout w:type="autofit"/>
        <w:tblCellMar>
          <w:top w:w="0" w:type="dxa"/>
          <w:left w:w="108" w:type="dxa"/>
          <w:bottom w:w="0" w:type="dxa"/>
          <w:right w:w="108" w:type="dxa"/>
        </w:tblCellMar>
      </w:tblPr>
      <w:tblGrid>
        <w:gridCol w:w="1317"/>
        <w:gridCol w:w="2847"/>
        <w:gridCol w:w="3588"/>
        <w:gridCol w:w="1168"/>
        <w:gridCol w:w="1396"/>
        <w:gridCol w:w="2011"/>
        <w:gridCol w:w="1591"/>
        <w:gridCol w:w="1266"/>
        <w:gridCol w:w="2374"/>
        <w:gridCol w:w="3017"/>
      </w:tblGrid>
      <w:tr>
        <w:tblPrEx>
          <w:tblCellMar>
            <w:top w:w="0" w:type="dxa"/>
            <w:left w:w="108" w:type="dxa"/>
            <w:bottom w:w="0" w:type="dxa"/>
            <w:right w:w="108" w:type="dxa"/>
          </w:tblCellMar>
        </w:tblPrEx>
        <w:trPr>
          <w:trHeight w:val="711" w:hRule="atLeast"/>
          <w:tblHeader/>
        </w:trPr>
        <w:tc>
          <w:tcPr>
            <w:tcW w:w="1317" w:type="dxa"/>
            <w:tcBorders>
              <w:top w:val="single" w:color="000000" w:sz="8" w:space="0"/>
              <w:left w:val="single" w:color="000000" w:sz="8"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编号</w:t>
            </w:r>
          </w:p>
        </w:tc>
        <w:tc>
          <w:tcPr>
            <w:tcW w:w="2847"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名称</w:t>
            </w:r>
          </w:p>
        </w:tc>
        <w:tc>
          <w:tcPr>
            <w:tcW w:w="3588"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rPr>
            </w:pPr>
            <w:r>
              <w:rPr>
                <w:rStyle w:val="26"/>
                <w:rFonts w:hint="default"/>
                <w:color w:val="auto"/>
              </w:rPr>
              <w:t>位置</w:t>
            </w:r>
          </w:p>
        </w:tc>
        <w:tc>
          <w:tcPr>
            <w:tcW w:w="1168"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建设</w:t>
            </w:r>
          </w:p>
          <w:p>
            <w:pPr>
              <w:widowControl/>
              <w:spacing w:line="240" w:lineRule="auto"/>
              <w:ind w:firstLine="0" w:firstLineChars="0"/>
              <w:jc w:val="center"/>
              <w:textAlignment w:val="center"/>
              <w:rPr>
                <w:rFonts w:ascii="宋体" w:hAnsi="宋体" w:eastAsia="宋体" w:cs="宋体"/>
                <w:kern w:val="2"/>
                <w:sz w:val="24"/>
                <w:szCs w:val="24"/>
                <w:lang w:val="en-US" w:eastAsia="zh-CN" w:bidi="ar-SA"/>
              </w:rPr>
            </w:pPr>
            <w:r>
              <w:rPr>
                <w:rFonts w:hint="eastAsia" w:ascii="宋体" w:hAnsi="宋体" w:cs="宋体"/>
                <w:kern w:val="0"/>
              </w:rPr>
              <w:t>方式</w:t>
            </w:r>
          </w:p>
        </w:tc>
        <w:tc>
          <w:tcPr>
            <w:tcW w:w="1396"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2"/>
                <w:sz w:val="24"/>
                <w:szCs w:val="24"/>
                <w:lang w:val="en-US" w:eastAsia="zh-CN" w:bidi="ar-SA"/>
              </w:rPr>
            </w:pPr>
            <w:r>
              <w:rPr>
                <w:rFonts w:hint="eastAsia" w:ascii="宋体" w:hAnsi="宋体" w:cs="宋体"/>
                <w:kern w:val="0"/>
              </w:rPr>
              <w:t>站点功能类型</w:t>
            </w:r>
          </w:p>
        </w:tc>
        <w:tc>
          <w:tcPr>
            <w:tcW w:w="2011"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2"/>
                <w:sz w:val="24"/>
                <w:szCs w:val="24"/>
                <w:lang w:val="en-US" w:eastAsia="zh-CN" w:bidi="ar-SA"/>
              </w:rPr>
            </w:pPr>
            <w:r>
              <w:rPr>
                <w:rFonts w:hint="eastAsia" w:ascii="宋体" w:hAnsi="宋体" w:cs="宋体"/>
                <w:kern w:val="0"/>
              </w:rPr>
              <w:t>建议车位充电功率</w:t>
            </w:r>
          </w:p>
        </w:tc>
        <w:tc>
          <w:tcPr>
            <w:tcW w:w="1591"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建议充电</w:t>
            </w:r>
          </w:p>
          <w:p>
            <w:pPr>
              <w:widowControl/>
              <w:spacing w:line="240" w:lineRule="auto"/>
              <w:ind w:firstLine="0" w:firstLineChars="0"/>
              <w:jc w:val="center"/>
              <w:textAlignment w:val="center"/>
              <w:rPr>
                <w:rFonts w:ascii="宋体" w:hAnsi="宋体" w:eastAsia="宋体" w:cs="宋体"/>
                <w:kern w:val="0"/>
                <w:sz w:val="24"/>
                <w:szCs w:val="24"/>
                <w:lang w:val="en-US" w:eastAsia="zh-CN" w:bidi="ar-SA"/>
              </w:rPr>
            </w:pPr>
            <w:r>
              <w:rPr>
                <w:rFonts w:hint="eastAsia" w:ascii="宋体" w:hAnsi="宋体" w:cs="宋体"/>
                <w:kern w:val="0"/>
              </w:rPr>
              <w:t>车位</w:t>
            </w:r>
          </w:p>
        </w:tc>
        <w:tc>
          <w:tcPr>
            <w:tcW w:w="1266" w:type="dxa"/>
            <w:tcBorders>
              <w:top w:val="single" w:color="000000" w:sz="8" w:space="0"/>
              <w:left w:val="single" w:color="000000" w:sz="4" w:space="0"/>
              <w:bottom w:val="single" w:color="000000" w:sz="8"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超充</w:t>
            </w:r>
          </w:p>
          <w:p>
            <w:pPr>
              <w:widowControl/>
              <w:spacing w:line="240" w:lineRule="auto"/>
              <w:ind w:firstLine="0" w:firstLineChars="0"/>
              <w:jc w:val="center"/>
              <w:textAlignment w:val="center"/>
              <w:rPr>
                <w:rFonts w:ascii="宋体" w:hAnsi="宋体" w:eastAsia="宋体" w:cs="宋体"/>
                <w:kern w:val="0"/>
                <w:sz w:val="24"/>
                <w:szCs w:val="24"/>
                <w:lang w:val="en-US" w:eastAsia="zh-CN" w:bidi="ar-SA"/>
              </w:rPr>
            </w:pPr>
            <w:r>
              <w:rPr>
                <w:rFonts w:hint="eastAsia" w:ascii="宋体" w:hAnsi="宋体" w:cs="宋体"/>
                <w:kern w:val="0"/>
              </w:rPr>
              <w:t>配置</w:t>
            </w:r>
          </w:p>
        </w:tc>
        <w:tc>
          <w:tcPr>
            <w:tcW w:w="2374" w:type="dxa"/>
            <w:tcBorders>
              <w:top w:val="single" w:color="000000" w:sz="8" w:space="0"/>
              <w:left w:val="single" w:color="000000" w:sz="4"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站点</w:t>
            </w:r>
          </w:p>
          <w:p>
            <w:pPr>
              <w:widowControl/>
              <w:spacing w:line="240" w:lineRule="auto"/>
              <w:ind w:firstLine="0" w:firstLineChars="0"/>
              <w:jc w:val="center"/>
              <w:textAlignment w:val="center"/>
              <w:rPr>
                <w:rFonts w:ascii="宋体" w:hAnsi="宋体" w:cs="宋体"/>
              </w:rPr>
            </w:pPr>
            <w:r>
              <w:rPr>
                <w:rFonts w:hint="eastAsia" w:ascii="宋体" w:hAnsi="宋体" w:cs="宋体"/>
                <w:kern w:val="0"/>
              </w:rPr>
              <w:t>建议分类</w:t>
            </w:r>
          </w:p>
        </w:tc>
        <w:tc>
          <w:tcPr>
            <w:tcW w:w="3017" w:type="dxa"/>
            <w:tcBorders>
              <w:top w:val="single" w:color="000000" w:sz="8" w:space="0"/>
              <w:left w:val="single" w:color="000000" w:sz="4" w:space="0"/>
              <w:bottom w:val="single" w:color="000000" w:sz="8" w:space="0"/>
              <w:right w:val="single" w:color="000000" w:sz="8" w:space="0"/>
            </w:tcBorders>
            <w:shd w:val="clear" w:color="auto" w:fill="auto"/>
            <w:vAlign w:val="center"/>
          </w:tcPr>
          <w:p>
            <w:pPr>
              <w:widowControl/>
              <w:spacing w:line="240" w:lineRule="auto"/>
              <w:ind w:firstLine="0" w:firstLineChars="0"/>
              <w:jc w:val="center"/>
              <w:textAlignment w:val="center"/>
              <w:rPr>
                <w:rFonts w:ascii="宋体" w:hAnsi="宋体" w:cs="宋体"/>
                <w:kern w:val="0"/>
              </w:rPr>
            </w:pPr>
            <w:r>
              <w:rPr>
                <w:rFonts w:hint="eastAsia" w:ascii="宋体" w:hAnsi="宋体" w:cs="宋体"/>
                <w:kern w:val="0"/>
              </w:rPr>
              <w:t>备注</w:t>
            </w:r>
          </w:p>
        </w:tc>
      </w:tr>
      <w:tr>
        <w:tblPrEx>
          <w:tblCellMar>
            <w:top w:w="0" w:type="dxa"/>
            <w:left w:w="108" w:type="dxa"/>
            <w:bottom w:w="0" w:type="dxa"/>
            <w:right w:w="108" w:type="dxa"/>
          </w:tblCellMar>
        </w:tblPrEx>
        <w:trPr>
          <w:trHeight w:val="435" w:hRule="atLeast"/>
        </w:trPr>
        <w:tc>
          <w:tcPr>
            <w:tcW w:w="1317" w:type="dxa"/>
            <w:tcBorders>
              <w:top w:val="nil"/>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DJ-31</w:t>
            </w:r>
          </w:p>
        </w:tc>
        <w:tc>
          <w:tcPr>
            <w:tcW w:w="284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高安工业园区充电站</w:t>
            </w:r>
          </w:p>
        </w:tc>
        <w:tc>
          <w:tcPr>
            <w:tcW w:w="358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高安工业园区（</w:t>
            </w:r>
            <w:r>
              <w:rPr>
                <w:rStyle w:val="28"/>
                <w:rFonts w:hint="eastAsia"/>
                <w:color w:val="auto"/>
                <w:lang w:val="en-US" w:eastAsia="zh-CN"/>
              </w:rPr>
              <w:t>五家坝广场</w:t>
            </w:r>
            <w:r>
              <w:rPr>
                <w:rStyle w:val="28"/>
                <w:rFonts w:hint="eastAsia"/>
                <w:color w:val="auto"/>
              </w:rPr>
              <w:t>）</w:t>
            </w:r>
          </w:p>
        </w:tc>
        <w:tc>
          <w:tcPr>
            <w:tcW w:w="116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新建</w:t>
            </w:r>
          </w:p>
        </w:tc>
        <w:tc>
          <w:tcPr>
            <w:tcW w:w="139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4</w:t>
            </w:r>
          </w:p>
        </w:tc>
        <w:tc>
          <w:tcPr>
            <w:tcW w:w="126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nil"/>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nil"/>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DJ-32</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高安政府</w:t>
            </w:r>
            <w:r>
              <w:rPr>
                <w:rStyle w:val="28"/>
                <w:rFonts w:hint="eastAsia"/>
                <w:color w:val="auto"/>
                <w:lang w:val="en-US" w:eastAsia="zh-CN"/>
              </w:rPr>
              <w:t>充电桩</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w:t>
            </w:r>
            <w:r>
              <w:rPr>
                <w:rStyle w:val="28"/>
                <w:rFonts w:hint="eastAsia"/>
                <w:color w:val="auto"/>
                <w:lang w:val="en-US" w:eastAsia="zh-CN"/>
              </w:rPr>
              <w:t>镇</w:t>
            </w:r>
            <w:r>
              <w:rPr>
                <w:rStyle w:val="28"/>
                <w:rFonts w:hint="eastAsia"/>
                <w:color w:val="auto"/>
              </w:rPr>
              <w:t>政府停车场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新建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DJ-33</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高安车站充电站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lang w:val="en-US" w:eastAsia="zh-CN"/>
              </w:rPr>
              <w:t>高安镇客运</w:t>
            </w:r>
            <w:r>
              <w:rPr>
                <w:rStyle w:val="28"/>
                <w:rFonts w:hint="eastAsia"/>
                <w:color w:val="auto"/>
              </w:rPr>
              <w:t>车站内空地</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DJ-34</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高安小学校充电站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高安镇桥东路377号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DJ-35</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高安中心卫生院</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高安镇桥西路50号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DJ-36</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G350连接线充电站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澄溪G350连接线旁（澄溪下高速口旁边）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DJ-37</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澄溪兴澄广场充电站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eastAsia="宋体"/>
                <w:color w:val="auto"/>
                <w:lang w:val="en-US" w:eastAsia="zh-CN"/>
              </w:rPr>
            </w:pPr>
            <w:r>
              <w:rPr>
                <w:rStyle w:val="28"/>
                <w:rFonts w:hint="eastAsia"/>
                <w:color w:val="auto"/>
              </w:rPr>
              <w:t>澄溪镇兴澄广场</w:t>
            </w:r>
            <w:r>
              <w:rPr>
                <w:rStyle w:val="28"/>
                <w:rFonts w:hint="eastAsia"/>
                <w:color w:val="auto"/>
                <w:lang w:val="en-US" w:eastAsia="zh-CN"/>
              </w:rPr>
              <w:t>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DJ-38</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eastAsia="宋体"/>
                <w:color w:val="auto"/>
                <w:highlight w:val="none"/>
                <w:lang w:val="en-US" w:eastAsia="zh-CN"/>
              </w:rPr>
            </w:pPr>
            <w:r>
              <w:rPr>
                <w:rStyle w:val="28"/>
                <w:rFonts w:hint="eastAsia"/>
                <w:color w:val="auto"/>
                <w:highlight w:val="none"/>
              </w:rPr>
              <w:t>天池坝露营基地</w:t>
            </w:r>
            <w:r>
              <w:rPr>
                <w:rStyle w:val="28"/>
                <w:rFonts w:hint="eastAsia"/>
                <w:color w:val="auto"/>
                <w:highlight w:val="none"/>
                <w:lang w:val="en-US" w:eastAsia="zh-CN"/>
              </w:rPr>
              <w:t>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澄溪镇双桂社区9组</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highlight w:val="none"/>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default" w:eastAsia="宋体"/>
                <w:color w:val="auto"/>
                <w:highlight w:val="none"/>
                <w:lang w:val="en-US" w:eastAsia="zh-CN"/>
              </w:rPr>
            </w:pPr>
            <w:r>
              <w:rPr>
                <w:rStyle w:val="28"/>
                <w:rFonts w:hint="eastAsia"/>
                <w:color w:val="auto"/>
                <w:highlight w:val="none"/>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DJ-39</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澄溪中心幼儿园充电站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垫江县澄溪镇康熙路15号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DJ-40</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澄溪小学校充电站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垫江县澄溪小学校1号校门旁停车位</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DJ-41</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垫江县第一人民医院充电站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垫江县澄溪镇泽生路69号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DJ-42</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黄沙镇长红社区充电站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 xml:space="preserve">黄沙镇长红安置房旁 </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DJ-43</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长龙镇龙桥湖充电站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长龙镇长久村龙桥湖</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DJ-44</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周嘉镇政府应急</w:t>
            </w:r>
            <w:r>
              <w:rPr>
                <w:rFonts w:ascii="宋体" w:hAnsi="宋体"/>
                <w:kern w:val="0"/>
              </w:rPr>
              <w:t>广场充电站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周嘉镇政府外应急广场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新建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DJ-45</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垫江牡丹樱花世界充电站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新民镇石仙村牡丹樱花世界停车场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DJ-46</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精神卫生中心充电站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重庆市垫江县新民镇南印寺村1组</w:t>
            </w:r>
            <w:r>
              <w:rPr>
                <w:rStyle w:val="28"/>
                <w:rFonts w:hint="eastAsia"/>
                <w:color w:val="auto"/>
                <w:lang w:eastAsia="zh-CN"/>
              </w:rPr>
              <w:t>（</w:t>
            </w:r>
            <w:r>
              <w:rPr>
                <w:rStyle w:val="28"/>
                <w:rFonts w:hint="eastAsia"/>
                <w:color w:val="auto"/>
              </w:rPr>
              <w:t>加油站旁</w:t>
            </w:r>
            <w:r>
              <w:rPr>
                <w:rStyle w:val="28"/>
                <w:rFonts w:hint="eastAsia"/>
                <w:color w:val="auto"/>
                <w:lang w:eastAsia="zh-CN"/>
              </w:rPr>
              <w:t>）</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DJ-47</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太平小学校充电站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垫江县太平镇丹源路8号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DJ-48</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太平镇卫生院充电站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垫江县太平镇石油路 39 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DJ-49</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太平镇人民政府充电站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太平镇人民政府广场旁</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default"/>
                <w:color w:val="auto"/>
                <w:highlight w:val="none"/>
                <w:lang w:val="en-US" w:eastAsia="zh-CN"/>
              </w:rPr>
            </w:pPr>
            <w:r>
              <w:rPr>
                <w:rStyle w:val="28"/>
                <w:rFonts w:hint="eastAsia"/>
                <w:color w:val="auto"/>
                <w:highlight w:val="none"/>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DJ-50</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eastAsia="宋体"/>
                <w:color w:val="auto"/>
                <w:highlight w:val="none"/>
                <w:lang w:val="en-US" w:eastAsia="zh-CN"/>
              </w:rPr>
            </w:pPr>
            <w:r>
              <w:rPr>
                <w:rStyle w:val="28"/>
                <w:rFonts w:hint="eastAsia"/>
                <w:color w:val="auto"/>
                <w:highlight w:val="none"/>
              </w:rPr>
              <w:t>太平</w:t>
            </w:r>
            <w:r>
              <w:rPr>
                <w:rStyle w:val="28"/>
                <w:rFonts w:hint="eastAsia"/>
                <w:color w:val="auto"/>
                <w:highlight w:val="none"/>
                <w:lang w:val="en-US" w:eastAsia="zh-CN"/>
              </w:rPr>
              <w:t>镇</w:t>
            </w:r>
            <w:r>
              <w:rPr>
                <w:rStyle w:val="28"/>
                <w:rFonts w:hint="eastAsia"/>
                <w:color w:val="auto"/>
                <w:highlight w:val="none"/>
              </w:rPr>
              <w:t>桂花村</w:t>
            </w:r>
            <w:r>
              <w:rPr>
                <w:rStyle w:val="28"/>
                <w:rFonts w:hint="eastAsia"/>
                <w:color w:val="auto"/>
                <w:highlight w:val="none"/>
                <w:lang w:val="en-US" w:eastAsia="zh-CN"/>
              </w:rPr>
              <w:t>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太平镇桂花村美丽巴蜀庭院（多萝西）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highlight w:val="none"/>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eastAsia="宋体"/>
                <w:color w:val="auto"/>
                <w:highlight w:val="none"/>
                <w:lang w:eastAsia="zh-CN"/>
              </w:rPr>
            </w:pPr>
            <w:r>
              <w:rPr>
                <w:rStyle w:val="28"/>
                <w:rFonts w:hint="eastAsia"/>
                <w:color w:val="auto"/>
                <w:highlight w:val="none"/>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DJ-51</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牡丹中学校充电站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重庆市垫江县太平镇迎春南路77号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35"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DJ-52</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坪山镇回龙社区充电站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坪山镇回龙社区便民服务中心</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auto"/>
              <w:rPr>
                <w:kern w:val="0"/>
              </w:rPr>
            </w:pPr>
            <w:r>
              <w:rPr>
                <w:rFonts w:hint="default" w:ascii="Times New Roman" w:hAnsi="Times New Roman" w:eastAsia="宋体" w:cs="Times New Roman"/>
                <w:i w:val="0"/>
                <w:iCs w:val="0"/>
                <w:color w:val="000000"/>
                <w:kern w:val="0"/>
                <w:sz w:val="24"/>
                <w:szCs w:val="24"/>
                <w:u w:val="none"/>
                <w:lang w:val="en-US" w:eastAsia="zh-CN" w:bidi="ar"/>
              </w:rPr>
              <w:t>DJ-5</w:t>
            </w:r>
            <w:r>
              <w:rPr>
                <w:rFonts w:hint="eastAsia" w:cs="Times New Roman"/>
                <w:i w:val="0"/>
                <w:iCs w:val="0"/>
                <w:color w:val="000000"/>
                <w:kern w:val="0"/>
                <w:sz w:val="24"/>
                <w:szCs w:val="24"/>
                <w:u w:val="none"/>
                <w:lang w:val="en-US" w:eastAsia="zh-CN" w:bidi="ar"/>
              </w:rPr>
              <w:t>3</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砚台镇政府充电站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eastAsia="宋体"/>
                <w:color w:val="auto"/>
                <w:lang w:val="en-US" w:eastAsia="zh-CN"/>
              </w:rPr>
            </w:pPr>
            <w:r>
              <w:rPr>
                <w:rStyle w:val="28"/>
                <w:rFonts w:hint="eastAsia"/>
                <w:color w:val="auto"/>
              </w:rPr>
              <w:t>砚台镇政府</w:t>
            </w:r>
            <w:r>
              <w:rPr>
                <w:rStyle w:val="28"/>
                <w:rFonts w:hint="eastAsia"/>
                <w:color w:val="auto"/>
                <w:lang w:val="en-US" w:eastAsia="zh-CN"/>
              </w:rPr>
              <w:t>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DJ-54</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砚台镇卫生院充电站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垫江县砚台镇学府路100号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DJ-55</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曹回镇政府充电站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曹回镇光明街1号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DJ-56</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曹回镇龙桥学校充电站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垫江县曹回镇正大街2号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DJ-57</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沙坪社区充电站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垫江县沙坪社区（沙坪镇政府）</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DJ-58</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kinsoku/>
              <w:wordWrap/>
              <w:overflowPunct/>
              <w:topLinePunct w:val="0"/>
              <w:autoSpaceDE/>
              <w:autoSpaceDN/>
              <w:bidi w:val="0"/>
              <w:adjustRightInd/>
              <w:snapToGrid/>
              <w:spacing w:line="288" w:lineRule="auto"/>
              <w:ind w:firstLine="0" w:firstLineChars="0"/>
              <w:jc w:val="center"/>
              <w:rPr>
                <w:rFonts w:ascii="宋体" w:hAnsi="宋体"/>
                <w:strike/>
                <w:color w:val="auto"/>
                <w:kern w:val="0"/>
                <w:szCs w:val="24"/>
              </w:rPr>
            </w:pPr>
            <w:r>
              <w:rPr>
                <w:rFonts w:hint="eastAsia" w:ascii="宋体" w:hAnsi="宋体"/>
                <w:color w:val="auto"/>
                <w:kern w:val="0"/>
                <w:szCs w:val="24"/>
              </w:rPr>
              <w:t>白杨村充电站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kinsoku/>
              <w:wordWrap/>
              <w:overflowPunct/>
              <w:topLinePunct w:val="0"/>
              <w:autoSpaceDE/>
              <w:autoSpaceDN/>
              <w:bidi w:val="0"/>
              <w:adjustRightInd/>
              <w:snapToGrid/>
              <w:spacing w:line="288" w:lineRule="auto"/>
              <w:ind w:firstLine="0" w:firstLineChars="0"/>
              <w:jc w:val="center"/>
              <w:rPr>
                <w:rFonts w:ascii="宋体" w:hAnsi="宋体"/>
                <w:strike/>
                <w:color w:val="auto"/>
                <w:kern w:val="0"/>
                <w:szCs w:val="24"/>
              </w:rPr>
            </w:pPr>
            <w:r>
              <w:rPr>
                <w:rFonts w:hint="eastAsia" w:ascii="宋体" w:hAnsi="宋体"/>
                <w:color w:val="auto"/>
                <w:kern w:val="0"/>
                <w:szCs w:val="24"/>
              </w:rPr>
              <w:t>沙坪镇白杨村综合能源站</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新建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cs="宋体"/>
                <w:kern w:val="0"/>
              </w:rPr>
              <w:t>必配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cs="宋体"/>
                <w:kern w:val="0"/>
              </w:rPr>
              <w:t>重点站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DJ-59</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kinsoku/>
              <w:wordWrap/>
              <w:overflowPunct/>
              <w:topLinePunct w:val="0"/>
              <w:autoSpaceDE/>
              <w:autoSpaceDN/>
              <w:bidi w:val="0"/>
              <w:adjustRightInd/>
              <w:snapToGrid/>
              <w:spacing w:line="288" w:lineRule="auto"/>
              <w:ind w:firstLine="0" w:firstLineChars="0"/>
              <w:jc w:val="center"/>
              <w:rPr>
                <w:rFonts w:hint="eastAsia" w:ascii="宋体" w:hAnsi="宋体" w:eastAsia="宋体"/>
                <w:color w:val="auto"/>
                <w:kern w:val="0"/>
                <w:szCs w:val="24"/>
                <w:highlight w:val="none"/>
                <w:lang w:val="en-US" w:eastAsia="zh-CN"/>
              </w:rPr>
            </w:pPr>
            <w:r>
              <w:rPr>
                <w:rFonts w:hint="eastAsia" w:ascii="宋体" w:hAnsi="宋体"/>
                <w:color w:val="auto"/>
                <w:kern w:val="0"/>
                <w:szCs w:val="24"/>
                <w:highlight w:val="none"/>
              </w:rPr>
              <w:t>闲云茗居房车露营基地</w:t>
            </w:r>
            <w:r>
              <w:rPr>
                <w:rFonts w:hint="eastAsia" w:ascii="宋体" w:hAnsi="宋体"/>
                <w:color w:val="auto"/>
                <w:kern w:val="0"/>
                <w:szCs w:val="24"/>
                <w:highlight w:val="none"/>
                <w:lang w:val="en-US" w:eastAsia="zh-CN"/>
              </w:rPr>
              <w:t>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480" w:firstLineChars="200"/>
              <w:jc w:val="center"/>
              <w:textAlignment w:val="center"/>
              <w:rPr>
                <w:rFonts w:hint="eastAsia" w:ascii="宋体" w:hAnsi="宋体" w:eastAsia="宋体"/>
                <w:color w:val="auto"/>
                <w:kern w:val="0"/>
                <w:szCs w:val="24"/>
                <w:highlight w:val="none"/>
                <w:lang w:eastAsia="zh-CN"/>
              </w:rPr>
            </w:pPr>
            <w:r>
              <w:rPr>
                <w:rFonts w:hint="eastAsia" w:ascii="宋体" w:hAnsi="宋体" w:eastAsia="宋体" w:cs="宋体"/>
                <w:i w:val="0"/>
                <w:iCs w:val="0"/>
                <w:color w:val="000000"/>
                <w:kern w:val="0"/>
                <w:sz w:val="24"/>
                <w:szCs w:val="24"/>
                <w:u w:val="none"/>
                <w:lang w:val="en-US" w:eastAsia="zh-CN" w:bidi="ar"/>
              </w:rPr>
              <w:t>沙坪镇环大村1组</w:t>
            </w:r>
            <w:r>
              <w:rPr>
                <w:rFonts w:hint="eastAsia" w:ascii="宋体" w:hAnsi="宋体" w:cs="宋体"/>
                <w:i w:val="0"/>
                <w:iCs w:val="0"/>
                <w:color w:val="000000"/>
                <w:kern w:val="0"/>
                <w:sz w:val="24"/>
                <w:szCs w:val="24"/>
                <w:u w:val="none"/>
                <w:lang w:val="en-US" w:eastAsia="zh-CN" w:bidi="ar"/>
              </w:rPr>
              <w:t>（</w:t>
            </w:r>
            <w:r>
              <w:rPr>
                <w:rFonts w:hint="eastAsia" w:ascii="宋体" w:hAnsi="宋体"/>
                <w:color w:val="auto"/>
                <w:kern w:val="0"/>
                <w:szCs w:val="24"/>
                <w:highlight w:val="none"/>
              </w:rPr>
              <w:t>闲云茗居</w:t>
            </w:r>
            <w:r>
              <w:rPr>
                <w:rFonts w:hint="eastAsia" w:ascii="宋体" w:hAnsi="宋体"/>
                <w:color w:val="auto"/>
                <w:kern w:val="0"/>
                <w:szCs w:val="24"/>
                <w:highlight w:val="none"/>
                <w:lang w:eastAsia="zh-CN"/>
              </w:rPr>
              <w:t>）</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highlight w:val="none"/>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default" w:eastAsia="宋体"/>
                <w:highlight w:val="none"/>
                <w:lang w:val="en-US" w:eastAsia="zh-CN"/>
              </w:rPr>
            </w:pPr>
            <w:r>
              <w:rPr>
                <w:rStyle w:val="28"/>
                <w:rFonts w:hint="eastAsia"/>
                <w:color w:val="auto"/>
                <w:highlight w:val="none"/>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cs="宋体"/>
                <w:kern w:val="0"/>
                <w:highlight w:val="none"/>
              </w:rPr>
            </w:pPr>
            <w:r>
              <w:rPr>
                <w:rStyle w:val="28"/>
                <w:rFonts w:hint="eastAsia"/>
                <w:color w:val="auto"/>
                <w:highlight w:val="none"/>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highlight w:val="none"/>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DJ-60</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kinsoku/>
              <w:wordWrap/>
              <w:overflowPunct/>
              <w:topLinePunct w:val="0"/>
              <w:autoSpaceDE/>
              <w:autoSpaceDN/>
              <w:bidi w:val="0"/>
              <w:adjustRightInd/>
              <w:snapToGrid/>
              <w:spacing w:line="288" w:lineRule="auto"/>
              <w:ind w:firstLine="0" w:firstLineChars="0"/>
              <w:jc w:val="center"/>
              <w:rPr>
                <w:rFonts w:hint="eastAsia" w:ascii="宋体" w:hAnsi="宋体"/>
                <w:color w:val="auto"/>
                <w:kern w:val="0"/>
                <w:szCs w:val="24"/>
                <w:highlight w:val="none"/>
              </w:rPr>
            </w:pPr>
            <w:r>
              <w:rPr>
                <w:rFonts w:hint="eastAsia" w:ascii="宋体" w:hAnsi="宋体"/>
                <w:color w:val="auto"/>
                <w:kern w:val="0"/>
                <w:szCs w:val="24"/>
                <w:highlight w:val="none"/>
              </w:rPr>
              <w:t>落日乌托邦房车露营基</w:t>
            </w:r>
            <w:r>
              <w:rPr>
                <w:rFonts w:hint="eastAsia" w:ascii="宋体" w:hAnsi="宋体"/>
                <w:color w:val="auto"/>
                <w:kern w:val="0"/>
                <w:szCs w:val="24"/>
                <w:highlight w:val="none"/>
                <w:lang w:val="en-US" w:eastAsia="zh-CN"/>
              </w:rPr>
              <w:t>充电站</w:t>
            </w:r>
            <w:r>
              <w:rPr>
                <w:rFonts w:hint="eastAsia" w:ascii="宋体" w:hAnsi="宋体"/>
                <w:color w:val="auto"/>
                <w:kern w:val="0"/>
                <w:szCs w:val="24"/>
                <w:highlight w:val="none"/>
              </w:rPr>
              <w:t>地</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480" w:firstLineChars="200"/>
              <w:jc w:val="center"/>
              <w:textAlignment w:val="center"/>
              <w:rPr>
                <w:rFonts w:hint="eastAsia" w:ascii="宋体" w:hAnsi="宋体" w:eastAsia="宋体"/>
                <w:color w:val="auto"/>
                <w:kern w:val="0"/>
                <w:szCs w:val="24"/>
                <w:highlight w:val="none"/>
                <w:lang w:eastAsia="zh-CN"/>
              </w:rPr>
            </w:pPr>
            <w:r>
              <w:rPr>
                <w:rFonts w:hint="eastAsia" w:ascii="宋体" w:hAnsi="宋体" w:eastAsia="宋体" w:cs="宋体"/>
                <w:i w:val="0"/>
                <w:iCs w:val="0"/>
                <w:color w:val="000000"/>
                <w:kern w:val="0"/>
                <w:sz w:val="24"/>
                <w:szCs w:val="24"/>
                <w:u w:val="none"/>
                <w:lang w:val="en-US" w:eastAsia="zh-CN" w:bidi="ar"/>
              </w:rPr>
              <w:t>沙坪镇环大村1组</w:t>
            </w:r>
            <w:r>
              <w:rPr>
                <w:rFonts w:hint="eastAsia" w:ascii="宋体" w:hAnsi="宋体" w:cs="宋体"/>
                <w:i w:val="0"/>
                <w:iCs w:val="0"/>
                <w:color w:val="000000"/>
                <w:kern w:val="0"/>
                <w:sz w:val="24"/>
                <w:szCs w:val="24"/>
                <w:u w:val="none"/>
                <w:lang w:val="en-US" w:eastAsia="zh-CN" w:bidi="ar"/>
              </w:rPr>
              <w:t>（</w:t>
            </w:r>
            <w:r>
              <w:rPr>
                <w:rFonts w:hint="eastAsia" w:ascii="宋体" w:hAnsi="宋体"/>
                <w:color w:val="auto"/>
                <w:kern w:val="0"/>
                <w:szCs w:val="24"/>
                <w:highlight w:val="none"/>
              </w:rPr>
              <w:t>落日乌托邦</w:t>
            </w:r>
            <w:r>
              <w:rPr>
                <w:rFonts w:hint="eastAsia" w:ascii="宋体" w:hAnsi="宋体"/>
                <w:color w:val="auto"/>
                <w:kern w:val="0"/>
                <w:szCs w:val="24"/>
                <w:highlight w:val="none"/>
                <w:lang w:eastAsia="zh-CN"/>
              </w:rPr>
              <w:t>）</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highlight w:val="none"/>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highlight w:val="none"/>
              </w:rPr>
            </w:pPr>
            <w:r>
              <w:rPr>
                <w:rStyle w:val="28"/>
                <w:color w:val="auto"/>
                <w:highlight w:val="none"/>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cs="宋体"/>
                <w:kern w:val="0"/>
                <w:highlight w:val="none"/>
              </w:rPr>
            </w:pPr>
            <w:r>
              <w:rPr>
                <w:rStyle w:val="28"/>
                <w:rFonts w:hint="eastAsia"/>
                <w:color w:val="auto"/>
                <w:highlight w:val="none"/>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highlight w:val="none"/>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DJ-61</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kinsoku/>
              <w:wordWrap/>
              <w:overflowPunct/>
              <w:topLinePunct w:val="0"/>
              <w:autoSpaceDE/>
              <w:autoSpaceDN/>
              <w:bidi w:val="0"/>
              <w:adjustRightInd/>
              <w:snapToGrid/>
              <w:spacing w:line="288" w:lineRule="auto"/>
              <w:ind w:firstLine="0" w:firstLineChars="0"/>
              <w:jc w:val="center"/>
              <w:rPr>
                <w:rFonts w:hint="eastAsia" w:ascii="宋体" w:hAnsi="宋体" w:eastAsia="宋体"/>
                <w:color w:val="auto"/>
                <w:kern w:val="0"/>
                <w:szCs w:val="24"/>
                <w:highlight w:val="none"/>
                <w:lang w:val="en-US" w:eastAsia="zh-CN"/>
              </w:rPr>
            </w:pPr>
            <w:r>
              <w:rPr>
                <w:rFonts w:hint="eastAsia" w:ascii="宋体" w:hAnsi="宋体"/>
                <w:color w:val="auto"/>
                <w:kern w:val="0"/>
                <w:szCs w:val="24"/>
                <w:highlight w:val="none"/>
              </w:rPr>
              <w:t>天香旅游度假区北主入口</w:t>
            </w:r>
            <w:r>
              <w:rPr>
                <w:rFonts w:hint="eastAsia" w:ascii="宋体" w:hAnsi="宋体"/>
                <w:color w:val="auto"/>
                <w:kern w:val="0"/>
                <w:szCs w:val="24"/>
                <w:highlight w:val="none"/>
                <w:lang w:val="en-US" w:eastAsia="zh-CN"/>
              </w:rPr>
              <w:t>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480" w:firstLineChars="200"/>
              <w:jc w:val="center"/>
              <w:textAlignment w:val="center"/>
              <w:rPr>
                <w:rFonts w:hint="eastAsia" w:ascii="宋体" w:hAnsi="宋体" w:eastAsia="宋体"/>
                <w:color w:val="auto"/>
                <w:kern w:val="0"/>
                <w:szCs w:val="24"/>
                <w:highlight w:val="none"/>
                <w:lang w:eastAsia="zh-CN"/>
              </w:rPr>
            </w:pPr>
            <w:r>
              <w:rPr>
                <w:rFonts w:hint="eastAsia" w:ascii="宋体" w:hAnsi="宋体" w:eastAsia="宋体" w:cs="宋体"/>
                <w:i w:val="0"/>
                <w:iCs w:val="0"/>
                <w:color w:val="000000"/>
                <w:kern w:val="0"/>
                <w:sz w:val="24"/>
                <w:szCs w:val="24"/>
                <w:u w:val="none"/>
                <w:lang w:val="en-US" w:eastAsia="zh-CN" w:bidi="ar"/>
              </w:rPr>
              <w:t>沙坪镇环大村4组</w:t>
            </w:r>
            <w:r>
              <w:rPr>
                <w:rFonts w:hint="eastAsia" w:ascii="宋体" w:hAnsi="宋体" w:cs="宋体"/>
                <w:i w:val="0"/>
                <w:iCs w:val="0"/>
                <w:color w:val="000000"/>
                <w:kern w:val="0"/>
                <w:sz w:val="24"/>
                <w:szCs w:val="24"/>
                <w:u w:val="none"/>
                <w:lang w:val="en-US" w:eastAsia="zh-CN" w:bidi="ar"/>
              </w:rPr>
              <w:t>（</w:t>
            </w:r>
            <w:r>
              <w:rPr>
                <w:rFonts w:hint="eastAsia" w:ascii="宋体" w:hAnsi="宋体"/>
                <w:color w:val="auto"/>
                <w:kern w:val="0"/>
                <w:szCs w:val="24"/>
                <w:highlight w:val="none"/>
              </w:rPr>
              <w:t>天香旅游度假区</w:t>
            </w:r>
            <w:r>
              <w:rPr>
                <w:rFonts w:hint="eastAsia" w:ascii="宋体" w:hAnsi="宋体"/>
                <w:color w:val="auto"/>
                <w:kern w:val="0"/>
                <w:szCs w:val="24"/>
                <w:highlight w:val="none"/>
                <w:lang w:eastAsia="zh-CN"/>
              </w:rPr>
              <w:t>）</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highlight w:val="none"/>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default" w:eastAsia="宋体"/>
                <w:highlight w:val="none"/>
                <w:lang w:val="en-US" w:eastAsia="zh-CN"/>
              </w:rPr>
            </w:pPr>
            <w:r>
              <w:rPr>
                <w:rStyle w:val="28"/>
                <w:rFonts w:hint="eastAsia"/>
                <w:color w:val="auto"/>
                <w:highlight w:val="none"/>
                <w:lang w:val="en-US" w:eastAsia="zh-CN"/>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cs="宋体"/>
                <w:kern w:val="0"/>
                <w:highlight w:val="none"/>
              </w:rPr>
            </w:pPr>
            <w:r>
              <w:rPr>
                <w:rStyle w:val="28"/>
                <w:rFonts w:hint="eastAsia"/>
                <w:color w:val="auto"/>
                <w:highlight w:val="none"/>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highlight w:val="none"/>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DJ-62</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keepNext w:val="0"/>
              <w:keepLines w:val="0"/>
              <w:pageBreakBefore w:val="0"/>
              <w:widowControl/>
              <w:kinsoku/>
              <w:wordWrap/>
              <w:overflowPunct/>
              <w:topLinePunct w:val="0"/>
              <w:autoSpaceDE/>
              <w:autoSpaceDN/>
              <w:bidi w:val="0"/>
              <w:adjustRightInd/>
              <w:snapToGrid/>
              <w:spacing w:line="288" w:lineRule="auto"/>
              <w:ind w:firstLine="0" w:firstLineChars="0"/>
              <w:jc w:val="center"/>
              <w:rPr>
                <w:rFonts w:hint="eastAsia" w:ascii="宋体" w:hAnsi="宋体" w:eastAsia="宋体"/>
                <w:color w:val="auto"/>
                <w:kern w:val="0"/>
                <w:szCs w:val="24"/>
                <w:highlight w:val="none"/>
                <w:lang w:val="en-US" w:eastAsia="zh-CN"/>
              </w:rPr>
            </w:pPr>
            <w:r>
              <w:rPr>
                <w:rFonts w:hint="eastAsia" w:ascii="宋体" w:hAnsi="宋体"/>
                <w:color w:val="auto"/>
                <w:kern w:val="0"/>
                <w:szCs w:val="24"/>
                <w:highlight w:val="none"/>
              </w:rPr>
              <w:t>天香路沿线露营基地（K4）</w:t>
            </w:r>
            <w:r>
              <w:rPr>
                <w:rFonts w:hint="eastAsia" w:ascii="宋体" w:hAnsi="宋体"/>
                <w:color w:val="auto"/>
                <w:kern w:val="0"/>
                <w:szCs w:val="24"/>
                <w:highlight w:val="none"/>
                <w:lang w:val="en-US" w:eastAsia="zh-CN"/>
              </w:rPr>
              <w:t>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480" w:firstLineChars="200"/>
              <w:jc w:val="center"/>
              <w:textAlignment w:val="center"/>
              <w:rPr>
                <w:rFonts w:hint="eastAsia" w:ascii="宋体" w:hAnsi="宋体"/>
                <w:color w:val="auto"/>
                <w:kern w:val="0"/>
                <w:szCs w:val="24"/>
                <w:highlight w:val="none"/>
              </w:rPr>
            </w:pPr>
            <w:r>
              <w:rPr>
                <w:rFonts w:hint="eastAsia" w:ascii="宋体" w:hAnsi="宋体" w:eastAsia="宋体" w:cs="宋体"/>
                <w:i w:val="0"/>
                <w:iCs w:val="0"/>
                <w:color w:val="000000"/>
                <w:kern w:val="0"/>
                <w:sz w:val="24"/>
                <w:szCs w:val="24"/>
                <w:u w:val="none"/>
                <w:lang w:val="en-US" w:eastAsia="zh-CN" w:bidi="ar"/>
              </w:rPr>
              <w:t>沙坪镇东印村6组</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highlight w:val="none"/>
              </w:rPr>
            </w:pPr>
            <w:r>
              <w:rPr>
                <w:rStyle w:val="28"/>
                <w:color w:val="auto"/>
                <w:highlight w:val="none"/>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highlight w:val="none"/>
              </w:rPr>
            </w:pPr>
            <w:r>
              <w:rPr>
                <w:rStyle w:val="28"/>
                <w:color w:val="auto"/>
                <w:highlight w:val="none"/>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highlight w:val="none"/>
              </w:rPr>
            </w:pPr>
            <w:r>
              <w:rPr>
                <w:rStyle w:val="28"/>
                <w:rFonts w:hint="eastAsia"/>
                <w:color w:val="auto"/>
                <w:highlight w:val="none"/>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cs="宋体"/>
                <w:kern w:val="0"/>
                <w:highlight w:val="none"/>
              </w:rPr>
            </w:pPr>
            <w:r>
              <w:rPr>
                <w:rStyle w:val="28"/>
                <w:rFonts w:hint="eastAsia"/>
                <w:color w:val="auto"/>
                <w:highlight w:val="none"/>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highlight w:val="none"/>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DJ-63</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五洞中心卫生院充电站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垫江县五洞中心卫生院停车场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kern w:val="0"/>
              </w:rPr>
            </w:pPr>
            <w:r>
              <w:rPr>
                <w:rStyle w:val="28"/>
                <w:rFonts w:hint="default"/>
                <w:color w:val="auto"/>
                <w:lang w:val="en-US" w:eastAsia="zh-CN"/>
              </w:rPr>
              <w:t>DJ-64</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五洞镇政府充电站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eastAsia="宋体"/>
                <w:color w:val="auto"/>
                <w:lang w:val="en-US" w:eastAsia="zh-CN"/>
              </w:rPr>
            </w:pPr>
            <w:r>
              <w:rPr>
                <w:rStyle w:val="28"/>
                <w:rFonts w:hint="eastAsia"/>
                <w:color w:val="auto"/>
              </w:rPr>
              <w:t>五洞镇政府</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default"/>
                <w:color w:val="auto"/>
                <w:lang w:val="en-US" w:eastAsia="zh-CN"/>
              </w:rPr>
              <w:t>DJ-65</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杠家镇政府充电站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杠家镇政府篮球场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Fonts w:hint="default" w:ascii="Times New Roman" w:hAnsi="Times New Roman" w:eastAsia="宋体" w:cs="Times New Roman"/>
                <w:i w:val="0"/>
                <w:iCs w:val="0"/>
                <w:color w:val="000000"/>
                <w:kern w:val="0"/>
                <w:sz w:val="24"/>
                <w:szCs w:val="24"/>
                <w:u w:val="none"/>
                <w:lang w:val="en-US" w:eastAsia="zh-CN" w:bidi="ar"/>
              </w:rPr>
              <w:t>DJ-66</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高峰镇政府充电站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lang w:val="en-US" w:eastAsia="zh-CN"/>
              </w:rPr>
            </w:pPr>
            <w:r>
              <w:rPr>
                <w:rStyle w:val="28"/>
                <w:rFonts w:hint="eastAsia"/>
                <w:color w:val="auto"/>
              </w:rPr>
              <w:t>高峰镇镇中大道旁</w:t>
            </w:r>
            <w:r>
              <w:rPr>
                <w:rStyle w:val="28"/>
                <w:rFonts w:hint="eastAsia"/>
                <w:color w:val="auto"/>
                <w:lang w:eastAsia="zh-CN"/>
              </w:rPr>
              <w:t>（</w:t>
            </w:r>
            <w:r>
              <w:rPr>
                <w:rStyle w:val="28"/>
                <w:rFonts w:hint="eastAsia"/>
                <w:color w:val="auto"/>
              </w:rPr>
              <w:t>渝垫国资公司储备地</w:t>
            </w:r>
            <w:r>
              <w:rPr>
                <w:rStyle w:val="28"/>
                <w:rFonts w:hint="eastAsia"/>
                <w:color w:val="auto"/>
                <w:lang w:eastAsia="zh-CN"/>
              </w:rPr>
              <w:t>）</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DJ-67</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包家镇橘海广场充电站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包家镇橘海广场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DJ-68</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鹤游小学校充电站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鹤游镇鹤游小学</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DJ-69</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鹤游规资所充电站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鹤游规资所旁边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DJ-70</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双龙</w:t>
            </w:r>
            <w:r>
              <w:rPr>
                <w:rFonts w:ascii="宋体" w:hAnsi="宋体"/>
                <w:kern w:val="0"/>
              </w:rPr>
              <w:t>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Fonts w:hint="eastAsia" w:ascii="宋体" w:hAnsi="宋体"/>
                <w:kern w:val="0"/>
              </w:rPr>
              <w:t>三</w:t>
            </w:r>
            <w:r>
              <w:rPr>
                <w:rFonts w:ascii="宋体" w:hAnsi="宋体"/>
                <w:kern w:val="0"/>
              </w:rPr>
              <w:t>溪镇</w:t>
            </w:r>
            <w:r>
              <w:rPr>
                <w:rFonts w:hint="eastAsia" w:ascii="宋体" w:hAnsi="宋体"/>
                <w:kern w:val="0"/>
              </w:rPr>
              <w:t>双龙移民安置点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eastAsia="宋体"/>
                <w:kern w:val="0"/>
                <w:lang w:val="en-US" w:eastAsia="zh-CN"/>
              </w:rPr>
            </w:pPr>
            <w:r>
              <w:rPr>
                <w:rFonts w:hint="default" w:ascii="Times New Roman" w:hAnsi="Times New Roman" w:eastAsia="宋体" w:cs="Times New Roman"/>
                <w:i w:val="0"/>
                <w:iCs w:val="0"/>
                <w:color w:val="000000"/>
                <w:kern w:val="0"/>
                <w:sz w:val="24"/>
                <w:szCs w:val="24"/>
                <w:u w:val="none"/>
                <w:lang w:val="en-US" w:eastAsia="zh-CN" w:bidi="ar"/>
              </w:rPr>
              <w:t>DJ-71</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普顺镇政府充电站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普顺镇磨滩村一组停车场（普顺镇政府）</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838"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eastAsia="宋体"/>
                <w:kern w:val="0"/>
                <w:lang w:val="en-US" w:eastAsia="zh-CN"/>
              </w:rPr>
            </w:pPr>
            <w:r>
              <w:rPr>
                <w:rFonts w:hint="default" w:ascii="Times New Roman" w:hAnsi="Times New Roman" w:eastAsia="宋体" w:cs="Times New Roman"/>
                <w:i w:val="0"/>
                <w:iCs w:val="0"/>
                <w:color w:val="000000"/>
                <w:kern w:val="0"/>
                <w:sz w:val="24"/>
                <w:szCs w:val="24"/>
                <w:u w:val="none"/>
                <w:lang w:val="en-US" w:eastAsia="zh-CN" w:bidi="ar"/>
              </w:rPr>
              <w:t>DJ-72</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金华小学充电站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普顺镇金华街</w:t>
            </w:r>
            <w:r>
              <w:rPr>
                <w:rStyle w:val="28"/>
                <w:rFonts w:hint="eastAsia"/>
                <w:color w:val="auto"/>
                <w:lang w:eastAsia="zh-CN"/>
              </w:rPr>
              <w:t>（</w:t>
            </w:r>
            <w:r>
              <w:rPr>
                <w:rStyle w:val="28"/>
                <w:rFonts w:hint="eastAsia"/>
                <w:color w:val="auto"/>
              </w:rPr>
              <w:t>垫江县金华小学校校园内</w:t>
            </w:r>
            <w:r>
              <w:rPr>
                <w:rStyle w:val="28"/>
                <w:rFonts w:hint="eastAsia"/>
                <w:color w:val="auto"/>
                <w:lang w:eastAsia="zh-CN"/>
              </w:rPr>
              <w:t>）</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DJ-73</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永安镇卫生院充电站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永安镇中心街11号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lang w:val="en-US" w:eastAsia="zh-CN"/>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kern w:val="0"/>
              </w:rPr>
            </w:pPr>
            <w:r>
              <w:rPr>
                <w:rFonts w:hint="default" w:ascii="Times New Roman" w:hAnsi="Times New Roman" w:eastAsia="宋体" w:cs="Times New Roman"/>
                <w:i w:val="0"/>
                <w:iCs w:val="0"/>
                <w:color w:val="000000"/>
                <w:kern w:val="0"/>
                <w:sz w:val="24"/>
                <w:szCs w:val="24"/>
                <w:u w:val="none"/>
                <w:lang w:val="en-US" w:eastAsia="zh-CN" w:bidi="ar"/>
              </w:rPr>
              <w:t>DJ-74</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default" w:eastAsia="宋体"/>
                <w:color w:val="auto"/>
                <w:lang w:val="en-US" w:eastAsia="zh-CN"/>
              </w:rPr>
            </w:pPr>
            <w:r>
              <w:rPr>
                <w:rStyle w:val="28"/>
                <w:rFonts w:hint="eastAsia"/>
                <w:color w:val="auto"/>
                <w:lang w:val="en-US" w:eastAsia="zh-CN"/>
              </w:rPr>
              <w:t>永安镇政府充电站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default"/>
                <w:color w:val="auto"/>
                <w:lang w:val="en-US"/>
              </w:rPr>
            </w:pPr>
            <w:r>
              <w:rPr>
                <w:rStyle w:val="28"/>
                <w:rFonts w:hint="eastAsia"/>
                <w:color w:val="auto"/>
                <w:lang w:val="en-US" w:eastAsia="zh-CN"/>
              </w:rPr>
              <w:t>永安镇政府停车场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Times New Roman" w:hAnsi="Times New Roman" w:eastAsia="宋体" w:cs="Times New Roman"/>
                <w:color w:val="auto"/>
                <w:kern w:val="2"/>
                <w:sz w:val="24"/>
                <w:szCs w:val="24"/>
                <w:u w:val="none"/>
                <w:lang w:val="en-US" w:eastAsia="zh-CN" w:bidi="ar-SA"/>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Times New Roman" w:hAnsi="Times New Roman" w:eastAsia="宋体" w:cs="Times New Roman"/>
                <w:color w:val="auto"/>
                <w:kern w:val="2"/>
                <w:sz w:val="24"/>
                <w:szCs w:val="24"/>
                <w:u w:val="none"/>
                <w:lang w:val="en-US" w:eastAsia="zh-CN" w:bidi="ar-SA"/>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default" w:ascii="Times New Roman" w:hAnsi="Times New Roman" w:eastAsia="宋体" w:cs="Times New Roman"/>
                <w:color w:val="auto"/>
                <w:kern w:val="2"/>
                <w:sz w:val="24"/>
                <w:szCs w:val="24"/>
                <w:u w:val="none"/>
                <w:lang w:val="en-US" w:eastAsia="zh-CN" w:bidi="ar-SA"/>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default" w:ascii="Times New Roman" w:hAnsi="Times New Roman" w:eastAsia="宋体" w:cs="Times New Roman"/>
                <w:color w:val="auto"/>
                <w:kern w:val="2"/>
                <w:sz w:val="24"/>
                <w:szCs w:val="24"/>
                <w:u w:val="none"/>
                <w:lang w:val="en-US" w:eastAsia="zh-CN" w:bidi="ar-SA"/>
              </w:rPr>
            </w:pPr>
            <w:r>
              <w:rPr>
                <w:rStyle w:val="28"/>
                <w:rFonts w:hint="eastAsia"/>
                <w:color w:val="auto"/>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Times New Roman" w:hAnsi="Times New Roman" w:eastAsia="宋体" w:cs="Times New Roman"/>
                <w:color w:val="auto"/>
                <w:kern w:val="2"/>
                <w:sz w:val="24"/>
                <w:szCs w:val="24"/>
                <w:u w:val="none"/>
                <w:lang w:val="en-US" w:eastAsia="zh-CN" w:bidi="ar-SA"/>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hint="eastAsia" w:ascii="Times New Roman" w:hAnsi="Times New Roman" w:eastAsia="宋体" w:cs="Times New Roman"/>
                <w:color w:val="auto"/>
                <w:kern w:val="2"/>
                <w:sz w:val="24"/>
                <w:szCs w:val="24"/>
                <w:u w:val="none"/>
                <w:lang w:val="en-US" w:eastAsia="zh-CN" w:bidi="ar-SA"/>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rFonts w:hint="eastAsia"/>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DJ-75</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永平镇政府充电站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永平镇码头街05号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35"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DJ-76</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裴兴政府</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裴兴镇政府便民服务中心停车场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DJ-77</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白家镇政府充电站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白家镇政府</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标准站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w:t>
            </w:r>
            <w:r>
              <w:rPr>
                <w:rFonts w:hint="eastAsia" w:cs="Times New Roman"/>
                <w:i w:val="0"/>
                <w:iCs w:val="0"/>
                <w:color w:val="000000"/>
                <w:kern w:val="0"/>
                <w:sz w:val="24"/>
                <w:szCs w:val="24"/>
                <w:u w:val="none"/>
                <w:lang w:val="en-US" w:eastAsia="zh-CN" w:bidi="ar"/>
              </w:rPr>
              <w:t>78</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白家镇卫生院</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垫江县白家镇新街22号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w:t>
            </w:r>
            <w:r>
              <w:rPr>
                <w:rFonts w:hint="eastAsia" w:cs="Times New Roman"/>
                <w:i w:val="0"/>
                <w:iCs w:val="0"/>
                <w:color w:val="000000"/>
                <w:kern w:val="0"/>
                <w:sz w:val="24"/>
                <w:szCs w:val="24"/>
                <w:u w:val="none"/>
                <w:lang w:val="en-US" w:eastAsia="zh-CN" w:bidi="ar"/>
              </w:rPr>
              <w:t>79</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沙河小学校充电站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沙河小学校停车场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textAlignment w:val="center"/>
              <w:rPr>
                <w:rStyle w:val="28"/>
                <w:color w:val="auto"/>
              </w:rPr>
            </w:pPr>
          </w:p>
        </w:tc>
      </w:tr>
      <w:tr>
        <w:tblPrEx>
          <w:tblCellMar>
            <w:top w:w="0" w:type="dxa"/>
            <w:left w:w="108" w:type="dxa"/>
            <w:bottom w:w="0" w:type="dxa"/>
            <w:right w:w="108" w:type="dxa"/>
          </w:tblCellMar>
        </w:tblPrEx>
        <w:trPr>
          <w:trHeight w:val="424" w:hRule="atLeast"/>
        </w:trPr>
        <w:tc>
          <w:tcPr>
            <w:tcW w:w="131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default"/>
                <w:kern w:val="0"/>
                <w:lang w:val="en-US"/>
              </w:rPr>
            </w:pPr>
            <w:r>
              <w:rPr>
                <w:rFonts w:hint="default" w:ascii="Times New Roman" w:hAnsi="Times New Roman" w:eastAsia="宋体" w:cs="Times New Roman"/>
                <w:i w:val="0"/>
                <w:iCs w:val="0"/>
                <w:color w:val="000000"/>
                <w:kern w:val="0"/>
                <w:sz w:val="24"/>
                <w:szCs w:val="24"/>
                <w:u w:val="none"/>
                <w:lang w:val="en-US" w:eastAsia="zh-CN" w:bidi="ar"/>
              </w:rPr>
              <w:t>DJ-</w:t>
            </w:r>
            <w:r>
              <w:rPr>
                <w:rFonts w:hint="eastAsia" w:cs="Times New Roman"/>
                <w:i w:val="0"/>
                <w:iCs w:val="0"/>
                <w:color w:val="000000"/>
                <w:kern w:val="0"/>
                <w:sz w:val="24"/>
                <w:szCs w:val="24"/>
                <w:u w:val="none"/>
                <w:lang w:val="en-US" w:eastAsia="zh-CN" w:bidi="ar"/>
              </w:rPr>
              <w:t>80</w:t>
            </w:r>
          </w:p>
        </w:tc>
        <w:tc>
          <w:tcPr>
            <w:tcW w:w="2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大石乡政府充电站</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大石乡洋河街317号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配建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充电</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80~600KW</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color w:val="auto"/>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选配</w:t>
            </w:r>
          </w:p>
        </w:tc>
        <w:tc>
          <w:tcPr>
            <w:tcW w:w="237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r>
              <w:rPr>
                <w:rStyle w:val="28"/>
                <w:rFonts w:hint="eastAsia"/>
                <w:color w:val="auto"/>
              </w:rPr>
              <w:t>轻型站</w:t>
            </w:r>
          </w:p>
        </w:tc>
        <w:tc>
          <w:tcPr>
            <w:tcW w:w="301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Style w:val="28"/>
                <w:color w:val="auto"/>
              </w:rPr>
            </w:pPr>
          </w:p>
        </w:tc>
      </w:tr>
      <w:tr>
        <w:tblPrEx>
          <w:tblCellMar>
            <w:top w:w="0" w:type="dxa"/>
            <w:left w:w="108" w:type="dxa"/>
            <w:bottom w:w="0" w:type="dxa"/>
            <w:right w:w="108" w:type="dxa"/>
          </w:tblCellMar>
        </w:tblPrEx>
        <w:trPr>
          <w:trHeight w:val="424" w:hRule="atLeast"/>
        </w:trPr>
        <w:tc>
          <w:tcPr>
            <w:tcW w:w="12327" w:type="dxa"/>
            <w:gridSpan w:val="6"/>
            <w:tcBorders>
              <w:top w:val="single" w:color="000000" w:sz="4" w:space="0"/>
              <w:left w:val="single" w:color="000000" w:sz="8"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rFonts w:ascii="宋体" w:hAnsi="宋体" w:cs="宋体"/>
              </w:rPr>
            </w:pPr>
            <w:r>
              <w:rPr>
                <w:rFonts w:hint="eastAsia" w:ascii="宋体" w:hAnsi="宋体" w:cs="宋体"/>
                <w:kern w:val="0"/>
              </w:rPr>
              <w:t>合计</w:t>
            </w:r>
          </w:p>
        </w:tc>
        <w:tc>
          <w:tcPr>
            <w:tcW w:w="5231"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720" w:firstLineChars="300"/>
              <w:textAlignment w:val="center"/>
            </w:pPr>
            <w:r>
              <w:rPr>
                <w:rFonts w:hint="eastAsia"/>
                <w:kern w:val="0"/>
              </w:rPr>
              <w:t>3</w:t>
            </w:r>
            <w:r>
              <w:rPr>
                <w:rFonts w:hint="eastAsia"/>
                <w:kern w:val="0"/>
                <w:lang w:val="en-US" w:eastAsia="zh-CN"/>
              </w:rPr>
              <w:t>73</w:t>
            </w:r>
            <w:r>
              <w:rPr>
                <w:rFonts w:hint="eastAsia"/>
                <w:kern w:val="0"/>
              </w:rPr>
              <w:t>个</w:t>
            </w:r>
          </w:p>
        </w:tc>
        <w:tc>
          <w:tcPr>
            <w:tcW w:w="30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center"/>
              <w:rPr>
                <w:kern w:val="0"/>
              </w:rPr>
            </w:pPr>
          </w:p>
        </w:tc>
      </w:tr>
      <w:tr>
        <w:tblPrEx>
          <w:tblCellMar>
            <w:top w:w="0" w:type="dxa"/>
            <w:left w:w="108" w:type="dxa"/>
            <w:bottom w:w="0" w:type="dxa"/>
            <w:right w:w="108" w:type="dxa"/>
          </w:tblCellMar>
        </w:tblPrEx>
        <w:trPr>
          <w:trHeight w:val="2458" w:hRule="atLeast"/>
        </w:trPr>
        <w:tc>
          <w:tcPr>
            <w:tcW w:w="17558" w:type="dxa"/>
            <w:gridSpan w:val="9"/>
            <w:tcBorders>
              <w:top w:val="single" w:color="000000" w:sz="8" w:space="0"/>
              <w:left w:val="single" w:color="000000" w:sz="8" w:space="0"/>
              <w:bottom w:val="single" w:color="000000" w:sz="8" w:space="0"/>
              <w:right w:val="single" w:color="000000" w:sz="4" w:space="0"/>
            </w:tcBorders>
            <w:shd w:val="clear" w:color="auto" w:fill="auto"/>
          </w:tcPr>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注：</w:t>
            </w:r>
          </w:p>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1、建设方式：配建——利用现状用地配建、增建充电车位；新建——利用规划未建用地建设充电站。（全部站点已经实地调研确认规划可行性）</w:t>
            </w:r>
          </w:p>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2、建议车位功率：单车位最低功率80KW，最高按照液冷超充标准（360-600KW）配置；</w:t>
            </w:r>
          </w:p>
          <w:p>
            <w:pPr>
              <w:keepNext w:val="0"/>
              <w:keepLines w:val="0"/>
              <w:pageBreakBefore w:val="0"/>
              <w:widowControl/>
              <w:kinsoku/>
              <w:wordWrap/>
              <w:overflowPunct/>
              <w:topLinePunct w:val="0"/>
              <w:autoSpaceDE/>
              <w:autoSpaceDN/>
              <w:bidi w:val="0"/>
              <w:adjustRightInd/>
              <w:snapToGrid/>
              <w:spacing w:line="240" w:lineRule="auto"/>
              <w:ind w:left="2040" w:hanging="2040" w:hangingChars="850"/>
              <w:jc w:val="left"/>
              <w:textAlignment w:val="top"/>
              <w:rPr>
                <w:rFonts w:ascii="宋体" w:hAnsi="宋体" w:cs="宋体"/>
                <w:kern w:val="0"/>
              </w:rPr>
            </w:pPr>
            <w:r>
              <w:rPr>
                <w:rFonts w:hint="eastAsia" w:ascii="宋体" w:hAnsi="宋体" w:cs="宋体"/>
                <w:kern w:val="0"/>
              </w:rPr>
              <w:t>3、站点建议分类：重点站（城市驿站）——城市高热度区域建设的具备光储充换多种技术组合，休闲购物多种功能的综合站点；</w:t>
            </w:r>
            <w:r>
              <w:rPr>
                <w:rFonts w:hint="eastAsia" w:ascii="宋体" w:hAnsi="宋体" w:cs="宋体"/>
                <w:kern w:val="0"/>
                <w:lang w:eastAsia="zh-CN"/>
              </w:rPr>
              <w:t>（</w:t>
            </w:r>
            <w:r>
              <w:rPr>
                <w:rFonts w:hint="eastAsia" w:ascii="宋体" w:hAnsi="宋体" w:cs="宋体"/>
                <w:kern w:val="0"/>
                <w:lang w:val="en-US" w:eastAsia="zh-CN"/>
              </w:rPr>
              <w:t>充电车位20个及以上，且区位位置相对优越，配备超充站）</w:t>
            </w:r>
          </w:p>
          <w:p>
            <w:pPr>
              <w:widowControl/>
              <w:spacing w:line="240" w:lineRule="auto"/>
              <w:ind w:firstLine="0" w:firstLineChars="0"/>
              <w:jc w:val="left"/>
              <w:textAlignment w:val="top"/>
              <w:rPr>
                <w:rFonts w:ascii="宋体" w:hAnsi="宋体" w:cs="宋体"/>
                <w:kern w:val="0"/>
              </w:rPr>
            </w:pPr>
            <w:r>
              <w:rPr>
                <w:rFonts w:hint="eastAsia" w:ascii="宋体" w:hAnsi="宋体" w:cs="宋体"/>
                <w:kern w:val="0"/>
              </w:rPr>
              <w:t xml:space="preserve">                 标准站——城市中心区一般区域的站点，具备充电和简单配套功能</w:t>
            </w:r>
            <w:r>
              <w:rPr>
                <w:rFonts w:hint="eastAsia" w:ascii="宋体" w:hAnsi="宋体" w:cs="宋体"/>
                <w:kern w:val="0"/>
                <w:lang w:eastAsia="zh-CN"/>
              </w:rPr>
              <w:t>（</w:t>
            </w:r>
            <w:r>
              <w:rPr>
                <w:rFonts w:hint="eastAsia" w:ascii="宋体" w:hAnsi="宋体" w:cs="宋体"/>
                <w:kern w:val="0"/>
                <w:lang w:val="en-US" w:eastAsia="zh-CN"/>
              </w:rPr>
              <w:t>可配备超充站）</w:t>
            </w:r>
            <w:r>
              <w:rPr>
                <w:rFonts w:hint="eastAsia" w:ascii="宋体" w:hAnsi="宋体" w:cs="宋体"/>
                <w:kern w:val="0"/>
              </w:rPr>
              <w:t>；</w:t>
            </w:r>
          </w:p>
          <w:p>
            <w:pPr>
              <w:widowControl/>
              <w:spacing w:line="240" w:lineRule="auto"/>
              <w:ind w:left="480" w:leftChars="200" w:firstLine="1560" w:firstLineChars="650"/>
              <w:jc w:val="left"/>
              <w:textAlignment w:val="top"/>
              <w:rPr>
                <w:rFonts w:ascii="宋体" w:hAnsi="宋体" w:cs="宋体"/>
              </w:rPr>
            </w:pPr>
            <w:r>
              <w:rPr>
                <w:rFonts w:hint="eastAsia" w:ascii="宋体" w:hAnsi="宋体" w:cs="宋体"/>
                <w:kern w:val="0"/>
              </w:rPr>
              <w:t>轻型站——城市一般区域和周边乡镇配套建设的仅具备充电功能。</w:t>
            </w:r>
          </w:p>
        </w:tc>
        <w:tc>
          <w:tcPr>
            <w:tcW w:w="3017" w:type="dxa"/>
            <w:tcBorders>
              <w:top w:val="single" w:color="000000" w:sz="8" w:space="0"/>
              <w:left w:val="single" w:color="000000" w:sz="8" w:space="0"/>
              <w:bottom w:val="single" w:color="000000" w:sz="8" w:space="0"/>
              <w:right w:val="single" w:color="000000" w:sz="4" w:space="0"/>
            </w:tcBorders>
            <w:shd w:val="clear" w:color="auto" w:fill="auto"/>
          </w:tcPr>
          <w:p>
            <w:pPr>
              <w:widowControl/>
              <w:spacing w:line="240" w:lineRule="auto"/>
              <w:ind w:left="480" w:hanging="480" w:hangingChars="200"/>
              <w:jc w:val="left"/>
              <w:textAlignment w:val="top"/>
              <w:rPr>
                <w:rFonts w:ascii="宋体" w:hAnsi="宋体" w:cs="宋体"/>
                <w:kern w:val="0"/>
              </w:rPr>
            </w:pPr>
          </w:p>
        </w:tc>
      </w:tr>
    </w:tbl>
    <w:p>
      <w:pPr>
        <w:pStyle w:val="3"/>
        <w:spacing w:before="120" w:after="120" w:line="415" w:lineRule="auto"/>
        <w:ind w:firstLine="0" w:firstLineChars="0"/>
        <w:jc w:val="left"/>
        <w:rPr>
          <w:rFonts w:ascii="Times New Roman" w:hAnsi="Times New Roman" w:cs="Times New Roman"/>
          <w:sz w:val="36"/>
        </w:rPr>
      </w:pPr>
      <w:bookmarkStart w:id="13" w:name="_Toc157635371"/>
    </w:p>
    <w:p>
      <w:pPr>
        <w:rPr>
          <w:rFonts w:ascii="Times New Roman" w:hAnsi="Times New Roman" w:cs="Times New Roman"/>
          <w:sz w:val="36"/>
        </w:rPr>
      </w:pPr>
      <w:r>
        <w:rPr>
          <w:rFonts w:ascii="Times New Roman" w:hAnsi="Times New Roman" w:cs="Times New Roman"/>
          <w:sz w:val="36"/>
        </w:rPr>
        <w:br w:type="page"/>
      </w:r>
    </w:p>
    <w:p>
      <w:pPr>
        <w:pStyle w:val="3"/>
        <w:spacing w:before="120" w:after="120" w:line="415" w:lineRule="auto"/>
        <w:ind w:firstLine="0" w:firstLineChars="0"/>
        <w:jc w:val="left"/>
        <w:rPr>
          <w:rFonts w:ascii="Times New Roman" w:hAnsi="Times New Roman" w:cs="Times New Roman"/>
        </w:rPr>
      </w:pPr>
      <w:r>
        <w:rPr>
          <w:rFonts w:ascii="Times New Roman" w:hAnsi="Times New Roman" w:cs="Times New Roman"/>
          <w:sz w:val="36"/>
        </w:rPr>
        <w:t xml:space="preserve">附表3 </w:t>
      </w:r>
      <w:r>
        <w:rPr>
          <w:rFonts w:hint="eastAsia" w:ascii="Times New Roman" w:hAnsi="Times New Roman" w:cs="Times New Roman"/>
          <w:sz w:val="36"/>
        </w:rPr>
        <w:t>规划专用</w:t>
      </w:r>
      <w:r>
        <w:rPr>
          <w:rFonts w:ascii="Times New Roman" w:hAnsi="Times New Roman" w:cs="Times New Roman"/>
          <w:sz w:val="36"/>
        </w:rPr>
        <w:t>充</w:t>
      </w:r>
      <w:r>
        <w:rPr>
          <w:rFonts w:hint="eastAsia" w:ascii="Times New Roman" w:hAnsi="Times New Roman" w:cs="Times New Roman"/>
          <w:sz w:val="36"/>
        </w:rPr>
        <w:t>换</w:t>
      </w:r>
      <w:r>
        <w:rPr>
          <w:rFonts w:ascii="Times New Roman" w:hAnsi="Times New Roman" w:cs="Times New Roman"/>
          <w:sz w:val="36"/>
        </w:rPr>
        <w:t>电站一览表</w:t>
      </w:r>
      <w:bookmarkEnd w:id="13"/>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3054"/>
        <w:gridCol w:w="3934"/>
        <w:gridCol w:w="2956"/>
        <w:gridCol w:w="1992"/>
        <w:gridCol w:w="2479"/>
        <w:gridCol w:w="1631"/>
        <w:gridCol w:w="1678"/>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334" w:type="dxa"/>
            <w:vAlign w:val="center"/>
          </w:tcPr>
          <w:p>
            <w:pPr>
              <w:pStyle w:val="18"/>
              <w:ind w:firstLine="0" w:firstLineChars="0"/>
              <w:jc w:val="center"/>
              <w:rPr>
                <w:color w:val="auto"/>
              </w:rPr>
            </w:pPr>
            <w:r>
              <w:rPr>
                <w:rFonts w:hint="eastAsia"/>
                <w:color w:val="auto"/>
              </w:rPr>
              <w:t>编号</w:t>
            </w:r>
          </w:p>
        </w:tc>
        <w:tc>
          <w:tcPr>
            <w:tcW w:w="3054" w:type="dxa"/>
            <w:vAlign w:val="center"/>
          </w:tcPr>
          <w:p>
            <w:pPr>
              <w:pStyle w:val="18"/>
              <w:ind w:firstLine="0" w:firstLineChars="0"/>
              <w:jc w:val="center"/>
              <w:rPr>
                <w:rFonts w:hint="eastAsia" w:eastAsia="宋体"/>
                <w:color w:val="auto"/>
                <w:lang w:val="en-US" w:eastAsia="zh-CN"/>
              </w:rPr>
            </w:pPr>
            <w:r>
              <w:rPr>
                <w:rFonts w:hint="eastAsia"/>
                <w:color w:val="auto"/>
                <w:lang w:val="en-US" w:eastAsia="zh-CN"/>
              </w:rPr>
              <w:t>名称</w:t>
            </w:r>
          </w:p>
        </w:tc>
        <w:tc>
          <w:tcPr>
            <w:tcW w:w="3934" w:type="dxa"/>
            <w:vAlign w:val="center"/>
          </w:tcPr>
          <w:p>
            <w:pPr>
              <w:pStyle w:val="18"/>
              <w:ind w:firstLine="0" w:firstLineChars="0"/>
              <w:jc w:val="center"/>
              <w:rPr>
                <w:rFonts w:hint="default" w:eastAsia="宋体"/>
                <w:color w:val="auto"/>
                <w:lang w:val="en-US" w:eastAsia="zh-CN"/>
              </w:rPr>
            </w:pPr>
            <w:r>
              <w:rPr>
                <w:rFonts w:hint="eastAsia"/>
                <w:color w:val="auto"/>
              </w:rPr>
              <w:t>位置</w:t>
            </w:r>
            <w:r>
              <w:rPr>
                <w:rFonts w:hint="eastAsia"/>
                <w:color w:val="auto"/>
                <w:lang w:eastAsia="zh-CN"/>
              </w:rPr>
              <w:t>（</w:t>
            </w:r>
            <w:r>
              <w:rPr>
                <w:rFonts w:hint="eastAsia"/>
                <w:color w:val="auto"/>
                <w:lang w:val="en-US" w:eastAsia="zh-CN"/>
              </w:rPr>
              <w:t>具体位置）</w:t>
            </w:r>
          </w:p>
        </w:tc>
        <w:tc>
          <w:tcPr>
            <w:tcW w:w="2956" w:type="dxa"/>
            <w:vAlign w:val="center"/>
          </w:tcPr>
          <w:p>
            <w:pPr>
              <w:pStyle w:val="18"/>
              <w:ind w:firstLine="0" w:firstLineChars="0"/>
              <w:jc w:val="center"/>
              <w:rPr>
                <w:color w:val="auto"/>
              </w:rPr>
            </w:pPr>
            <w:r>
              <w:rPr>
                <w:rFonts w:hint="eastAsia"/>
                <w:color w:val="auto"/>
              </w:rPr>
              <w:t>类型</w:t>
            </w:r>
          </w:p>
        </w:tc>
        <w:tc>
          <w:tcPr>
            <w:tcW w:w="1992" w:type="dxa"/>
            <w:vAlign w:val="center"/>
          </w:tcPr>
          <w:p>
            <w:pPr>
              <w:pStyle w:val="18"/>
              <w:ind w:firstLine="0" w:firstLineChars="0"/>
              <w:jc w:val="center"/>
              <w:rPr>
                <w:rFonts w:hint="default" w:eastAsia="宋体"/>
                <w:color w:val="auto"/>
                <w:lang w:val="en-US" w:eastAsia="zh-CN"/>
              </w:rPr>
            </w:pPr>
            <w:r>
              <w:rPr>
                <w:rFonts w:hint="eastAsia"/>
                <w:color w:val="auto"/>
                <w:lang w:val="en-US" w:eastAsia="zh-CN"/>
              </w:rPr>
              <w:t>建设方式</w:t>
            </w:r>
          </w:p>
        </w:tc>
        <w:tc>
          <w:tcPr>
            <w:tcW w:w="2479" w:type="dxa"/>
            <w:vAlign w:val="center"/>
          </w:tcPr>
          <w:p>
            <w:pPr>
              <w:pStyle w:val="18"/>
              <w:ind w:firstLine="0" w:firstLineChars="0"/>
              <w:jc w:val="center"/>
              <w:rPr>
                <w:color w:val="auto"/>
              </w:rPr>
            </w:pPr>
            <w:r>
              <w:rPr>
                <w:rFonts w:hint="eastAsia"/>
                <w:color w:val="auto"/>
              </w:rPr>
              <w:t>地块</w:t>
            </w:r>
            <w:r>
              <w:rPr>
                <w:color w:val="auto"/>
              </w:rPr>
              <w:t>编号</w:t>
            </w:r>
          </w:p>
        </w:tc>
        <w:tc>
          <w:tcPr>
            <w:tcW w:w="1631" w:type="dxa"/>
            <w:vAlign w:val="center"/>
          </w:tcPr>
          <w:p>
            <w:pPr>
              <w:pStyle w:val="18"/>
              <w:ind w:firstLine="0" w:firstLineChars="0"/>
              <w:jc w:val="center"/>
              <w:rPr>
                <w:color w:val="auto"/>
              </w:rPr>
            </w:pPr>
            <w:r>
              <w:rPr>
                <w:rFonts w:hint="eastAsia"/>
                <w:color w:val="auto"/>
              </w:rPr>
              <w:t>用地</w:t>
            </w:r>
            <w:r>
              <w:rPr>
                <w:color w:val="auto"/>
              </w:rPr>
              <w:t>性质</w:t>
            </w:r>
          </w:p>
        </w:tc>
        <w:tc>
          <w:tcPr>
            <w:tcW w:w="1678" w:type="dxa"/>
            <w:vAlign w:val="center"/>
          </w:tcPr>
          <w:p>
            <w:pPr>
              <w:pStyle w:val="18"/>
              <w:ind w:firstLine="0" w:firstLineChars="0"/>
              <w:jc w:val="center"/>
              <w:rPr>
                <w:color w:val="auto"/>
              </w:rPr>
            </w:pPr>
            <w:r>
              <w:rPr>
                <w:rFonts w:hint="eastAsia"/>
                <w:color w:val="auto"/>
              </w:rPr>
              <w:t>地块</w:t>
            </w:r>
            <w:r>
              <w:rPr>
                <w:color w:val="auto"/>
              </w:rPr>
              <w:t>面积</w:t>
            </w:r>
            <w:r>
              <w:rPr>
                <w:rFonts w:hint="eastAsia"/>
                <w:color w:val="auto"/>
              </w:rPr>
              <w:t>（公顷）</w:t>
            </w:r>
          </w:p>
        </w:tc>
        <w:tc>
          <w:tcPr>
            <w:tcW w:w="1757" w:type="dxa"/>
            <w:vAlign w:val="center"/>
          </w:tcPr>
          <w:p>
            <w:pPr>
              <w:pStyle w:val="18"/>
              <w:ind w:firstLine="0" w:firstLineChars="0"/>
              <w:jc w:val="center"/>
              <w:rPr>
                <w:color w:val="auto"/>
              </w:rPr>
            </w:pPr>
            <w:r>
              <w:rPr>
                <w:rFonts w:hint="eastAsia"/>
                <w:color w:val="auto"/>
              </w:rPr>
              <w:t>建议充电车位（≥个）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34" w:type="dxa"/>
            <w:vAlign w:val="center"/>
          </w:tcPr>
          <w:p>
            <w:pPr>
              <w:pStyle w:val="18"/>
              <w:ind w:firstLine="0" w:firstLineChars="0"/>
              <w:jc w:val="center"/>
              <w:rPr>
                <w:color w:val="auto"/>
              </w:rPr>
            </w:pPr>
            <w:r>
              <w:rPr>
                <w:rFonts w:hint="eastAsia"/>
                <w:color w:val="auto"/>
              </w:rPr>
              <w:t>ZY</w:t>
            </w:r>
            <w:r>
              <w:rPr>
                <w:color w:val="auto"/>
              </w:rPr>
              <w:t>-01</w:t>
            </w:r>
          </w:p>
        </w:tc>
        <w:tc>
          <w:tcPr>
            <w:tcW w:w="3054" w:type="dxa"/>
            <w:vAlign w:val="center"/>
          </w:tcPr>
          <w:p>
            <w:pPr>
              <w:pStyle w:val="18"/>
              <w:ind w:firstLine="0" w:firstLineChars="0"/>
              <w:jc w:val="center"/>
              <w:rPr>
                <w:rFonts w:hint="default" w:ascii="Times New Roman" w:hAnsi="Times New Roman" w:eastAsia="宋体" w:cs="Times New Roman"/>
                <w:color w:val="auto"/>
                <w:kern w:val="2"/>
                <w:sz w:val="24"/>
                <w:szCs w:val="28"/>
                <w:lang w:val="en-US" w:eastAsia="zh-CN" w:bidi="ar-SA"/>
              </w:rPr>
            </w:pPr>
            <w:r>
              <w:rPr>
                <w:rFonts w:hint="eastAsia"/>
                <w:color w:val="auto"/>
              </w:rPr>
              <w:t>垫江</w:t>
            </w:r>
            <w:r>
              <w:rPr>
                <w:color w:val="auto"/>
              </w:rPr>
              <w:t>高铁站</w:t>
            </w:r>
            <w:r>
              <w:rPr>
                <w:rFonts w:hint="eastAsia"/>
                <w:color w:val="auto"/>
                <w:lang w:val="en-US" w:eastAsia="zh-CN"/>
              </w:rPr>
              <w:t>专用充电站</w:t>
            </w:r>
          </w:p>
        </w:tc>
        <w:tc>
          <w:tcPr>
            <w:tcW w:w="3934" w:type="dxa"/>
            <w:vAlign w:val="center"/>
          </w:tcPr>
          <w:p>
            <w:pPr>
              <w:pStyle w:val="18"/>
              <w:ind w:firstLine="0" w:firstLineChars="0"/>
              <w:jc w:val="center"/>
              <w:rPr>
                <w:rFonts w:hint="eastAsia" w:eastAsia="宋体"/>
                <w:color w:val="auto"/>
                <w:highlight w:val="none"/>
                <w:lang w:val="en-US" w:eastAsia="zh-CN"/>
              </w:rPr>
            </w:pPr>
            <w:r>
              <w:rPr>
                <w:rFonts w:hint="eastAsia"/>
                <w:color w:val="auto"/>
                <w:highlight w:val="none"/>
              </w:rPr>
              <w:t>垫江</w:t>
            </w:r>
            <w:r>
              <w:rPr>
                <w:color w:val="auto"/>
                <w:highlight w:val="none"/>
              </w:rPr>
              <w:t>高铁站</w:t>
            </w:r>
            <w:r>
              <w:rPr>
                <w:rFonts w:hint="eastAsia"/>
                <w:color w:val="auto"/>
                <w:highlight w:val="none"/>
                <w:lang w:val="en-US" w:eastAsia="zh-CN"/>
              </w:rPr>
              <w:t>公交车停车场</w:t>
            </w:r>
          </w:p>
        </w:tc>
        <w:tc>
          <w:tcPr>
            <w:tcW w:w="2956" w:type="dxa"/>
            <w:vAlign w:val="center"/>
          </w:tcPr>
          <w:p>
            <w:pPr>
              <w:pStyle w:val="18"/>
              <w:ind w:firstLine="0" w:firstLineChars="0"/>
              <w:jc w:val="center"/>
              <w:rPr>
                <w:color w:val="auto"/>
                <w:highlight w:val="none"/>
              </w:rPr>
            </w:pPr>
            <w:r>
              <w:rPr>
                <w:rFonts w:hint="eastAsia"/>
                <w:color w:val="auto"/>
                <w:highlight w:val="none"/>
              </w:rPr>
              <w:t>公交车专用</w:t>
            </w:r>
            <w:r>
              <w:rPr>
                <w:color w:val="auto"/>
                <w:highlight w:val="none"/>
              </w:rPr>
              <w:t>充电站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N04-06/03</w:t>
            </w:r>
          </w:p>
        </w:tc>
        <w:tc>
          <w:tcPr>
            <w:tcW w:w="1631" w:type="dxa"/>
            <w:vAlign w:val="center"/>
          </w:tcPr>
          <w:p>
            <w:pPr>
              <w:pStyle w:val="18"/>
              <w:ind w:firstLine="0" w:firstLineChars="0"/>
              <w:jc w:val="center"/>
              <w:rPr>
                <w:color w:val="auto"/>
              </w:rPr>
            </w:pPr>
            <w:r>
              <w:rPr>
                <w:rFonts w:hint="eastAsia"/>
                <w:color w:val="auto"/>
              </w:rPr>
              <w:t>S41</w:t>
            </w:r>
          </w:p>
        </w:tc>
        <w:tc>
          <w:tcPr>
            <w:tcW w:w="1678" w:type="dxa"/>
            <w:vAlign w:val="center"/>
          </w:tcPr>
          <w:p>
            <w:pPr>
              <w:pStyle w:val="18"/>
              <w:ind w:firstLine="0" w:firstLineChars="0"/>
              <w:jc w:val="center"/>
              <w:rPr>
                <w:color w:val="auto"/>
              </w:rPr>
            </w:pPr>
            <w:r>
              <w:rPr>
                <w:rFonts w:hint="eastAsia"/>
                <w:color w:val="auto"/>
              </w:rPr>
              <w:t>6.66</w:t>
            </w:r>
          </w:p>
        </w:tc>
        <w:tc>
          <w:tcPr>
            <w:tcW w:w="1757" w:type="dxa"/>
            <w:vAlign w:val="center"/>
          </w:tcPr>
          <w:p>
            <w:pPr>
              <w:pStyle w:val="18"/>
              <w:ind w:firstLine="0" w:firstLineChars="0"/>
              <w:jc w:val="center"/>
              <w:rPr>
                <w:color w:val="auto"/>
              </w:rPr>
            </w:pPr>
            <w:r>
              <w:rPr>
                <w:rFonts w:hint="eastAsia"/>
                <w:color w:val="auto"/>
              </w:rPr>
              <w:t>2</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334" w:type="dxa"/>
            <w:vAlign w:val="center"/>
          </w:tcPr>
          <w:p>
            <w:pPr>
              <w:pStyle w:val="18"/>
              <w:ind w:firstLine="0" w:firstLineChars="0"/>
              <w:jc w:val="center"/>
              <w:rPr>
                <w:color w:val="auto"/>
              </w:rPr>
            </w:pPr>
            <w:r>
              <w:rPr>
                <w:rFonts w:hint="eastAsia"/>
                <w:color w:val="auto"/>
              </w:rPr>
              <w:t>ZY</w:t>
            </w:r>
            <w:r>
              <w:rPr>
                <w:color w:val="auto"/>
              </w:rPr>
              <w:t>-02</w:t>
            </w:r>
          </w:p>
        </w:tc>
        <w:tc>
          <w:tcPr>
            <w:tcW w:w="3054" w:type="dxa"/>
            <w:vAlign w:val="center"/>
          </w:tcPr>
          <w:p>
            <w:pPr>
              <w:pStyle w:val="18"/>
              <w:ind w:firstLine="0" w:firstLineChars="0"/>
              <w:jc w:val="center"/>
              <w:rPr>
                <w:rFonts w:hint="eastAsia" w:ascii="Times New Roman" w:hAnsi="Times New Roman" w:eastAsia="宋体" w:cs="Times New Roman"/>
                <w:color w:val="auto"/>
                <w:kern w:val="2"/>
                <w:sz w:val="24"/>
                <w:szCs w:val="28"/>
                <w:lang w:val="en-US" w:eastAsia="zh-CN" w:bidi="ar-SA"/>
              </w:rPr>
            </w:pPr>
            <w:r>
              <w:rPr>
                <w:rFonts w:hint="eastAsia"/>
                <w:color w:val="auto"/>
              </w:rPr>
              <w:t>明月</w:t>
            </w:r>
            <w:r>
              <w:rPr>
                <w:color w:val="auto"/>
              </w:rPr>
              <w:t>大道南段</w:t>
            </w:r>
            <w:r>
              <w:rPr>
                <w:rFonts w:hint="eastAsia"/>
                <w:color w:val="auto"/>
              </w:rPr>
              <w:t>公共汽车</w:t>
            </w:r>
            <w:r>
              <w:rPr>
                <w:rFonts w:hint="eastAsia"/>
                <w:color w:val="auto"/>
                <w:lang w:val="en-US" w:eastAsia="zh-CN"/>
              </w:rPr>
              <w:t>专用充电站</w:t>
            </w:r>
          </w:p>
        </w:tc>
        <w:tc>
          <w:tcPr>
            <w:tcW w:w="3934" w:type="dxa"/>
            <w:vAlign w:val="center"/>
          </w:tcPr>
          <w:p>
            <w:pPr>
              <w:pStyle w:val="18"/>
              <w:ind w:firstLine="0" w:firstLineChars="0"/>
              <w:jc w:val="center"/>
              <w:rPr>
                <w:color w:val="auto"/>
                <w:highlight w:val="none"/>
              </w:rPr>
            </w:pPr>
            <w:r>
              <w:rPr>
                <w:rFonts w:hint="eastAsia"/>
                <w:color w:val="auto"/>
                <w:highlight w:val="none"/>
              </w:rPr>
              <w:t>明月</w:t>
            </w:r>
            <w:r>
              <w:rPr>
                <w:color w:val="auto"/>
                <w:highlight w:val="none"/>
              </w:rPr>
              <w:t>大道南段</w:t>
            </w:r>
            <w:r>
              <w:rPr>
                <w:rFonts w:hint="eastAsia"/>
                <w:color w:val="auto"/>
                <w:highlight w:val="none"/>
              </w:rPr>
              <w:t>规划公共汽车首末站</w:t>
            </w:r>
          </w:p>
        </w:tc>
        <w:tc>
          <w:tcPr>
            <w:tcW w:w="2956" w:type="dxa"/>
            <w:vAlign w:val="center"/>
          </w:tcPr>
          <w:p>
            <w:pPr>
              <w:pStyle w:val="18"/>
              <w:ind w:firstLine="0" w:firstLineChars="0"/>
              <w:jc w:val="center"/>
              <w:rPr>
                <w:color w:val="auto"/>
                <w:highlight w:val="none"/>
              </w:rPr>
            </w:pPr>
            <w:r>
              <w:rPr>
                <w:rFonts w:hint="eastAsia"/>
                <w:color w:val="auto"/>
                <w:highlight w:val="none"/>
              </w:rPr>
              <w:t>公交车</w:t>
            </w:r>
            <w:r>
              <w:rPr>
                <w:color w:val="auto"/>
                <w:highlight w:val="none"/>
              </w:rPr>
              <w:t>专用充电站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K01-16/02</w:t>
            </w:r>
          </w:p>
        </w:tc>
        <w:tc>
          <w:tcPr>
            <w:tcW w:w="1631" w:type="dxa"/>
            <w:vAlign w:val="center"/>
          </w:tcPr>
          <w:p>
            <w:pPr>
              <w:pStyle w:val="18"/>
              <w:ind w:firstLine="0" w:firstLineChars="0"/>
              <w:jc w:val="center"/>
              <w:rPr>
                <w:color w:val="auto"/>
              </w:rPr>
            </w:pPr>
            <w:r>
              <w:rPr>
                <w:rFonts w:hint="eastAsia"/>
                <w:color w:val="auto"/>
              </w:rPr>
              <w:t>S41</w:t>
            </w:r>
          </w:p>
        </w:tc>
        <w:tc>
          <w:tcPr>
            <w:tcW w:w="1678" w:type="dxa"/>
            <w:vAlign w:val="center"/>
          </w:tcPr>
          <w:p>
            <w:pPr>
              <w:pStyle w:val="18"/>
              <w:ind w:firstLine="0" w:firstLineChars="0"/>
              <w:jc w:val="center"/>
              <w:rPr>
                <w:color w:val="auto"/>
              </w:rPr>
            </w:pPr>
            <w:r>
              <w:rPr>
                <w:rFonts w:hint="eastAsia"/>
                <w:color w:val="auto"/>
              </w:rPr>
              <w:t>0.33</w:t>
            </w:r>
          </w:p>
        </w:tc>
        <w:tc>
          <w:tcPr>
            <w:tcW w:w="1757" w:type="dxa"/>
            <w:vAlign w:val="center"/>
          </w:tcPr>
          <w:p>
            <w:pPr>
              <w:pStyle w:val="18"/>
              <w:ind w:firstLine="0" w:firstLineChars="0"/>
              <w:jc w:val="center"/>
              <w:rPr>
                <w:color w:val="auto"/>
              </w:rPr>
            </w:pPr>
            <w:r>
              <w:rPr>
                <w:rFonts w:hint="eastAsia"/>
                <w:color w:val="auto"/>
              </w:rPr>
              <w:t>2</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34" w:type="dxa"/>
            <w:vAlign w:val="center"/>
          </w:tcPr>
          <w:p>
            <w:pPr>
              <w:pStyle w:val="18"/>
              <w:ind w:firstLine="0" w:firstLineChars="0"/>
              <w:jc w:val="center"/>
              <w:rPr>
                <w:color w:val="auto"/>
              </w:rPr>
            </w:pPr>
            <w:r>
              <w:rPr>
                <w:rFonts w:hint="eastAsia"/>
                <w:color w:val="auto"/>
              </w:rPr>
              <w:t>ZY</w:t>
            </w:r>
            <w:r>
              <w:rPr>
                <w:color w:val="auto"/>
              </w:rPr>
              <w:t>-03</w:t>
            </w:r>
          </w:p>
        </w:tc>
        <w:tc>
          <w:tcPr>
            <w:tcW w:w="3054" w:type="dxa"/>
            <w:vAlign w:val="center"/>
          </w:tcPr>
          <w:p>
            <w:pPr>
              <w:pStyle w:val="18"/>
              <w:ind w:firstLine="0" w:firstLineChars="0"/>
              <w:jc w:val="center"/>
              <w:rPr>
                <w:rFonts w:hint="eastAsia" w:ascii="Times New Roman" w:hAnsi="Times New Roman" w:eastAsia="宋体" w:cs="Times New Roman"/>
                <w:color w:val="auto"/>
                <w:kern w:val="2"/>
                <w:sz w:val="24"/>
                <w:szCs w:val="28"/>
                <w:lang w:val="en-US" w:eastAsia="zh-CN" w:bidi="ar-SA"/>
              </w:rPr>
            </w:pPr>
            <w:r>
              <w:rPr>
                <w:rFonts w:hint="eastAsia"/>
                <w:color w:val="auto"/>
              </w:rPr>
              <w:t>规划公交综合保养场</w:t>
            </w:r>
            <w:r>
              <w:rPr>
                <w:rFonts w:hint="eastAsia"/>
                <w:color w:val="auto"/>
                <w:lang w:val="en-US" w:eastAsia="zh-CN"/>
              </w:rPr>
              <w:t>充电站</w:t>
            </w:r>
          </w:p>
        </w:tc>
        <w:tc>
          <w:tcPr>
            <w:tcW w:w="3934" w:type="dxa"/>
            <w:vAlign w:val="center"/>
          </w:tcPr>
          <w:p>
            <w:pPr>
              <w:pStyle w:val="18"/>
              <w:ind w:firstLine="0" w:firstLineChars="0"/>
              <w:jc w:val="center"/>
              <w:rPr>
                <w:color w:val="auto"/>
                <w:highlight w:val="none"/>
              </w:rPr>
            </w:pPr>
            <w:r>
              <w:rPr>
                <w:rFonts w:hint="eastAsia"/>
                <w:color w:val="auto"/>
                <w:highlight w:val="none"/>
                <w:lang w:val="en-US" w:eastAsia="zh-CN"/>
              </w:rPr>
              <w:t>工农南路与西湖东路交叉口西南侧</w:t>
            </w:r>
          </w:p>
        </w:tc>
        <w:tc>
          <w:tcPr>
            <w:tcW w:w="2956" w:type="dxa"/>
            <w:vAlign w:val="center"/>
          </w:tcPr>
          <w:p>
            <w:pPr>
              <w:pStyle w:val="18"/>
              <w:ind w:firstLine="0" w:firstLineChars="0"/>
              <w:jc w:val="center"/>
              <w:rPr>
                <w:color w:val="auto"/>
                <w:highlight w:val="none"/>
              </w:rPr>
            </w:pPr>
            <w:r>
              <w:rPr>
                <w:rFonts w:hint="eastAsia"/>
                <w:color w:val="auto"/>
                <w:highlight w:val="none"/>
              </w:rPr>
              <w:t>公交车</w:t>
            </w:r>
            <w:r>
              <w:rPr>
                <w:color w:val="auto"/>
                <w:highlight w:val="none"/>
              </w:rPr>
              <w:t>专用充电站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K03-38/03</w:t>
            </w:r>
          </w:p>
        </w:tc>
        <w:tc>
          <w:tcPr>
            <w:tcW w:w="1631" w:type="dxa"/>
            <w:vAlign w:val="center"/>
          </w:tcPr>
          <w:p>
            <w:pPr>
              <w:pStyle w:val="18"/>
              <w:ind w:firstLine="0" w:firstLineChars="0"/>
              <w:jc w:val="center"/>
              <w:rPr>
                <w:color w:val="auto"/>
              </w:rPr>
            </w:pPr>
            <w:r>
              <w:rPr>
                <w:rFonts w:hint="eastAsia"/>
                <w:color w:val="auto"/>
              </w:rPr>
              <w:t>S41</w:t>
            </w:r>
          </w:p>
        </w:tc>
        <w:tc>
          <w:tcPr>
            <w:tcW w:w="1678" w:type="dxa"/>
            <w:vAlign w:val="center"/>
          </w:tcPr>
          <w:p>
            <w:pPr>
              <w:pStyle w:val="18"/>
              <w:ind w:firstLine="0" w:firstLineChars="0"/>
              <w:jc w:val="center"/>
              <w:rPr>
                <w:color w:val="auto"/>
              </w:rPr>
            </w:pPr>
            <w:r>
              <w:rPr>
                <w:rFonts w:hint="eastAsia"/>
                <w:color w:val="auto"/>
              </w:rPr>
              <w:t>2.40</w:t>
            </w:r>
          </w:p>
        </w:tc>
        <w:tc>
          <w:tcPr>
            <w:tcW w:w="1757" w:type="dxa"/>
            <w:vAlign w:val="center"/>
          </w:tcPr>
          <w:p>
            <w:pPr>
              <w:pStyle w:val="18"/>
              <w:ind w:firstLine="0" w:firstLineChars="0"/>
              <w:jc w:val="center"/>
              <w:rPr>
                <w:color w:val="auto"/>
              </w:rPr>
            </w:pPr>
            <w:r>
              <w:rPr>
                <w:rFonts w:hint="eastAsia"/>
                <w:color w:val="auto"/>
              </w:rPr>
              <w:t>2</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34" w:type="dxa"/>
            <w:vAlign w:val="center"/>
          </w:tcPr>
          <w:p>
            <w:pPr>
              <w:pStyle w:val="18"/>
              <w:ind w:firstLine="0" w:firstLineChars="0"/>
              <w:jc w:val="center"/>
              <w:rPr>
                <w:color w:val="auto"/>
              </w:rPr>
            </w:pPr>
            <w:r>
              <w:rPr>
                <w:rFonts w:hint="eastAsia"/>
                <w:color w:val="auto"/>
              </w:rPr>
              <w:t>ZY</w:t>
            </w:r>
            <w:r>
              <w:rPr>
                <w:color w:val="auto"/>
              </w:rPr>
              <w:t>-04</w:t>
            </w:r>
          </w:p>
        </w:tc>
        <w:tc>
          <w:tcPr>
            <w:tcW w:w="3054" w:type="dxa"/>
            <w:vAlign w:val="center"/>
          </w:tcPr>
          <w:p>
            <w:pPr>
              <w:pStyle w:val="18"/>
              <w:ind w:firstLine="0" w:firstLineChars="0"/>
              <w:jc w:val="center"/>
              <w:rPr>
                <w:rFonts w:hint="default" w:ascii="Times New Roman" w:hAnsi="Times New Roman" w:eastAsia="宋体" w:cs="Times New Roman"/>
                <w:color w:val="auto"/>
                <w:kern w:val="2"/>
                <w:sz w:val="24"/>
                <w:szCs w:val="28"/>
                <w:lang w:val="en-US" w:eastAsia="zh-CN" w:bidi="ar-SA"/>
              </w:rPr>
            </w:pPr>
            <w:r>
              <w:rPr>
                <w:rFonts w:hint="eastAsia"/>
                <w:color w:val="auto"/>
              </w:rPr>
              <w:t>汽车客运中心</w:t>
            </w:r>
            <w:r>
              <w:rPr>
                <w:rFonts w:hint="eastAsia"/>
                <w:color w:val="auto"/>
                <w:lang w:val="en-US" w:eastAsia="zh-CN"/>
              </w:rPr>
              <w:t>客车充电站</w:t>
            </w:r>
          </w:p>
        </w:tc>
        <w:tc>
          <w:tcPr>
            <w:tcW w:w="3934" w:type="dxa"/>
            <w:vAlign w:val="center"/>
          </w:tcPr>
          <w:p>
            <w:pPr>
              <w:pStyle w:val="18"/>
              <w:ind w:firstLine="0" w:firstLineChars="0"/>
              <w:jc w:val="center"/>
              <w:rPr>
                <w:rFonts w:hint="default"/>
                <w:color w:val="auto"/>
                <w:highlight w:val="none"/>
              </w:rPr>
            </w:pPr>
            <w:r>
              <w:rPr>
                <w:rFonts w:hint="eastAsia"/>
                <w:color w:val="auto"/>
                <w:highlight w:val="none"/>
                <w:lang w:val="en-US" w:eastAsia="zh-CN"/>
              </w:rPr>
              <w:t>牡丹大道南侧（红星天铂对面）</w:t>
            </w:r>
          </w:p>
        </w:tc>
        <w:tc>
          <w:tcPr>
            <w:tcW w:w="2956" w:type="dxa"/>
            <w:vAlign w:val="center"/>
          </w:tcPr>
          <w:p>
            <w:pPr>
              <w:pStyle w:val="18"/>
              <w:ind w:firstLine="0" w:firstLineChars="0"/>
              <w:jc w:val="center"/>
              <w:rPr>
                <w:color w:val="auto"/>
                <w:highlight w:val="none"/>
              </w:rPr>
            </w:pPr>
            <w:r>
              <w:rPr>
                <w:rFonts w:hint="eastAsia"/>
                <w:color w:val="auto"/>
                <w:highlight w:val="none"/>
              </w:rPr>
              <w:t>客运车</w:t>
            </w:r>
            <w:r>
              <w:rPr>
                <w:color w:val="auto"/>
                <w:highlight w:val="none"/>
              </w:rPr>
              <w:t>专用充电站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M03-04/02</w:t>
            </w:r>
          </w:p>
        </w:tc>
        <w:tc>
          <w:tcPr>
            <w:tcW w:w="1631" w:type="dxa"/>
            <w:vAlign w:val="center"/>
          </w:tcPr>
          <w:p>
            <w:pPr>
              <w:pStyle w:val="18"/>
              <w:ind w:firstLine="0" w:firstLineChars="0"/>
              <w:jc w:val="center"/>
              <w:rPr>
                <w:color w:val="auto"/>
              </w:rPr>
            </w:pPr>
            <w:r>
              <w:rPr>
                <w:rFonts w:hint="eastAsia"/>
                <w:color w:val="auto"/>
              </w:rPr>
              <w:t>S3</w:t>
            </w:r>
          </w:p>
        </w:tc>
        <w:tc>
          <w:tcPr>
            <w:tcW w:w="1678" w:type="dxa"/>
            <w:vAlign w:val="center"/>
          </w:tcPr>
          <w:p>
            <w:pPr>
              <w:pStyle w:val="18"/>
              <w:ind w:firstLine="0" w:firstLineChars="0"/>
              <w:jc w:val="center"/>
              <w:rPr>
                <w:color w:val="auto"/>
              </w:rPr>
            </w:pPr>
            <w:r>
              <w:rPr>
                <w:rFonts w:hint="eastAsia"/>
                <w:color w:val="auto"/>
              </w:rPr>
              <w:t>2.66</w:t>
            </w:r>
          </w:p>
        </w:tc>
        <w:tc>
          <w:tcPr>
            <w:tcW w:w="1757" w:type="dxa"/>
            <w:vAlign w:val="center"/>
          </w:tcPr>
          <w:p>
            <w:pPr>
              <w:pStyle w:val="18"/>
              <w:ind w:firstLine="0" w:firstLineChars="0"/>
              <w:jc w:val="center"/>
              <w:rPr>
                <w:color w:val="auto"/>
              </w:rPr>
            </w:pPr>
            <w:r>
              <w:rPr>
                <w:rFonts w:hint="eastAsia"/>
                <w:color w:val="auto"/>
              </w:rPr>
              <w:t>2</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34" w:type="dxa"/>
            <w:vAlign w:val="center"/>
          </w:tcPr>
          <w:p>
            <w:pPr>
              <w:pStyle w:val="18"/>
              <w:ind w:firstLine="0" w:firstLineChars="0"/>
              <w:jc w:val="center"/>
              <w:rPr>
                <w:color w:val="auto"/>
              </w:rPr>
            </w:pPr>
            <w:r>
              <w:rPr>
                <w:rFonts w:hint="eastAsia"/>
                <w:color w:val="auto"/>
              </w:rPr>
              <w:t>ZY</w:t>
            </w:r>
            <w:r>
              <w:rPr>
                <w:color w:val="auto"/>
              </w:rPr>
              <w:t>-05</w:t>
            </w:r>
          </w:p>
        </w:tc>
        <w:tc>
          <w:tcPr>
            <w:tcW w:w="3054" w:type="dxa"/>
            <w:vAlign w:val="center"/>
          </w:tcPr>
          <w:p>
            <w:pPr>
              <w:pStyle w:val="18"/>
              <w:ind w:firstLine="0" w:firstLineChars="0"/>
              <w:jc w:val="center"/>
              <w:rPr>
                <w:rFonts w:hint="eastAsia" w:ascii="Times New Roman" w:hAnsi="Times New Roman" w:eastAsia="宋体" w:cs="Times New Roman"/>
                <w:color w:val="auto"/>
                <w:kern w:val="2"/>
                <w:sz w:val="24"/>
                <w:szCs w:val="28"/>
                <w:lang w:val="en-US" w:eastAsia="zh-CN" w:bidi="ar-SA"/>
              </w:rPr>
            </w:pPr>
            <w:r>
              <w:rPr>
                <w:rFonts w:hint="eastAsia"/>
                <w:color w:val="auto"/>
              </w:rPr>
              <w:t>旅游集散中心</w:t>
            </w:r>
            <w:r>
              <w:rPr>
                <w:rFonts w:hint="eastAsia"/>
                <w:color w:val="auto"/>
                <w:lang w:val="en-US" w:eastAsia="zh-CN"/>
              </w:rPr>
              <w:t>充电站</w:t>
            </w:r>
          </w:p>
        </w:tc>
        <w:tc>
          <w:tcPr>
            <w:tcW w:w="3934" w:type="dxa"/>
            <w:vAlign w:val="center"/>
          </w:tcPr>
          <w:p>
            <w:pPr>
              <w:pStyle w:val="18"/>
              <w:ind w:firstLine="0" w:firstLineChars="0"/>
              <w:jc w:val="center"/>
              <w:rPr>
                <w:rFonts w:hint="eastAsia"/>
                <w:color w:val="auto"/>
                <w:highlight w:val="none"/>
              </w:rPr>
            </w:pPr>
            <w:r>
              <w:rPr>
                <w:rFonts w:hint="eastAsia"/>
                <w:color w:val="auto"/>
                <w:highlight w:val="none"/>
                <w:lang w:val="en-US" w:eastAsia="zh-CN"/>
              </w:rPr>
              <w:t>文笔大道南段（文笔湖公园南侧）</w:t>
            </w:r>
          </w:p>
        </w:tc>
        <w:tc>
          <w:tcPr>
            <w:tcW w:w="2956" w:type="dxa"/>
            <w:vAlign w:val="center"/>
          </w:tcPr>
          <w:p>
            <w:pPr>
              <w:pStyle w:val="18"/>
              <w:ind w:firstLine="0" w:firstLineChars="0"/>
              <w:jc w:val="center"/>
              <w:rPr>
                <w:color w:val="auto"/>
                <w:highlight w:val="none"/>
              </w:rPr>
            </w:pPr>
            <w:r>
              <w:rPr>
                <w:rFonts w:hint="eastAsia"/>
                <w:color w:val="auto"/>
                <w:highlight w:val="none"/>
              </w:rPr>
              <w:t>客运车</w:t>
            </w:r>
            <w:r>
              <w:rPr>
                <w:color w:val="auto"/>
                <w:highlight w:val="none"/>
              </w:rPr>
              <w:t>专用充电站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N05-02-01/03</w:t>
            </w:r>
          </w:p>
        </w:tc>
        <w:tc>
          <w:tcPr>
            <w:tcW w:w="1631" w:type="dxa"/>
            <w:vAlign w:val="center"/>
          </w:tcPr>
          <w:p>
            <w:pPr>
              <w:pStyle w:val="18"/>
              <w:ind w:firstLine="0" w:firstLineChars="0"/>
              <w:jc w:val="center"/>
              <w:rPr>
                <w:color w:val="auto"/>
              </w:rPr>
            </w:pPr>
            <w:r>
              <w:rPr>
                <w:rFonts w:hint="eastAsia"/>
                <w:color w:val="auto"/>
              </w:rPr>
              <w:t>S3</w:t>
            </w:r>
          </w:p>
        </w:tc>
        <w:tc>
          <w:tcPr>
            <w:tcW w:w="1678" w:type="dxa"/>
            <w:vAlign w:val="center"/>
          </w:tcPr>
          <w:p>
            <w:pPr>
              <w:pStyle w:val="18"/>
              <w:ind w:firstLine="0" w:firstLineChars="0"/>
              <w:jc w:val="center"/>
              <w:rPr>
                <w:color w:val="auto"/>
              </w:rPr>
            </w:pPr>
            <w:r>
              <w:rPr>
                <w:rFonts w:hint="eastAsia"/>
                <w:color w:val="auto"/>
              </w:rPr>
              <w:t>3.92</w:t>
            </w:r>
          </w:p>
        </w:tc>
        <w:tc>
          <w:tcPr>
            <w:tcW w:w="1757" w:type="dxa"/>
            <w:vAlign w:val="center"/>
          </w:tcPr>
          <w:p>
            <w:pPr>
              <w:pStyle w:val="18"/>
              <w:ind w:firstLine="0" w:firstLineChars="0"/>
              <w:jc w:val="center"/>
              <w:rPr>
                <w:color w:val="auto"/>
              </w:rPr>
            </w:pPr>
            <w:r>
              <w:rPr>
                <w:rFonts w:hint="eastAsia"/>
                <w:color w:val="auto"/>
              </w:rPr>
              <w:t>2</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34" w:type="dxa"/>
            <w:vAlign w:val="center"/>
          </w:tcPr>
          <w:p>
            <w:pPr>
              <w:pStyle w:val="18"/>
              <w:ind w:firstLine="0" w:firstLineChars="0"/>
              <w:jc w:val="center"/>
              <w:rPr>
                <w:color w:val="auto"/>
              </w:rPr>
            </w:pPr>
            <w:r>
              <w:rPr>
                <w:rFonts w:hint="eastAsia"/>
                <w:color w:val="auto"/>
              </w:rPr>
              <w:t>ZY</w:t>
            </w:r>
            <w:r>
              <w:rPr>
                <w:color w:val="auto"/>
              </w:rPr>
              <w:t>-06</w:t>
            </w:r>
          </w:p>
        </w:tc>
        <w:tc>
          <w:tcPr>
            <w:tcW w:w="3054" w:type="dxa"/>
            <w:vAlign w:val="center"/>
          </w:tcPr>
          <w:p>
            <w:pPr>
              <w:pStyle w:val="18"/>
              <w:ind w:firstLine="0" w:firstLineChars="0"/>
              <w:jc w:val="center"/>
              <w:rPr>
                <w:rFonts w:hint="eastAsia" w:ascii="Times New Roman" w:hAnsi="Times New Roman" w:eastAsia="宋体" w:cs="Times New Roman"/>
                <w:color w:val="auto"/>
                <w:kern w:val="2"/>
                <w:sz w:val="24"/>
                <w:szCs w:val="28"/>
                <w:lang w:val="en-US" w:eastAsia="zh-CN" w:bidi="ar-SA"/>
              </w:rPr>
            </w:pPr>
            <w:r>
              <w:rPr>
                <w:rFonts w:hint="eastAsia"/>
                <w:color w:val="auto"/>
              </w:rPr>
              <w:t>工业园区环卫</w:t>
            </w:r>
            <w:r>
              <w:rPr>
                <w:rFonts w:hint="eastAsia"/>
                <w:color w:val="auto"/>
                <w:lang w:val="en-US" w:eastAsia="zh-CN"/>
              </w:rPr>
              <w:t>充电站</w:t>
            </w:r>
          </w:p>
        </w:tc>
        <w:tc>
          <w:tcPr>
            <w:tcW w:w="3934" w:type="dxa"/>
            <w:vAlign w:val="center"/>
          </w:tcPr>
          <w:p>
            <w:pPr>
              <w:pStyle w:val="18"/>
              <w:ind w:firstLine="0" w:firstLineChars="0"/>
              <w:jc w:val="center"/>
              <w:rPr>
                <w:color w:val="auto"/>
                <w:highlight w:val="none"/>
              </w:rPr>
            </w:pPr>
            <w:r>
              <w:rPr>
                <w:rFonts w:hint="eastAsia"/>
                <w:color w:val="auto"/>
                <w:highlight w:val="none"/>
              </w:rPr>
              <w:t>工业园区环卫停车场</w:t>
            </w:r>
          </w:p>
        </w:tc>
        <w:tc>
          <w:tcPr>
            <w:tcW w:w="2956" w:type="dxa"/>
            <w:vAlign w:val="center"/>
          </w:tcPr>
          <w:p>
            <w:pPr>
              <w:pStyle w:val="18"/>
              <w:ind w:firstLine="0" w:firstLineChars="0"/>
              <w:jc w:val="center"/>
              <w:rPr>
                <w:color w:val="auto"/>
                <w:highlight w:val="none"/>
              </w:rPr>
            </w:pPr>
            <w:r>
              <w:rPr>
                <w:rFonts w:hint="eastAsia"/>
                <w:color w:val="auto"/>
                <w:highlight w:val="none"/>
              </w:rPr>
              <w:t>环卫车</w:t>
            </w:r>
            <w:r>
              <w:rPr>
                <w:color w:val="auto"/>
                <w:highlight w:val="none"/>
              </w:rPr>
              <w:t>专用充电站</w:t>
            </w:r>
          </w:p>
        </w:tc>
        <w:tc>
          <w:tcPr>
            <w:tcW w:w="1992" w:type="dxa"/>
            <w:vAlign w:val="center"/>
          </w:tcPr>
          <w:p>
            <w:pPr>
              <w:pStyle w:val="18"/>
              <w:ind w:firstLine="0" w:firstLineChars="0"/>
              <w:jc w:val="center"/>
              <w:rPr>
                <w:rFonts w:hint="eastAsia"/>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rFonts w:hint="eastAsia"/>
                <w:color w:val="auto"/>
              </w:rPr>
              <w:t>-</w:t>
            </w:r>
          </w:p>
        </w:tc>
        <w:tc>
          <w:tcPr>
            <w:tcW w:w="1631" w:type="dxa"/>
            <w:vAlign w:val="center"/>
          </w:tcPr>
          <w:p>
            <w:pPr>
              <w:pStyle w:val="18"/>
              <w:ind w:firstLine="0" w:firstLineChars="0"/>
              <w:jc w:val="center"/>
              <w:rPr>
                <w:color w:val="auto"/>
              </w:rPr>
            </w:pPr>
            <w:r>
              <w:rPr>
                <w:rFonts w:hint="eastAsia"/>
                <w:color w:val="auto"/>
              </w:rPr>
              <w:t>-</w:t>
            </w:r>
          </w:p>
        </w:tc>
        <w:tc>
          <w:tcPr>
            <w:tcW w:w="1678" w:type="dxa"/>
            <w:vAlign w:val="center"/>
          </w:tcPr>
          <w:p>
            <w:pPr>
              <w:pStyle w:val="18"/>
              <w:ind w:firstLine="0" w:firstLineChars="0"/>
              <w:jc w:val="center"/>
              <w:rPr>
                <w:color w:val="auto"/>
              </w:rPr>
            </w:pPr>
            <w:r>
              <w:rPr>
                <w:rFonts w:hint="eastAsia"/>
                <w:color w:val="auto"/>
              </w:rPr>
              <w:t>-</w:t>
            </w:r>
          </w:p>
        </w:tc>
        <w:tc>
          <w:tcPr>
            <w:tcW w:w="1757" w:type="dxa"/>
            <w:vAlign w:val="center"/>
          </w:tcPr>
          <w:p>
            <w:pPr>
              <w:pStyle w:val="18"/>
              <w:ind w:firstLine="0" w:firstLineChars="0"/>
              <w:jc w:val="center"/>
              <w:rPr>
                <w:color w:val="auto"/>
              </w:rPr>
            </w:pPr>
            <w:r>
              <w:rPr>
                <w:rFonts w:hint="eastAsia"/>
                <w:color w:val="auto"/>
              </w:rPr>
              <w:t>2</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34" w:type="dxa"/>
            <w:vAlign w:val="center"/>
          </w:tcPr>
          <w:p>
            <w:pPr>
              <w:pStyle w:val="18"/>
              <w:ind w:firstLine="0" w:firstLineChars="0"/>
              <w:jc w:val="center"/>
              <w:rPr>
                <w:color w:val="auto"/>
              </w:rPr>
            </w:pPr>
            <w:r>
              <w:rPr>
                <w:rFonts w:hint="eastAsia"/>
                <w:color w:val="auto"/>
              </w:rPr>
              <w:t>ZY</w:t>
            </w:r>
            <w:r>
              <w:rPr>
                <w:color w:val="auto"/>
              </w:rPr>
              <w:t>-07</w:t>
            </w:r>
          </w:p>
        </w:tc>
        <w:tc>
          <w:tcPr>
            <w:tcW w:w="3054" w:type="dxa"/>
            <w:vAlign w:val="center"/>
          </w:tcPr>
          <w:p>
            <w:pPr>
              <w:pStyle w:val="18"/>
              <w:ind w:firstLine="0" w:firstLineChars="0"/>
              <w:jc w:val="center"/>
              <w:rPr>
                <w:rFonts w:hint="eastAsia" w:ascii="Times New Roman" w:hAnsi="Times New Roman" w:eastAsia="宋体" w:cs="Times New Roman"/>
                <w:color w:val="auto"/>
                <w:kern w:val="2"/>
                <w:sz w:val="24"/>
                <w:szCs w:val="28"/>
                <w:lang w:val="en-US" w:eastAsia="zh-CN" w:bidi="ar-SA"/>
              </w:rPr>
            </w:pPr>
            <w:r>
              <w:rPr>
                <w:rFonts w:hint="eastAsia"/>
                <w:color w:val="auto"/>
              </w:rPr>
              <w:t>三合公交</w:t>
            </w:r>
            <w:r>
              <w:rPr>
                <w:color w:val="auto"/>
              </w:rPr>
              <w:t>换</w:t>
            </w:r>
            <w:r>
              <w:rPr>
                <w:rFonts w:hint="eastAsia"/>
                <w:color w:val="auto"/>
                <w:lang w:val="en-US" w:eastAsia="zh-CN"/>
              </w:rPr>
              <w:t>电站</w:t>
            </w:r>
          </w:p>
        </w:tc>
        <w:tc>
          <w:tcPr>
            <w:tcW w:w="3934" w:type="dxa"/>
            <w:vAlign w:val="center"/>
          </w:tcPr>
          <w:p>
            <w:pPr>
              <w:pStyle w:val="18"/>
              <w:ind w:firstLine="0" w:firstLineChars="0"/>
              <w:jc w:val="center"/>
              <w:rPr>
                <w:rFonts w:hint="default"/>
                <w:color w:val="auto"/>
                <w:highlight w:val="none"/>
              </w:rPr>
            </w:pPr>
            <w:r>
              <w:rPr>
                <w:rFonts w:hint="eastAsia"/>
                <w:color w:val="auto"/>
                <w:highlight w:val="none"/>
                <w:lang w:val="en-US" w:eastAsia="zh-CN"/>
              </w:rPr>
              <w:t>文笔大道与人民东路交叉口北偏西300米</w:t>
            </w:r>
          </w:p>
        </w:tc>
        <w:tc>
          <w:tcPr>
            <w:tcW w:w="2956" w:type="dxa"/>
            <w:vAlign w:val="center"/>
          </w:tcPr>
          <w:p>
            <w:pPr>
              <w:pStyle w:val="18"/>
              <w:ind w:firstLine="0" w:firstLineChars="0"/>
              <w:jc w:val="center"/>
              <w:rPr>
                <w:color w:val="auto"/>
                <w:highlight w:val="none"/>
              </w:rPr>
            </w:pPr>
            <w:r>
              <w:rPr>
                <w:rFonts w:hint="eastAsia"/>
                <w:color w:val="auto"/>
                <w:highlight w:val="none"/>
              </w:rPr>
              <w:t>出租车</w:t>
            </w:r>
            <w:r>
              <w:rPr>
                <w:color w:val="auto"/>
                <w:highlight w:val="none"/>
              </w:rPr>
              <w:t>换电站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C03-06/02</w:t>
            </w:r>
          </w:p>
        </w:tc>
        <w:tc>
          <w:tcPr>
            <w:tcW w:w="1631" w:type="dxa"/>
            <w:vAlign w:val="center"/>
          </w:tcPr>
          <w:p>
            <w:pPr>
              <w:pStyle w:val="18"/>
              <w:ind w:firstLine="0" w:firstLineChars="0"/>
              <w:jc w:val="center"/>
              <w:rPr>
                <w:color w:val="auto"/>
              </w:rPr>
            </w:pPr>
            <w:r>
              <w:rPr>
                <w:rFonts w:hint="eastAsia"/>
                <w:color w:val="auto"/>
              </w:rPr>
              <w:t>S41</w:t>
            </w:r>
          </w:p>
        </w:tc>
        <w:tc>
          <w:tcPr>
            <w:tcW w:w="1678" w:type="dxa"/>
            <w:vAlign w:val="center"/>
          </w:tcPr>
          <w:p>
            <w:pPr>
              <w:pStyle w:val="18"/>
              <w:ind w:firstLine="0" w:firstLineChars="0"/>
              <w:jc w:val="center"/>
              <w:rPr>
                <w:color w:val="auto"/>
              </w:rPr>
            </w:pPr>
            <w:r>
              <w:rPr>
                <w:rFonts w:hint="eastAsia"/>
                <w:color w:val="auto"/>
              </w:rPr>
              <w:t>0.78</w:t>
            </w:r>
          </w:p>
        </w:tc>
        <w:tc>
          <w:tcPr>
            <w:tcW w:w="1757" w:type="dxa"/>
            <w:vAlign w:val="center"/>
          </w:tcPr>
          <w:p>
            <w:pPr>
              <w:pStyle w:val="18"/>
              <w:ind w:firstLine="0" w:firstLineChars="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334" w:type="dxa"/>
            <w:vAlign w:val="center"/>
          </w:tcPr>
          <w:p>
            <w:pPr>
              <w:pStyle w:val="18"/>
              <w:ind w:firstLine="0" w:firstLineChars="0"/>
              <w:jc w:val="center"/>
              <w:rPr>
                <w:color w:val="auto"/>
              </w:rPr>
            </w:pPr>
            <w:r>
              <w:rPr>
                <w:rFonts w:hint="eastAsia"/>
                <w:color w:val="auto"/>
              </w:rPr>
              <w:t>ZY</w:t>
            </w:r>
            <w:r>
              <w:rPr>
                <w:color w:val="auto"/>
              </w:rPr>
              <w:t>-08</w:t>
            </w:r>
          </w:p>
        </w:tc>
        <w:tc>
          <w:tcPr>
            <w:tcW w:w="3054" w:type="dxa"/>
            <w:vAlign w:val="center"/>
          </w:tcPr>
          <w:p>
            <w:pPr>
              <w:pStyle w:val="18"/>
              <w:ind w:firstLine="0" w:firstLineChars="0"/>
              <w:jc w:val="center"/>
              <w:rPr>
                <w:rFonts w:hint="eastAsia" w:ascii="Times New Roman" w:hAnsi="Times New Roman" w:eastAsia="宋体" w:cs="Times New Roman"/>
                <w:color w:val="auto"/>
                <w:kern w:val="2"/>
                <w:sz w:val="24"/>
                <w:szCs w:val="28"/>
                <w:lang w:val="en-US" w:eastAsia="zh-CN" w:bidi="ar-SA"/>
              </w:rPr>
            </w:pPr>
            <w:r>
              <w:rPr>
                <w:rFonts w:hint="eastAsia"/>
                <w:color w:val="auto"/>
              </w:rPr>
              <w:t>南阳大道</w:t>
            </w:r>
            <w:r>
              <w:rPr>
                <w:color w:val="auto"/>
              </w:rPr>
              <w:t>换</w:t>
            </w:r>
            <w:r>
              <w:rPr>
                <w:rFonts w:hint="eastAsia"/>
                <w:color w:val="auto"/>
                <w:lang w:val="en-US" w:eastAsia="zh-CN"/>
              </w:rPr>
              <w:t>电站</w:t>
            </w:r>
          </w:p>
        </w:tc>
        <w:tc>
          <w:tcPr>
            <w:tcW w:w="3934" w:type="dxa"/>
            <w:vAlign w:val="center"/>
          </w:tcPr>
          <w:p>
            <w:pPr>
              <w:pStyle w:val="18"/>
              <w:ind w:firstLine="0" w:firstLineChars="0"/>
              <w:jc w:val="center"/>
              <w:rPr>
                <w:rFonts w:hint="default"/>
                <w:color w:val="auto"/>
                <w:highlight w:val="none"/>
              </w:rPr>
            </w:pPr>
            <w:r>
              <w:rPr>
                <w:rFonts w:hint="eastAsia"/>
                <w:color w:val="auto"/>
                <w:highlight w:val="none"/>
              </w:rPr>
              <w:t>南阳大道</w:t>
            </w:r>
            <w:r>
              <w:rPr>
                <w:rFonts w:hint="eastAsia"/>
                <w:color w:val="auto"/>
                <w:highlight w:val="none"/>
                <w:lang w:val="en-US" w:eastAsia="zh-CN"/>
              </w:rPr>
              <w:t>与朝阳二路交叉口</w:t>
            </w:r>
          </w:p>
        </w:tc>
        <w:tc>
          <w:tcPr>
            <w:tcW w:w="2956" w:type="dxa"/>
            <w:vAlign w:val="center"/>
          </w:tcPr>
          <w:p>
            <w:pPr>
              <w:pStyle w:val="18"/>
              <w:ind w:firstLine="0" w:firstLineChars="0"/>
              <w:jc w:val="center"/>
              <w:rPr>
                <w:color w:val="auto"/>
                <w:highlight w:val="none"/>
              </w:rPr>
            </w:pPr>
            <w:r>
              <w:rPr>
                <w:rFonts w:hint="eastAsia"/>
                <w:color w:val="auto"/>
                <w:highlight w:val="none"/>
              </w:rPr>
              <w:t>出租车</w:t>
            </w:r>
            <w:r>
              <w:rPr>
                <w:color w:val="auto"/>
                <w:highlight w:val="none"/>
              </w:rPr>
              <w:t>换电站</w:t>
            </w:r>
          </w:p>
        </w:tc>
        <w:tc>
          <w:tcPr>
            <w:tcW w:w="1992" w:type="dxa"/>
            <w:vAlign w:val="center"/>
          </w:tcPr>
          <w:p>
            <w:pPr>
              <w:pStyle w:val="18"/>
              <w:ind w:firstLine="0" w:firstLineChars="0"/>
              <w:jc w:val="center"/>
              <w:rPr>
                <w:color w:val="auto"/>
                <w:highlight w:val="none"/>
              </w:rPr>
            </w:pPr>
            <w:r>
              <w:rPr>
                <w:rStyle w:val="28"/>
                <w:rFonts w:hint="eastAsia"/>
                <w:color w:val="auto"/>
                <w:highlight w:val="none"/>
              </w:rPr>
              <w:t>配建</w:t>
            </w:r>
          </w:p>
        </w:tc>
        <w:tc>
          <w:tcPr>
            <w:tcW w:w="2479" w:type="dxa"/>
            <w:vAlign w:val="center"/>
          </w:tcPr>
          <w:p>
            <w:pPr>
              <w:pStyle w:val="18"/>
              <w:ind w:firstLine="0" w:firstLineChars="0"/>
              <w:jc w:val="center"/>
              <w:rPr>
                <w:color w:val="auto"/>
              </w:rPr>
            </w:pPr>
            <w:r>
              <w:rPr>
                <w:color w:val="auto"/>
              </w:rPr>
              <w:t>M04-12/03</w:t>
            </w:r>
          </w:p>
        </w:tc>
        <w:tc>
          <w:tcPr>
            <w:tcW w:w="1631" w:type="dxa"/>
            <w:vAlign w:val="center"/>
          </w:tcPr>
          <w:p>
            <w:pPr>
              <w:pStyle w:val="18"/>
              <w:ind w:firstLine="0" w:firstLineChars="0"/>
              <w:jc w:val="center"/>
              <w:rPr>
                <w:color w:val="auto"/>
              </w:rPr>
            </w:pPr>
            <w:r>
              <w:rPr>
                <w:rFonts w:hint="eastAsia"/>
                <w:color w:val="auto"/>
              </w:rPr>
              <w:t>S42</w:t>
            </w:r>
          </w:p>
        </w:tc>
        <w:tc>
          <w:tcPr>
            <w:tcW w:w="1678" w:type="dxa"/>
            <w:vAlign w:val="center"/>
          </w:tcPr>
          <w:p>
            <w:pPr>
              <w:pStyle w:val="18"/>
              <w:ind w:firstLine="0" w:firstLineChars="0"/>
              <w:jc w:val="center"/>
              <w:rPr>
                <w:color w:val="auto"/>
              </w:rPr>
            </w:pPr>
            <w:r>
              <w:rPr>
                <w:rFonts w:hint="eastAsia"/>
                <w:color w:val="auto"/>
              </w:rPr>
              <w:t>0.32</w:t>
            </w:r>
          </w:p>
        </w:tc>
        <w:tc>
          <w:tcPr>
            <w:tcW w:w="1757" w:type="dxa"/>
            <w:vAlign w:val="center"/>
          </w:tcPr>
          <w:p>
            <w:pPr>
              <w:pStyle w:val="18"/>
              <w:ind w:firstLine="0" w:firstLineChars="0"/>
              <w:jc w:val="center"/>
              <w:rPr>
                <w:color w:val="auto"/>
              </w:rPr>
            </w:pPr>
            <w:r>
              <w:rPr>
                <w:rFonts w:hint="eastAsia"/>
                <w:color w:val="auto"/>
              </w:rPr>
              <w:t>-</w:t>
            </w:r>
          </w:p>
        </w:tc>
      </w:tr>
    </w:tbl>
    <w:p>
      <w:pPr>
        <w:ind w:firstLine="480"/>
      </w:pPr>
    </w:p>
    <w:p>
      <w:pPr>
        <w:ind w:firstLine="480"/>
      </w:pPr>
    </w:p>
    <w:p>
      <w:pPr>
        <w:ind w:firstLine="480"/>
      </w:pPr>
    </w:p>
    <w:p>
      <w:pPr>
        <w:ind w:firstLine="480"/>
      </w:pPr>
    </w:p>
    <w:p>
      <w:pPr>
        <w:ind w:firstLine="480"/>
      </w:pPr>
    </w:p>
    <w:p>
      <w:r>
        <w:br w:type="page"/>
      </w:r>
    </w:p>
    <w:p>
      <w:pPr>
        <w:pStyle w:val="3"/>
        <w:spacing w:before="120" w:after="120" w:line="415" w:lineRule="auto"/>
        <w:ind w:firstLine="0" w:firstLineChars="0"/>
        <w:jc w:val="left"/>
        <w:rPr>
          <w:rFonts w:ascii="Times New Roman" w:hAnsi="Times New Roman" w:cs="Times New Roman"/>
          <w:sz w:val="36"/>
        </w:rPr>
      </w:pPr>
      <w:bookmarkStart w:id="14" w:name="_Toc157635372"/>
      <w:r>
        <w:rPr>
          <w:rFonts w:hint="eastAsia" w:ascii="Times New Roman" w:hAnsi="Times New Roman" w:cs="Times New Roman"/>
          <w:sz w:val="36"/>
        </w:rPr>
        <w:t>附表4 储备公共充电站一览表</w:t>
      </w:r>
      <w:bookmarkEnd w:id="14"/>
    </w:p>
    <w:tbl>
      <w:tblPr>
        <w:tblStyle w:val="8"/>
        <w:tblW w:w="21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229"/>
        <w:gridCol w:w="5295"/>
        <w:gridCol w:w="7032"/>
        <w:gridCol w:w="2310"/>
        <w:gridCol w:w="3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0"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ascii="宋体" w:hAnsi="宋体"/>
                <w:color w:val="auto"/>
                <w:szCs w:val="24"/>
              </w:rPr>
              <w:t>编号</w:t>
            </w:r>
          </w:p>
        </w:tc>
        <w:tc>
          <w:tcPr>
            <w:tcW w:w="2229"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hint="eastAsia" w:ascii="宋体" w:hAnsi="宋体"/>
                <w:color w:val="auto"/>
                <w:szCs w:val="24"/>
              </w:rPr>
              <w:t>所在区域</w:t>
            </w:r>
          </w:p>
        </w:tc>
        <w:tc>
          <w:tcPr>
            <w:tcW w:w="5295"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hint="eastAsia" w:ascii="宋体" w:hAnsi="宋体"/>
                <w:color w:val="auto"/>
                <w:szCs w:val="24"/>
              </w:rPr>
              <w:t>名称</w:t>
            </w:r>
          </w:p>
        </w:tc>
        <w:tc>
          <w:tcPr>
            <w:tcW w:w="7032"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ascii="宋体" w:hAnsi="宋体"/>
                <w:color w:val="auto"/>
                <w:szCs w:val="24"/>
              </w:rPr>
              <w:t>位置</w:t>
            </w:r>
          </w:p>
        </w:tc>
        <w:tc>
          <w:tcPr>
            <w:tcW w:w="2310"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s="宋体"/>
                <w:color w:val="auto"/>
                <w:kern w:val="0"/>
                <w:szCs w:val="24"/>
              </w:rPr>
            </w:pPr>
            <w:r>
              <w:rPr>
                <w:rFonts w:hint="eastAsia" w:ascii="宋体" w:hAnsi="宋体" w:cs="宋体"/>
                <w:color w:val="auto"/>
                <w:kern w:val="0"/>
                <w:szCs w:val="24"/>
              </w:rPr>
              <w:t>建议充电车位</w:t>
            </w: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ascii="宋体" w:hAnsi="宋体"/>
                <w:color w:val="auto"/>
                <w:szCs w:val="24"/>
              </w:rPr>
              <w:t>（≥个）</w:t>
            </w:r>
          </w:p>
        </w:tc>
        <w:tc>
          <w:tcPr>
            <w:tcW w:w="3320"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hint="eastAsia" w:ascii="宋体" w:hAnsi="宋体"/>
                <w:color w:val="auto"/>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bookmarkStart w:id="15" w:name="OLE_LINK1" w:colFirst="0" w:colLast="4"/>
            <w:r>
              <w:rPr>
                <w:rFonts w:eastAsia="Tahoma"/>
                <w:kern w:val="0"/>
              </w:rPr>
              <w:t>CB-01</w:t>
            </w:r>
          </w:p>
        </w:tc>
        <w:tc>
          <w:tcPr>
            <w:tcW w:w="2229" w:type="dxa"/>
            <w:vMerge w:val="restart"/>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r>
              <w:rPr>
                <w:rFonts w:hint="eastAsia" w:ascii="宋体" w:hAnsi="宋体"/>
                <w:color w:val="auto"/>
                <w:szCs w:val="24"/>
              </w:rPr>
              <w:t xml:space="preserve">一类区 </w:t>
            </w:r>
          </w:p>
        </w:tc>
        <w:tc>
          <w:tcPr>
            <w:tcW w:w="5295" w:type="dxa"/>
            <w:shd w:val="clear" w:color="auto" w:fill="auto"/>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中石油凉风垭加油站充电站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工农南路与长安大道西段交叉路口往东北约190米</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12</w:t>
            </w:r>
          </w:p>
        </w:tc>
        <w:tc>
          <w:tcPr>
            <w:tcW w:w="3320" w:type="dxa"/>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CB-02</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中石油桂东大道加油站充电站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textAlignment w:val="auto"/>
              <w:rPr>
                <w:rFonts w:ascii="宋体" w:hAnsi="宋体"/>
              </w:rPr>
            </w:pPr>
            <w:r>
              <w:rPr>
                <w:rFonts w:hint="eastAsia" w:ascii="宋体" w:hAnsi="宋体" w:cs="宋体"/>
                <w:kern w:val="0"/>
              </w:rPr>
              <w:t>桂溪街道保合村</w:t>
            </w:r>
            <w:r>
              <w:rPr>
                <w:kern w:val="0"/>
              </w:rPr>
              <w:t>2</w:t>
            </w:r>
            <w:r>
              <w:rPr>
                <w:rFonts w:hint="eastAsia" w:ascii="宋体" w:hAnsi="宋体" w:cs="宋体"/>
                <w:kern w:val="0"/>
              </w:rPr>
              <w:t>社（桂东大道北段与北新东路交叉路口东北侧）</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12</w:t>
            </w:r>
          </w:p>
        </w:tc>
        <w:tc>
          <w:tcPr>
            <w:tcW w:w="3320" w:type="dxa"/>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CB-03</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中石油城南加油站充电站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垫江县桂阳街道万安村6组</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18</w:t>
            </w:r>
          </w:p>
        </w:tc>
        <w:tc>
          <w:tcPr>
            <w:tcW w:w="3320" w:type="dxa"/>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CB-04</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中石油庙山加油站充电站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垫江县桂阳街道春花2社</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12</w:t>
            </w:r>
          </w:p>
        </w:tc>
        <w:tc>
          <w:tcPr>
            <w:tcW w:w="3320" w:type="dxa"/>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tcBorders>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CB-05</w:t>
            </w:r>
          </w:p>
        </w:tc>
        <w:tc>
          <w:tcPr>
            <w:tcW w:w="2229" w:type="dxa"/>
            <w:vMerge w:val="continue"/>
            <w:tcBorders>
              <w:bottom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中石油峡口加油站充电站</w:t>
            </w:r>
          </w:p>
        </w:tc>
        <w:tc>
          <w:tcPr>
            <w:tcW w:w="7032" w:type="dxa"/>
            <w:tcBorders>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桂溪街道石岭社区</w:t>
            </w:r>
          </w:p>
        </w:tc>
        <w:tc>
          <w:tcPr>
            <w:tcW w:w="2310" w:type="dxa"/>
            <w:tcBorders>
              <w:bottom w:val="single" w:color="auto" w:sz="4" w:space="0"/>
            </w:tcBorders>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18</w:t>
            </w:r>
          </w:p>
        </w:tc>
        <w:tc>
          <w:tcPr>
            <w:tcW w:w="3320" w:type="dxa"/>
            <w:tcBorders>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CB-06</w:t>
            </w:r>
          </w:p>
        </w:tc>
        <w:tc>
          <w:tcPr>
            <w:tcW w:w="2229"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中国石油凤山加油站充电站</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垫江县新建路123号加油站</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12</w:t>
            </w:r>
          </w:p>
        </w:tc>
        <w:tc>
          <w:tcPr>
            <w:tcW w:w="3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CB-07</w:t>
            </w:r>
          </w:p>
        </w:tc>
        <w:tc>
          <w:tcPr>
            <w:tcW w:w="2229"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中石油高新区加油站充电站</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建新路</w:t>
            </w:r>
            <w:r>
              <w:rPr>
                <w:kern w:val="0"/>
              </w:rPr>
              <w:t>145</w:t>
            </w:r>
            <w:r>
              <w:rPr>
                <w:rFonts w:hint="eastAsia" w:ascii="宋体" w:hAnsi="宋体" w:cs="宋体"/>
                <w:kern w:val="0"/>
              </w:rPr>
              <w:t>号加油站</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12</w:t>
            </w:r>
          </w:p>
        </w:tc>
        <w:tc>
          <w:tcPr>
            <w:tcW w:w="3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CB-08</w:t>
            </w:r>
          </w:p>
        </w:tc>
        <w:tc>
          <w:tcPr>
            <w:tcW w:w="2229"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文笔大道北段充电站</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文笔大道北段与人民东路交叉口（教委对面）</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pPr>
            <w:r>
              <w:rPr>
                <w:kern w:val="0"/>
              </w:rPr>
              <w:t>28</w:t>
            </w:r>
          </w:p>
        </w:tc>
        <w:tc>
          <w:tcPr>
            <w:tcW w:w="3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CB-09</w:t>
            </w:r>
          </w:p>
        </w:tc>
        <w:tc>
          <w:tcPr>
            <w:tcW w:w="2229"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三合大道北段充电站</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三合大道北段</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pPr>
            <w:r>
              <w:rPr>
                <w:rFonts w:hint="eastAsia"/>
                <w:kern w:val="0"/>
              </w:rPr>
              <w:t>16</w:t>
            </w:r>
          </w:p>
        </w:tc>
        <w:tc>
          <w:tcPr>
            <w:tcW w:w="3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CB-10</w:t>
            </w:r>
          </w:p>
        </w:tc>
        <w:tc>
          <w:tcPr>
            <w:tcW w:w="2229"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东待货停车场充电站</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东待货停车场</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hint="eastAsia"/>
                <w:kern w:val="0"/>
              </w:rPr>
              <w:t>36</w:t>
            </w:r>
          </w:p>
        </w:tc>
        <w:tc>
          <w:tcPr>
            <w:tcW w:w="3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CB-11</w:t>
            </w:r>
          </w:p>
        </w:tc>
        <w:tc>
          <w:tcPr>
            <w:tcW w:w="2229" w:type="dxa"/>
            <w:vMerge w:val="continue"/>
            <w:tcBorders>
              <w:top w:val="single" w:color="auto" w:sz="4" w:space="0"/>
              <w:left w:val="single" w:color="auto" w:sz="4" w:space="0"/>
              <w:bottom w:val="single" w:color="auto" w:sz="4" w:space="0"/>
              <w:right w:val="single" w:color="auto" w:sz="4" w:space="0"/>
            </w:tcBorders>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北待货停车场充电站</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宋体" w:hAnsi="宋体" w:cs="宋体"/>
              </w:rPr>
            </w:pPr>
            <w:r>
              <w:rPr>
                <w:rStyle w:val="26"/>
                <w:rFonts w:hint="default"/>
                <w:color w:val="auto"/>
              </w:rPr>
              <w:t>北待货停车场</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hint="eastAsia"/>
                <w:kern w:val="0"/>
              </w:rPr>
              <w:t>32</w:t>
            </w:r>
          </w:p>
        </w:tc>
        <w:tc>
          <w:tcPr>
            <w:tcW w:w="3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CB-12</w:t>
            </w:r>
          </w:p>
        </w:tc>
        <w:tc>
          <w:tcPr>
            <w:tcW w:w="2229" w:type="dxa"/>
            <w:vMerge w:val="restart"/>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宋体" w:hAnsi="宋体"/>
                <w:color w:val="auto"/>
                <w:szCs w:val="24"/>
              </w:rPr>
            </w:pPr>
          </w:p>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szCs w:val="24"/>
              </w:rPr>
              <w:t>二类区</w:t>
            </w: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高安镇东桥村充电站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高安镇东桥村1社高安收费站下道口</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CB-13</w:t>
            </w:r>
          </w:p>
        </w:tc>
        <w:tc>
          <w:tcPr>
            <w:tcW w:w="2229" w:type="dxa"/>
            <w:vMerge w:val="continue"/>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高安粮食市场充电站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高安粮食市场停车场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宋体"/>
                <w:kern w:val="0"/>
                <w:lang w:val="en-US" w:eastAsia="zh-CN"/>
              </w:rPr>
            </w:pPr>
            <w:r>
              <w:rPr>
                <w:rFonts w:eastAsia="Tahoma"/>
                <w:kern w:val="0"/>
              </w:rPr>
              <w:t>CB-1</w:t>
            </w:r>
            <w:r>
              <w:rPr>
                <w:rFonts w:hint="eastAsia"/>
                <w:kern w:val="0"/>
                <w:lang w:val="en-US" w:eastAsia="zh-CN"/>
              </w:rPr>
              <w:t>4</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跳石场充电站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高安镇跳石村广场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CB-15</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福安场充电站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高安镇福安村水厂门口</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CB-16</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高安原变电站充电站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Style w:val="28"/>
                <w:color w:val="auto"/>
              </w:rPr>
            </w:pPr>
            <w:r>
              <w:rPr>
                <w:rFonts w:hint="eastAsia" w:ascii="宋体" w:hAnsi="宋体" w:cs="宋体"/>
                <w:kern w:val="0"/>
              </w:rPr>
              <w:t>高安原变电站大门处</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CB-17</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中国石油澄溪加油站充电站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澄溪镇老街140号</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CB-18</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向阳广场充电站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澄溪镇向阳广场停车场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宋体"/>
                <w:kern w:val="0"/>
                <w:lang w:val="en-US" w:eastAsia="zh-CN"/>
              </w:rPr>
            </w:pPr>
            <w:r>
              <w:rPr>
                <w:rFonts w:eastAsia="Tahoma"/>
                <w:kern w:val="0"/>
              </w:rPr>
              <w:t>CB-</w:t>
            </w:r>
            <w:r>
              <w:rPr>
                <w:rFonts w:hint="eastAsia"/>
                <w:kern w:val="0"/>
                <w:lang w:val="en-US" w:eastAsia="zh-CN"/>
              </w:rPr>
              <w:t>19</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通集村充电站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澄溪镇通集村委会停车场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CB-20</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澄溪政府充电站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澄溪镇政府停车场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CB-21</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长红社区充电站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黄沙镇长红社区安置房</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CB-22</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万胜社区充电站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黄沙镇万胜社区便民服务中心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CB-23</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黄沙镇长安大道南加油站充电站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黄沙镇长安大道南加油站</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CB-24</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朝阳社区充电站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长龙镇朝阳社区10组</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kern w:val="0"/>
                <w:szCs w:val="24"/>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CB-25</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龙田村充电站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长龙镇龙田村便民服务中心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kern w:val="0"/>
                <w:szCs w:val="24"/>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CB-26</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高桥社区充电站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长龙镇高桥社区便民服务中心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kern w:val="0"/>
                <w:szCs w:val="24"/>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CB-27</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石水村充电站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长龙镇石水村便民服务中心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kern w:val="0"/>
                <w:szCs w:val="24"/>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CB-28</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长堰村充电站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长龙镇长堰村便民服务中心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kern w:val="0"/>
                <w:szCs w:val="24"/>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CB-29</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中国石油周嘉加油站充电站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周嘉镇东沟村群益街100号</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CB-30</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周嘉小学充电站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周嘉小学外停车场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CB-31</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创业园充电站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周嘉镇创业园</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CB-32</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中华仙草园充电站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新民镇中华仙草园停车场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CB-33</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恬园山庄充电站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新民镇恬园山庄停车场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CB-34</w:t>
            </w:r>
          </w:p>
        </w:tc>
        <w:tc>
          <w:tcPr>
            <w:tcW w:w="2229" w:type="dxa"/>
            <w:vMerge w:val="continue"/>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国庆大厦充电站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新民社区国庆大厦停车场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CB-35</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建设南路充电站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垫江县太平镇建设南路</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CB-36</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桂花村充电站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太平镇桂花村桂花塆</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CB-37</w:t>
            </w:r>
          </w:p>
        </w:tc>
        <w:tc>
          <w:tcPr>
            <w:tcW w:w="2229" w:type="dxa"/>
            <w:vMerge w:val="continue"/>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文昌社区充电站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坪山镇文昌社区办公室</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w:t>
            </w:r>
            <w:r>
              <w:rPr>
                <w:rFonts w:hint="eastAsia"/>
                <w:kern w:val="0"/>
                <w:lang w:val="en-US" w:eastAsia="zh-CN"/>
              </w:rPr>
              <w:t>8</w:t>
            </w:r>
          </w:p>
        </w:tc>
        <w:tc>
          <w:tcPr>
            <w:tcW w:w="2229" w:type="dxa"/>
            <w:vMerge w:val="continue"/>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九龙社区充电站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坪山镇九龙社区办公室</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CB-39</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中国石油坪山加油站充电站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坪山镇一环路与坪新街交叉路口西北侧</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CB-40</w:t>
            </w:r>
          </w:p>
        </w:tc>
        <w:tc>
          <w:tcPr>
            <w:tcW w:w="2229" w:type="dxa"/>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firstLine="0" w:firstLineChars="0"/>
              <w:jc w:val="center"/>
              <w:textAlignment w:val="auto"/>
            </w:pPr>
            <w:r>
              <w:rPr>
                <w:rFonts w:hint="eastAsia" w:ascii="宋体" w:hAnsi="宋体"/>
              </w:rPr>
              <w:t>三类区</w:t>
            </w: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汪家社区充电站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 xml:space="preserve">砚台镇汪家社区便民服务中心     </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r>
              <w:rPr>
                <w:rFonts w:hint="eastAsia"/>
                <w:color w:val="auto"/>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kern w:val="0"/>
              </w:rPr>
            </w:pPr>
            <w:r>
              <w:rPr>
                <w:rFonts w:eastAsia="Tahoma"/>
                <w:kern w:val="0"/>
              </w:rPr>
              <w:t>CB-41</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白云村充电站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 xml:space="preserve">砚台镇白云村便民服务中心      </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CB-42</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2"/>
                <w:sz w:val="24"/>
                <w:szCs w:val="24"/>
                <w:u w:val="none"/>
                <w:lang w:val="en-US" w:eastAsia="zh-CN" w:bidi="ar-SA"/>
              </w:rPr>
            </w:pPr>
            <w:r>
              <w:rPr>
                <w:rStyle w:val="28"/>
                <w:rFonts w:hint="eastAsia"/>
                <w:color w:val="auto"/>
              </w:rPr>
              <w:t>曹回镇乐安村充电站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2"/>
                <w:sz w:val="24"/>
                <w:szCs w:val="24"/>
                <w:u w:val="none"/>
                <w:lang w:val="en-US" w:eastAsia="zh-CN" w:bidi="ar-SA"/>
              </w:rPr>
            </w:pPr>
            <w:r>
              <w:rPr>
                <w:rStyle w:val="28"/>
                <w:rFonts w:hint="eastAsia"/>
                <w:color w:val="auto"/>
              </w:rPr>
              <w:t>曹回镇乐安村便民服务中心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lang w:val="en-US" w:eastAsia="zh-CN"/>
              </w:rPr>
            </w:pPr>
            <w:r>
              <w:rPr>
                <w:rFonts w:hint="eastAsia"/>
                <w:color w:val="auto"/>
                <w:lang w:val="en-US" w:eastAsia="zh-CN"/>
              </w:rPr>
              <w:t>6</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CB-43</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银珠村充电站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曹回镇银珠村便民服务中心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CB-44</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莲花村充电站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曹回镇莲花村便民服务中心村</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CB-45</w:t>
            </w:r>
          </w:p>
        </w:tc>
        <w:tc>
          <w:tcPr>
            <w:tcW w:w="2229" w:type="dxa"/>
            <w:vMerge w:val="continue"/>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中国石油沙坪加油站充电站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沙坪镇沙坪南路59号</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CB-46</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清水鱼庄充电站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沙坪镇竹鸡村青水鱼庄</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CB-47</w:t>
            </w:r>
          </w:p>
        </w:tc>
        <w:tc>
          <w:tcPr>
            <w:tcW w:w="2229" w:type="dxa"/>
            <w:vMerge w:val="continue"/>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母安社区充电站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沙坪镇母安社区停车场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10</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CB-48</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沙坪镇卫生院充电站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沙坪镇渝巫路</w:t>
            </w:r>
            <w:r>
              <w:rPr>
                <w:kern w:val="0"/>
              </w:rPr>
              <w:t>1</w:t>
            </w:r>
            <w:r>
              <w:rPr>
                <w:rFonts w:hint="eastAsia" w:ascii="宋体" w:hAnsi="宋体" w:cs="宋体"/>
                <w:kern w:val="0"/>
              </w:rPr>
              <w:t>号</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Tahoma" w:cs="Times New Roman"/>
                <w:kern w:val="0"/>
                <w:sz w:val="24"/>
                <w:szCs w:val="24"/>
                <w:lang w:val="en-US" w:eastAsia="zh-CN" w:bidi="ar-SA"/>
              </w:rPr>
            </w:pPr>
            <w:r>
              <w:rPr>
                <w:rFonts w:eastAsia="Tahoma"/>
                <w:kern w:val="0"/>
              </w:rPr>
              <w:t>CB-49</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平乐村充电站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沙坪镇平乐村LNG能源站</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CB-50</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hint="eastAsia" w:ascii="宋体" w:hAnsi="宋体" w:eastAsia="宋体" w:cs="宋体"/>
                <w:kern w:val="0"/>
                <w:highlight w:val="none"/>
                <w:lang w:val="en-US" w:eastAsia="zh-CN"/>
              </w:rPr>
            </w:pPr>
            <w:r>
              <w:rPr>
                <w:rFonts w:hint="eastAsia" w:ascii="宋体" w:hAnsi="宋体" w:cs="宋体"/>
                <w:kern w:val="0"/>
                <w:highlight w:val="none"/>
              </w:rPr>
              <w:t>沙坪镇环大村</w:t>
            </w:r>
            <w:r>
              <w:rPr>
                <w:rFonts w:hint="eastAsia" w:ascii="宋体" w:hAnsi="宋体" w:cs="宋体"/>
                <w:kern w:val="0"/>
                <w:highlight w:val="none"/>
                <w:lang w:val="en-US" w:eastAsia="zh-CN"/>
              </w:rPr>
              <w:t>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hint="eastAsia" w:ascii="宋体" w:hAnsi="宋体" w:cs="宋体"/>
                <w:kern w:val="0"/>
                <w:highlight w:val="none"/>
              </w:rPr>
            </w:pPr>
            <w:r>
              <w:rPr>
                <w:rFonts w:hint="eastAsia" w:ascii="宋体" w:hAnsi="宋体" w:cs="宋体"/>
                <w:kern w:val="0"/>
                <w:highlight w:val="none"/>
              </w:rPr>
              <w:t>沙坪镇环大村茶叶四中队</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16</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CB-51</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李花大道充电站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kern w:val="0"/>
              </w:rPr>
            </w:pPr>
            <w:r>
              <w:rPr>
                <w:rFonts w:hint="eastAsia" w:ascii="宋体" w:hAnsi="宋体" w:cs="宋体"/>
                <w:kern w:val="0"/>
              </w:rPr>
              <w:t>五洞镇李花大道牌坊处</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strike/>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CB-52</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迎宾路充电站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五洞镇迎宾路至新农贸市场丁字路口（再生资源回收站旁边）</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CB-53</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文龙村充电站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五洞镇文龙村办公室旁</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CB-54</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龙凤社区充电站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杠家镇龙凤社区便民服务中心（龙凤社区5社）</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CB-55</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中石油杠家加油站充电桩</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杠家镇双溪村9社</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CB-56</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高峰场镇2号充电站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高峰镇农贸市场停车位</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CB-57</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界尺场镇充电站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高峰镇界尺社区停车位</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CB-58</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宝山社区充电站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包家镇宝山社区广场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lang w:val="en-US" w:eastAsia="zh-CN"/>
              </w:rPr>
            </w:pPr>
            <w:r>
              <w:rPr>
                <w:rFonts w:eastAsia="Tahoma"/>
                <w:kern w:val="0"/>
              </w:rPr>
              <w:t>CB-59</w:t>
            </w:r>
          </w:p>
        </w:tc>
        <w:tc>
          <w:tcPr>
            <w:tcW w:w="2229" w:type="dxa"/>
            <w:vMerge w:val="restart"/>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p>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p>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p>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p>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r>
              <w:rPr>
                <w:rFonts w:hint="eastAsia" w:eastAsia="Tahoma"/>
                <w:kern w:val="0"/>
              </w:rPr>
              <w:t>三类区</w:t>
            </w:r>
          </w:p>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p>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Tahoma"/>
                <w:kern w:val="0"/>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土主新村充电站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包家镇土主新村便民服务中心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lang w:val="en-US" w:eastAsia="zh-CN"/>
              </w:rPr>
            </w:pPr>
            <w:r>
              <w:rPr>
                <w:rFonts w:eastAsia="Tahoma"/>
                <w:kern w:val="0"/>
              </w:rPr>
              <w:t>CB-60</w:t>
            </w:r>
          </w:p>
        </w:tc>
        <w:tc>
          <w:tcPr>
            <w:tcW w:w="2229" w:type="dxa"/>
            <w:vMerge w:val="continue"/>
            <w:shd w:val="clear" w:color="auto" w:fill="auto"/>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三溪镇向前充电站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三溪镇向前村便民服务中心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6</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lang w:val="en-US" w:eastAsia="zh-CN"/>
              </w:rPr>
            </w:pPr>
            <w:r>
              <w:rPr>
                <w:rFonts w:eastAsia="Tahoma"/>
                <w:kern w:val="0"/>
              </w:rPr>
              <w:t>CB-61</w:t>
            </w:r>
          </w:p>
        </w:tc>
        <w:tc>
          <w:tcPr>
            <w:tcW w:w="2229" w:type="dxa"/>
            <w:vMerge w:val="continue"/>
            <w:shd w:val="clear" w:color="auto" w:fill="auto"/>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迎凤村充电站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普顺镇迎凤石龙塞（移民活动广场）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lang w:val="en-US" w:eastAsia="zh-CN"/>
              </w:rPr>
            </w:pPr>
            <w:r>
              <w:rPr>
                <w:rFonts w:eastAsia="Tahoma"/>
                <w:kern w:val="0"/>
              </w:rPr>
              <w:t>CB-62</w:t>
            </w:r>
          </w:p>
        </w:tc>
        <w:tc>
          <w:tcPr>
            <w:tcW w:w="2229" w:type="dxa"/>
            <w:vMerge w:val="continue"/>
            <w:shd w:val="clear" w:color="auto" w:fill="auto"/>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李家湾充电站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普顺镇如莱山居（东风村10组李家湾露营基地）</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lang w:val="en-US" w:eastAsia="zh-CN"/>
              </w:rPr>
            </w:pPr>
            <w:r>
              <w:rPr>
                <w:rFonts w:eastAsia="Tahoma"/>
                <w:kern w:val="0"/>
              </w:rPr>
              <w:t>CB-63</w:t>
            </w:r>
          </w:p>
        </w:tc>
        <w:tc>
          <w:tcPr>
            <w:tcW w:w="2229" w:type="dxa"/>
            <w:vMerge w:val="continue"/>
            <w:shd w:val="clear" w:color="auto" w:fill="auto"/>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东湖社区充电站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普顺镇东湖社区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lang w:eastAsia="zh-CN"/>
              </w:rPr>
            </w:pPr>
            <w:r>
              <w:rPr>
                <w:rFonts w:hint="eastAsia"/>
                <w:color w:val="auto"/>
                <w:lang w:val="en-US" w:eastAsia="zh-CN"/>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lang w:val="en-US" w:eastAsia="zh-CN"/>
              </w:rPr>
            </w:pPr>
            <w:r>
              <w:rPr>
                <w:rFonts w:eastAsia="Tahoma"/>
                <w:kern w:val="0"/>
              </w:rPr>
              <w:t>CB-64</w:t>
            </w:r>
          </w:p>
        </w:tc>
        <w:tc>
          <w:tcPr>
            <w:tcW w:w="2229" w:type="dxa"/>
            <w:vMerge w:val="continue"/>
            <w:shd w:val="clear" w:color="auto" w:fill="auto"/>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eastAsia="Tahoma"/>
                <w:kern w:val="0"/>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秋桥社区充电站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永平镇秋桥社区居民委员会</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CB-65</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裴兴镇幼儿园充电桩</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裴兴镇幼儿园停车场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CB-66</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拱桥村充电站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裴兴镇拱桥村办公室</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CB-67</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hint="eastAsia" w:ascii="宋体" w:hAnsi="宋体" w:cs="宋体"/>
                <w:kern w:val="0"/>
              </w:rPr>
            </w:pPr>
            <w:r>
              <w:rPr>
                <w:rFonts w:hint="eastAsia" w:ascii="宋体" w:hAnsi="宋体" w:cs="宋体"/>
                <w:kern w:val="0"/>
              </w:rPr>
              <w:t>云龙村充电站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hint="eastAsia" w:ascii="宋体" w:hAnsi="宋体" w:cs="宋体"/>
                <w:kern w:val="0"/>
              </w:rPr>
            </w:pPr>
            <w:r>
              <w:rPr>
                <w:rFonts w:hint="eastAsia" w:ascii="宋体" w:hAnsi="宋体" w:cs="宋体"/>
                <w:kern w:val="0"/>
              </w:rPr>
              <w:t>白家镇云龙村3组</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CB-68</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农按社区充电站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白家镇农按社区移民大道</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CB-69</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湖滨社区充电站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白家镇湖滨社区党群服务中心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kern w:val="0"/>
                <w:sz w:val="24"/>
                <w:szCs w:val="24"/>
                <w:lang w:val="en-US" w:eastAsia="zh-CN" w:bidi="ar-SA"/>
              </w:rPr>
            </w:pPr>
            <w:r>
              <w:rPr>
                <w:rFonts w:eastAsia="Tahoma"/>
                <w:kern w:val="0"/>
              </w:rPr>
              <w:t>CB-70</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合兴村充电站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白家镇合兴村党群服务中心</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8</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kern w:val="0"/>
                <w:sz w:val="24"/>
                <w:szCs w:val="24"/>
                <w:lang w:val="en-US" w:eastAsia="zh-CN" w:bidi="ar-SA"/>
              </w:rPr>
            </w:pPr>
            <w:r>
              <w:rPr>
                <w:rFonts w:eastAsia="Tahoma"/>
                <w:kern w:val="0"/>
              </w:rPr>
              <w:t>CB-71</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strike/>
              </w:rPr>
            </w:pPr>
            <w:r>
              <w:rPr>
                <w:rFonts w:hint="eastAsia" w:ascii="宋体" w:hAnsi="宋体" w:cs="宋体"/>
                <w:kern w:val="0"/>
              </w:rPr>
              <w:t>沙河乡政府充电站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沙河</w:t>
            </w:r>
            <w:r>
              <w:rPr>
                <w:rFonts w:hint="eastAsia" w:ascii="宋体" w:hAnsi="宋体" w:cs="宋体"/>
                <w:kern w:val="0"/>
                <w:lang w:val="en-US" w:eastAsia="zh-CN"/>
              </w:rPr>
              <w:t>乡</w:t>
            </w:r>
            <w:r>
              <w:rPr>
                <w:rFonts w:hint="eastAsia" w:ascii="宋体" w:hAnsi="宋体" w:cs="宋体"/>
                <w:kern w:val="0"/>
              </w:rPr>
              <w:t>人民政府停车场</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kern w:val="0"/>
                <w:sz w:val="24"/>
                <w:szCs w:val="24"/>
                <w:lang w:val="en-US" w:eastAsia="zh-CN" w:bidi="ar-SA"/>
              </w:rPr>
            </w:pPr>
            <w:r>
              <w:rPr>
                <w:rFonts w:eastAsia="Tahoma"/>
                <w:kern w:val="0"/>
              </w:rPr>
              <w:t>CB-72</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卷洞村充电站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大石乡卷洞村办公室</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4</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kern w:val="0"/>
                <w:sz w:val="24"/>
                <w:szCs w:val="24"/>
                <w:lang w:val="en-US" w:eastAsia="zh-CN" w:bidi="ar-SA"/>
              </w:rPr>
            </w:pPr>
            <w:r>
              <w:rPr>
                <w:rFonts w:eastAsia="Tahoma"/>
                <w:kern w:val="0"/>
              </w:rPr>
              <w:t>CB-73</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清水村充电站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kern w:val="0"/>
              </w:rPr>
            </w:pPr>
            <w:r>
              <w:rPr>
                <w:rFonts w:hint="eastAsia" w:ascii="宋体" w:hAnsi="宋体" w:cs="宋体"/>
                <w:kern w:val="0"/>
              </w:rPr>
              <w:t>大石乡滴水村办公室</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2</w:t>
            </w:r>
          </w:p>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宋体"/>
                <w:kern w:val="0"/>
                <w:lang w:val="en-US" w:eastAsia="zh-CN"/>
              </w:rPr>
            </w:pPr>
            <w:r>
              <w:rPr>
                <w:rFonts w:eastAsia="Tahoma"/>
                <w:kern w:val="0"/>
              </w:rPr>
              <w:t>CB-74</w:t>
            </w:r>
          </w:p>
        </w:tc>
        <w:tc>
          <w:tcPr>
            <w:tcW w:w="2229" w:type="dxa"/>
            <w:vMerge w:val="continue"/>
            <w:shd w:val="clear" w:color="auto" w:fill="auto"/>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szCs w:val="24"/>
              </w:rPr>
            </w:pPr>
          </w:p>
        </w:tc>
        <w:tc>
          <w:tcPr>
            <w:tcW w:w="5295"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高生村充电站</w:t>
            </w:r>
          </w:p>
        </w:tc>
        <w:tc>
          <w:tcPr>
            <w:tcW w:w="7032" w:type="dxa"/>
            <w:shd w:val="clear" w:color="auto" w:fill="auto"/>
            <w:vAlign w:val="center"/>
          </w:tcPr>
          <w:p>
            <w:pPr>
              <w:keepNext w:val="0"/>
              <w:keepLines w:val="0"/>
              <w:pageBreakBefore w:val="0"/>
              <w:widowControl/>
              <w:kinsoku/>
              <w:wordWrap/>
              <w:overflowPunct/>
              <w:topLinePunct w:val="0"/>
              <w:autoSpaceDE/>
              <w:autoSpaceDN/>
              <w:bidi w:val="0"/>
              <w:snapToGrid/>
              <w:spacing w:line="240" w:lineRule="auto"/>
              <w:ind w:firstLine="480"/>
              <w:jc w:val="center"/>
              <w:textAlignment w:val="auto"/>
              <w:rPr>
                <w:rFonts w:ascii="宋体" w:hAnsi="宋体"/>
              </w:rPr>
            </w:pPr>
            <w:r>
              <w:rPr>
                <w:rFonts w:hint="eastAsia" w:ascii="宋体" w:hAnsi="宋体" w:cs="宋体"/>
                <w:kern w:val="0"/>
              </w:rPr>
              <w:t>大石乡高生村办公室</w:t>
            </w:r>
          </w:p>
        </w:tc>
        <w:tc>
          <w:tcPr>
            <w:tcW w:w="231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4</w:t>
            </w:r>
          </w:p>
          <w:bookmarkEnd w:id="15"/>
        </w:tc>
        <w:tc>
          <w:tcPr>
            <w:tcW w:w="3320" w:type="dxa"/>
            <w:shd w:val="clear" w:color="auto" w:fill="auto"/>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6" w:type="dxa"/>
            <w:gridSpan w:val="4"/>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宋体" w:hAnsi="宋体"/>
                <w:color w:val="auto"/>
                <w:kern w:val="0"/>
                <w:szCs w:val="24"/>
              </w:rPr>
            </w:pPr>
            <w:r>
              <w:rPr>
                <w:rFonts w:hint="eastAsia" w:ascii="宋体" w:hAnsi="宋体"/>
                <w:color w:val="auto"/>
                <w:kern w:val="0"/>
                <w:szCs w:val="24"/>
              </w:rPr>
              <w:t>合计</w:t>
            </w:r>
          </w:p>
        </w:tc>
        <w:tc>
          <w:tcPr>
            <w:tcW w:w="2310"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r>
              <w:rPr>
                <w:rFonts w:hint="eastAsia"/>
                <w:color w:val="auto"/>
              </w:rPr>
              <w:t>6</w:t>
            </w:r>
            <w:r>
              <w:rPr>
                <w:rFonts w:hint="eastAsia"/>
                <w:color w:val="auto"/>
                <w:lang w:val="en-US" w:eastAsia="zh-CN"/>
              </w:rPr>
              <w:t>14</w:t>
            </w:r>
            <w:r>
              <w:rPr>
                <w:rFonts w:hint="eastAsia"/>
                <w:color w:val="auto"/>
              </w:rPr>
              <w:t>个</w:t>
            </w:r>
          </w:p>
        </w:tc>
        <w:tc>
          <w:tcPr>
            <w:tcW w:w="3320" w:type="dxa"/>
            <w:vAlign w:val="center"/>
          </w:tcPr>
          <w:p>
            <w:pPr>
              <w:pStyle w:val="1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rPr>
            </w:pPr>
          </w:p>
        </w:tc>
      </w:tr>
    </w:tbl>
    <w:p>
      <w:pPr>
        <w:pStyle w:val="3"/>
        <w:spacing w:before="0" w:after="0" w:line="240" w:lineRule="auto"/>
        <w:ind w:firstLine="0" w:firstLineChars="0"/>
        <w:jc w:val="left"/>
        <w:rPr>
          <w:rFonts w:hint="eastAsia" w:ascii="Times New Roman" w:hAnsi="Times New Roman" w:cs="Times New Roman"/>
          <w:sz w:val="36"/>
        </w:rPr>
      </w:pPr>
      <w:bookmarkStart w:id="16" w:name="_Toc157635373"/>
    </w:p>
    <w:p>
      <w:pPr>
        <w:ind w:left="0" w:leftChars="0" w:firstLine="0" w:firstLineChars="0"/>
        <w:rPr>
          <w:rFonts w:hint="eastAsia" w:ascii="Times New Roman" w:hAnsi="Times New Roman" w:cs="Times New Roman"/>
          <w:sz w:val="36"/>
        </w:rPr>
      </w:pPr>
      <w:r>
        <w:rPr>
          <w:rFonts w:hint="eastAsia" w:ascii="Times New Roman" w:hAnsi="Times New Roman" w:cs="Times New Roman"/>
          <w:sz w:val="36"/>
        </w:rPr>
        <w:br w:type="page"/>
      </w:r>
    </w:p>
    <w:p>
      <w:pPr>
        <w:pStyle w:val="3"/>
        <w:spacing w:before="0" w:after="0" w:line="240" w:lineRule="auto"/>
        <w:ind w:firstLine="0" w:firstLineChars="0"/>
        <w:jc w:val="left"/>
        <w:rPr>
          <w:rFonts w:ascii="Times New Roman" w:hAnsi="Times New Roman" w:cs="Times New Roman"/>
          <w:sz w:val="36"/>
        </w:rPr>
      </w:pPr>
      <w:r>
        <w:rPr>
          <w:rFonts w:hint="eastAsia" w:ascii="Times New Roman" w:hAnsi="Times New Roman" w:cs="Times New Roman"/>
          <w:sz w:val="36"/>
        </w:rPr>
        <w:t>附表</w:t>
      </w:r>
      <w:r>
        <w:rPr>
          <w:rFonts w:ascii="Times New Roman" w:hAnsi="Times New Roman" w:cs="Times New Roman"/>
          <w:sz w:val="36"/>
        </w:rPr>
        <w:t>5</w:t>
      </w:r>
      <w:r>
        <w:rPr>
          <w:rFonts w:hint="eastAsia" w:ascii="Times New Roman" w:hAnsi="Times New Roman" w:cs="Times New Roman"/>
          <w:sz w:val="36"/>
        </w:rPr>
        <w:t xml:space="preserve"> 公共充电设施统计表</w:t>
      </w:r>
      <w:bookmarkEnd w:id="16"/>
    </w:p>
    <w:tbl>
      <w:tblPr>
        <w:tblStyle w:val="8"/>
        <w:tblW w:w="21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98"/>
        <w:gridCol w:w="4168"/>
        <w:gridCol w:w="4276"/>
        <w:gridCol w:w="2993"/>
        <w:gridCol w:w="3990"/>
        <w:gridCol w:w="3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tblHeader/>
          <w:jc w:val="center"/>
        </w:trPr>
        <w:tc>
          <w:tcPr>
            <w:tcW w:w="2098" w:type="dxa"/>
            <w:tcBorders>
              <w:top w:val="single" w:color="auto" w:sz="12" w:space="0"/>
              <w:left w:val="single" w:color="auto" w:sz="12" w:space="0"/>
              <w:bottom w:val="single" w:color="auto" w:sz="4" w:space="0"/>
            </w:tcBorders>
            <w:shd w:val="clear" w:color="auto" w:fill="auto"/>
          </w:tcPr>
          <w:p>
            <w:pPr>
              <w:pStyle w:val="18"/>
              <w:ind w:firstLine="0" w:firstLineChars="0"/>
              <w:jc w:val="center"/>
              <w:rPr>
                <w:rFonts w:asciiTheme="majorEastAsia" w:hAnsiTheme="majorEastAsia" w:eastAsiaTheme="majorEastAsia"/>
                <w:color w:val="auto"/>
                <w:sz w:val="28"/>
                <w:highlight w:val="none"/>
              </w:rPr>
            </w:pPr>
            <w:r>
              <w:rPr>
                <w:rFonts w:hint="eastAsia" w:asciiTheme="majorEastAsia" w:hAnsiTheme="majorEastAsia" w:eastAsiaTheme="majorEastAsia"/>
                <w:color w:val="auto"/>
                <w:sz w:val="28"/>
                <w:highlight w:val="none"/>
              </w:rPr>
              <w:t>所在区域</w:t>
            </w:r>
          </w:p>
        </w:tc>
        <w:tc>
          <w:tcPr>
            <w:tcW w:w="4168" w:type="dxa"/>
            <w:tcBorders>
              <w:top w:val="single" w:color="auto" w:sz="12" w:space="0"/>
              <w:bottom w:val="single" w:color="auto" w:sz="4" w:space="0"/>
            </w:tcBorders>
            <w:shd w:val="clear" w:color="auto" w:fill="auto"/>
          </w:tcPr>
          <w:p>
            <w:pPr>
              <w:pStyle w:val="18"/>
              <w:ind w:firstLine="0" w:firstLineChars="0"/>
              <w:jc w:val="center"/>
              <w:rPr>
                <w:rFonts w:hint="eastAsia" w:asciiTheme="majorEastAsia" w:hAnsiTheme="majorEastAsia" w:eastAsiaTheme="majorEastAsia"/>
                <w:color w:val="auto"/>
                <w:sz w:val="28"/>
                <w:highlight w:val="none"/>
                <w:lang w:val="en-US" w:eastAsia="zh-CN"/>
              </w:rPr>
            </w:pPr>
            <w:r>
              <w:rPr>
                <w:rFonts w:hint="eastAsia" w:asciiTheme="majorEastAsia" w:hAnsiTheme="majorEastAsia" w:eastAsiaTheme="majorEastAsia"/>
                <w:color w:val="auto"/>
                <w:sz w:val="28"/>
                <w:highlight w:val="none"/>
              </w:rPr>
              <w:t>规划充电站（个）</w:t>
            </w:r>
          </w:p>
        </w:tc>
        <w:tc>
          <w:tcPr>
            <w:tcW w:w="4276" w:type="dxa"/>
            <w:tcBorders>
              <w:top w:val="single" w:color="auto" w:sz="12" w:space="0"/>
              <w:bottom w:val="single" w:color="auto" w:sz="4" w:space="0"/>
            </w:tcBorders>
            <w:shd w:val="clear" w:color="auto" w:fill="auto"/>
            <w:vAlign w:val="center"/>
          </w:tcPr>
          <w:p>
            <w:pPr>
              <w:pStyle w:val="18"/>
              <w:ind w:firstLine="0" w:firstLineChars="0"/>
              <w:jc w:val="center"/>
              <w:rPr>
                <w:rFonts w:asciiTheme="majorEastAsia" w:hAnsiTheme="majorEastAsia" w:eastAsiaTheme="majorEastAsia"/>
                <w:color w:val="auto"/>
                <w:sz w:val="28"/>
                <w:highlight w:val="none"/>
              </w:rPr>
            </w:pPr>
            <w:r>
              <w:rPr>
                <w:rFonts w:hint="eastAsia" w:asciiTheme="majorEastAsia" w:hAnsiTheme="majorEastAsia" w:eastAsiaTheme="majorEastAsia"/>
                <w:color w:val="auto"/>
                <w:sz w:val="28"/>
                <w:highlight w:val="none"/>
              </w:rPr>
              <w:t>储备充电站（个）</w:t>
            </w:r>
          </w:p>
        </w:tc>
        <w:tc>
          <w:tcPr>
            <w:tcW w:w="2993" w:type="dxa"/>
            <w:tcBorders>
              <w:top w:val="single" w:color="auto" w:sz="12" w:space="0"/>
              <w:bottom w:val="single" w:color="auto" w:sz="4" w:space="0"/>
            </w:tcBorders>
            <w:shd w:val="clear" w:color="auto" w:fill="auto"/>
          </w:tcPr>
          <w:p>
            <w:pPr>
              <w:pStyle w:val="18"/>
              <w:ind w:firstLine="0" w:firstLineChars="0"/>
              <w:jc w:val="center"/>
              <w:rPr>
                <w:rFonts w:asciiTheme="majorEastAsia" w:hAnsiTheme="majorEastAsia" w:eastAsiaTheme="majorEastAsia"/>
                <w:color w:val="auto"/>
                <w:sz w:val="28"/>
                <w:highlight w:val="none"/>
              </w:rPr>
            </w:pPr>
            <w:r>
              <w:rPr>
                <w:rFonts w:hint="eastAsia" w:asciiTheme="majorEastAsia" w:hAnsiTheme="majorEastAsia" w:eastAsiaTheme="majorEastAsia"/>
                <w:color w:val="auto"/>
                <w:sz w:val="28"/>
                <w:highlight w:val="none"/>
              </w:rPr>
              <w:t>所在区域</w:t>
            </w:r>
          </w:p>
        </w:tc>
        <w:tc>
          <w:tcPr>
            <w:tcW w:w="3990" w:type="dxa"/>
            <w:tcBorders>
              <w:top w:val="single" w:color="auto" w:sz="12" w:space="0"/>
              <w:bottom w:val="single" w:color="auto" w:sz="4" w:space="0"/>
            </w:tcBorders>
            <w:shd w:val="clear" w:color="auto" w:fill="auto"/>
          </w:tcPr>
          <w:p>
            <w:pPr>
              <w:pStyle w:val="18"/>
              <w:ind w:firstLine="0" w:firstLineChars="0"/>
              <w:jc w:val="center"/>
              <w:rPr>
                <w:rFonts w:hint="eastAsia" w:asciiTheme="majorEastAsia" w:hAnsiTheme="majorEastAsia" w:eastAsiaTheme="majorEastAsia"/>
                <w:color w:val="auto"/>
                <w:sz w:val="28"/>
                <w:highlight w:val="none"/>
                <w:lang w:val="en-US" w:eastAsia="zh-CN"/>
              </w:rPr>
            </w:pPr>
            <w:r>
              <w:rPr>
                <w:rFonts w:hint="eastAsia" w:asciiTheme="majorEastAsia" w:hAnsiTheme="majorEastAsia" w:eastAsiaTheme="majorEastAsia"/>
                <w:color w:val="auto"/>
                <w:sz w:val="28"/>
                <w:highlight w:val="none"/>
              </w:rPr>
              <w:t>规划充电站（个）</w:t>
            </w:r>
          </w:p>
        </w:tc>
        <w:tc>
          <w:tcPr>
            <w:tcW w:w="3512" w:type="dxa"/>
            <w:tcBorders>
              <w:top w:val="single" w:color="auto" w:sz="12" w:space="0"/>
              <w:bottom w:val="single" w:color="auto" w:sz="4" w:space="0"/>
              <w:right w:val="single" w:color="auto" w:sz="12" w:space="0"/>
            </w:tcBorders>
            <w:shd w:val="clear" w:color="auto" w:fill="auto"/>
            <w:vAlign w:val="center"/>
          </w:tcPr>
          <w:p>
            <w:pPr>
              <w:pStyle w:val="18"/>
              <w:ind w:firstLine="0" w:firstLineChars="0"/>
              <w:jc w:val="center"/>
              <w:rPr>
                <w:rFonts w:asciiTheme="majorEastAsia" w:hAnsiTheme="majorEastAsia" w:eastAsiaTheme="majorEastAsia"/>
                <w:color w:val="auto"/>
                <w:sz w:val="28"/>
                <w:highlight w:val="none"/>
              </w:rPr>
            </w:pPr>
            <w:r>
              <w:rPr>
                <w:rFonts w:hint="eastAsia" w:asciiTheme="majorEastAsia" w:hAnsiTheme="majorEastAsia" w:eastAsiaTheme="majorEastAsia"/>
                <w:color w:val="auto"/>
                <w:sz w:val="28"/>
                <w:highlight w:val="none"/>
              </w:rPr>
              <w:t>储备充电站（个）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垫江城区</w:t>
            </w:r>
          </w:p>
        </w:tc>
        <w:tc>
          <w:tcPr>
            <w:tcW w:w="4168" w:type="dxa"/>
            <w:shd w:val="clear" w:color="auto" w:fill="auto"/>
            <w:vAlign w:val="center"/>
          </w:tcPr>
          <w:p>
            <w:pPr>
              <w:pStyle w:val="18"/>
              <w:spacing w:line="312" w:lineRule="auto"/>
              <w:ind w:firstLine="0" w:firstLineChars="0"/>
              <w:jc w:val="center"/>
              <w:rPr>
                <w:rFonts w:hint="default" w:cs="方正仿宋_GBK" w:asciiTheme="majorEastAsia" w:hAnsiTheme="majorEastAsia" w:eastAsiaTheme="majorEastAsia"/>
                <w:color w:val="auto"/>
                <w:sz w:val="22"/>
                <w:szCs w:val="22"/>
                <w:highlight w:val="none"/>
                <w:lang w:val="en-US" w:eastAsia="zh-CN"/>
              </w:rPr>
            </w:pPr>
            <w:r>
              <w:rPr>
                <w:rFonts w:hint="eastAsia" w:cs="方正仿宋_GBK" w:asciiTheme="majorEastAsia" w:hAnsiTheme="majorEastAsia" w:eastAsiaTheme="majorEastAsia"/>
                <w:color w:val="auto"/>
                <w:sz w:val="28"/>
                <w:highlight w:val="none"/>
                <w:lang w:val="en-US" w:eastAsia="zh-CN"/>
              </w:rPr>
              <w:t>30</w:t>
            </w:r>
          </w:p>
        </w:tc>
        <w:tc>
          <w:tcPr>
            <w:tcW w:w="4276"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11</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杠家镇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高安镇</w:t>
            </w:r>
          </w:p>
        </w:tc>
        <w:tc>
          <w:tcPr>
            <w:tcW w:w="4168" w:type="dxa"/>
            <w:shd w:val="clear" w:color="auto" w:fill="auto"/>
            <w:vAlign w:val="center"/>
          </w:tcPr>
          <w:p>
            <w:pPr>
              <w:pStyle w:val="18"/>
              <w:spacing w:line="312" w:lineRule="auto"/>
              <w:ind w:firstLine="0" w:firstLineChars="0"/>
              <w:jc w:val="center"/>
              <w:rPr>
                <w:rFonts w:hint="eastAsia" w:cs="方正仿宋_GBK" w:asciiTheme="majorEastAsia" w:hAnsiTheme="majorEastAsia" w:eastAsiaTheme="majorEastAsia"/>
                <w:color w:val="auto"/>
                <w:kern w:val="0"/>
                <w:sz w:val="22"/>
                <w:szCs w:val="22"/>
                <w:highlight w:val="none"/>
              </w:rPr>
            </w:pPr>
            <w:r>
              <w:rPr>
                <w:rFonts w:hint="eastAsia" w:cs="方正仿宋_GBK" w:asciiTheme="majorEastAsia" w:hAnsiTheme="majorEastAsia" w:eastAsiaTheme="majorEastAsia"/>
                <w:color w:val="auto"/>
                <w:kern w:val="0"/>
                <w:sz w:val="28"/>
                <w:highlight w:val="none"/>
              </w:rPr>
              <w:t>5</w:t>
            </w:r>
          </w:p>
        </w:tc>
        <w:tc>
          <w:tcPr>
            <w:tcW w:w="4276"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kern w:val="0"/>
                <w:sz w:val="28"/>
                <w:highlight w:val="none"/>
                <w:lang w:val="en-US" w:eastAsia="zh-CN"/>
              </w:rPr>
              <w:t>5</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高峰镇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澄溪镇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2"/>
                <w:szCs w:val="22"/>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6</w:t>
            </w:r>
          </w:p>
        </w:tc>
        <w:tc>
          <w:tcPr>
            <w:tcW w:w="4276" w:type="dxa"/>
            <w:shd w:val="clear" w:color="auto" w:fill="auto"/>
            <w:vAlign w:val="center"/>
          </w:tcPr>
          <w:p>
            <w:pPr>
              <w:widowControl/>
              <w:spacing w:line="312" w:lineRule="auto"/>
              <w:ind w:firstLine="0" w:firstLineChars="0"/>
              <w:jc w:val="center"/>
              <w:textAlignment w:val="center"/>
              <w:rPr>
                <w:rFonts w:hint="default" w:cs="方正仿宋_GBK" w:asciiTheme="majorEastAsia" w:hAnsiTheme="majorEastAsia" w:eastAsiaTheme="majorEastAsia"/>
                <w:sz w:val="28"/>
                <w:szCs w:val="28"/>
                <w:highlight w:val="none"/>
                <w:lang w:val="en-US" w:eastAsia="zh-CN"/>
              </w:rPr>
            </w:pPr>
            <w:r>
              <w:rPr>
                <w:rFonts w:hint="eastAsia" w:cs="方正仿宋_GBK" w:asciiTheme="majorEastAsia" w:hAnsiTheme="majorEastAsia" w:eastAsiaTheme="majorEastAsia"/>
                <w:sz w:val="28"/>
                <w:szCs w:val="28"/>
                <w:highlight w:val="none"/>
                <w:lang w:val="en-US" w:eastAsia="zh-CN"/>
              </w:rPr>
              <w:t>4</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包家镇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黄沙镇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2"/>
                <w:szCs w:val="22"/>
                <w:highlight w:val="none"/>
              </w:rPr>
            </w:pPr>
            <w:r>
              <w:rPr>
                <w:rFonts w:hint="eastAsia" w:cs="方正仿宋_GBK" w:asciiTheme="majorEastAsia" w:hAnsiTheme="majorEastAsia" w:eastAsiaTheme="majorEastAsia"/>
                <w:kern w:val="0"/>
                <w:sz w:val="28"/>
                <w:szCs w:val="28"/>
                <w:highlight w:val="none"/>
              </w:rPr>
              <w:t>1</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3</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鹤游镇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长龙镇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2"/>
                <w:szCs w:val="22"/>
                <w:highlight w:val="none"/>
              </w:rPr>
            </w:pPr>
            <w:r>
              <w:rPr>
                <w:rFonts w:hint="eastAsia" w:cs="方正仿宋_GBK" w:asciiTheme="majorEastAsia" w:hAnsiTheme="majorEastAsia" w:eastAsiaTheme="majorEastAsia"/>
                <w:kern w:val="0"/>
                <w:sz w:val="28"/>
                <w:szCs w:val="28"/>
                <w:highlight w:val="none"/>
              </w:rPr>
              <w:t>1</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5</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三溪镇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周嘉镇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2"/>
                <w:szCs w:val="22"/>
                <w:highlight w:val="none"/>
              </w:rPr>
            </w:pPr>
            <w:r>
              <w:rPr>
                <w:rFonts w:hint="eastAsia" w:cs="方正仿宋_GBK" w:asciiTheme="majorEastAsia" w:hAnsiTheme="majorEastAsia" w:eastAsiaTheme="majorEastAsia"/>
                <w:kern w:val="0"/>
                <w:sz w:val="28"/>
                <w:szCs w:val="28"/>
                <w:highlight w:val="none"/>
              </w:rPr>
              <w:t>1</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3</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普顺镇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新民镇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2"/>
                <w:szCs w:val="22"/>
                <w:highlight w:val="none"/>
              </w:rPr>
            </w:pPr>
            <w:r>
              <w:rPr>
                <w:rFonts w:hint="eastAsia" w:cs="方正仿宋_GBK" w:asciiTheme="majorEastAsia" w:hAnsiTheme="majorEastAsia" w:eastAsiaTheme="majorEastAsia"/>
                <w:kern w:val="0"/>
                <w:sz w:val="28"/>
                <w:szCs w:val="28"/>
                <w:highlight w:val="none"/>
                <w:lang w:val="en-US" w:eastAsia="zh-CN"/>
              </w:rPr>
              <w:t>2</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3</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永安镇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2</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太平镇</w:t>
            </w:r>
          </w:p>
        </w:tc>
        <w:tc>
          <w:tcPr>
            <w:tcW w:w="4168" w:type="dxa"/>
            <w:shd w:val="clear" w:color="auto" w:fill="auto"/>
            <w:vAlign w:val="center"/>
          </w:tcPr>
          <w:p>
            <w:pPr>
              <w:widowControl/>
              <w:spacing w:line="312" w:lineRule="auto"/>
              <w:ind w:firstLine="0" w:firstLineChars="0"/>
              <w:jc w:val="center"/>
              <w:textAlignment w:val="center"/>
              <w:rPr>
                <w:rFonts w:hint="default" w:cs="方正仿宋_GBK" w:asciiTheme="majorEastAsia" w:hAnsiTheme="majorEastAsia" w:eastAsiaTheme="majorEastAsia"/>
                <w:kern w:val="0"/>
                <w:sz w:val="22"/>
                <w:szCs w:val="22"/>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5</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lang w:val="en-US" w:eastAsia="zh-CN"/>
              </w:rPr>
              <w:t>2</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永平镇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坪山镇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3</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裴兴镇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砚台镇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2</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白家镇</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hint="default" w:cs="方正仿宋_GBK" w:asciiTheme="majorEastAsia" w:hAnsiTheme="majorEastAsia" w:eastAsiaTheme="majorEastAsia"/>
                <w:kern w:val="0"/>
                <w:sz w:val="28"/>
                <w:szCs w:val="28"/>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曹回镇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2</w:t>
            </w:r>
          </w:p>
        </w:tc>
        <w:tc>
          <w:tcPr>
            <w:tcW w:w="4276"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sz w:val="28"/>
                <w:szCs w:val="28"/>
                <w:highlight w:val="none"/>
                <w:lang w:eastAsia="zh-CN"/>
              </w:rPr>
            </w:pPr>
            <w:r>
              <w:rPr>
                <w:rFonts w:hint="eastAsia" w:cs="方正仿宋_GBK" w:asciiTheme="majorEastAsia" w:hAnsiTheme="majorEastAsia" w:eastAsiaTheme="majorEastAsia"/>
                <w:kern w:val="0"/>
                <w:sz w:val="28"/>
                <w:szCs w:val="28"/>
                <w:highlight w:val="none"/>
                <w:lang w:val="en-US" w:eastAsia="zh-CN"/>
              </w:rPr>
              <w:t>3</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沙河乡</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沙坪镇</w:t>
            </w:r>
          </w:p>
        </w:tc>
        <w:tc>
          <w:tcPr>
            <w:tcW w:w="4168"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lang w:val="en-US" w:eastAsia="zh-CN"/>
              </w:rPr>
            </w:pPr>
            <w:r>
              <w:rPr>
                <w:rFonts w:hint="eastAsia" w:cs="方正仿宋_GBK" w:asciiTheme="majorEastAsia" w:hAnsiTheme="majorEastAsia" w:eastAsiaTheme="majorEastAsia"/>
                <w:kern w:val="0"/>
                <w:sz w:val="28"/>
                <w:szCs w:val="28"/>
                <w:highlight w:val="none"/>
                <w:lang w:val="en-US" w:eastAsia="zh-CN"/>
              </w:rPr>
              <w:t>6</w:t>
            </w:r>
          </w:p>
        </w:tc>
        <w:tc>
          <w:tcPr>
            <w:tcW w:w="4276"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sz w:val="28"/>
                <w:szCs w:val="28"/>
                <w:highlight w:val="none"/>
                <w:lang w:val="en-US" w:eastAsia="zh-CN"/>
              </w:rPr>
            </w:pPr>
            <w:r>
              <w:rPr>
                <w:rFonts w:hint="eastAsia" w:cs="方正仿宋_GBK" w:asciiTheme="majorEastAsia" w:hAnsiTheme="majorEastAsia" w:eastAsiaTheme="majorEastAsia"/>
                <w:sz w:val="28"/>
                <w:szCs w:val="28"/>
                <w:highlight w:val="none"/>
                <w:lang w:val="en-US" w:eastAsia="zh-CN"/>
              </w:rPr>
              <w:t>6</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大石乡</w:t>
            </w:r>
          </w:p>
        </w:tc>
        <w:tc>
          <w:tcPr>
            <w:tcW w:w="3990" w:type="dxa"/>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1</w:t>
            </w: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jc w:val="center"/>
        </w:trPr>
        <w:tc>
          <w:tcPr>
            <w:tcW w:w="2098" w:type="dxa"/>
            <w:tcBorders>
              <w:left w:val="single" w:color="auto" w:sz="12" w:space="0"/>
              <w:bottom w:val="single" w:color="auto" w:sz="4"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五洞镇</w:t>
            </w:r>
          </w:p>
        </w:tc>
        <w:tc>
          <w:tcPr>
            <w:tcW w:w="4168" w:type="dxa"/>
            <w:tcBorders>
              <w:bottom w:val="single" w:color="auto" w:sz="4" w:space="0"/>
            </w:tcBorders>
            <w:shd w:val="clear" w:color="auto" w:fill="auto"/>
            <w:vAlign w:val="center"/>
          </w:tcPr>
          <w:p>
            <w:pPr>
              <w:widowControl/>
              <w:spacing w:line="312" w:lineRule="auto"/>
              <w:ind w:firstLine="0" w:firstLineChars="0"/>
              <w:jc w:val="center"/>
              <w:textAlignment w:val="center"/>
              <w:rPr>
                <w:rFonts w:hint="eastAsia" w:cs="方正仿宋_GBK" w:asciiTheme="majorEastAsia" w:hAnsiTheme="majorEastAsia" w:eastAsiaTheme="majorEastAsia"/>
                <w:kern w:val="0"/>
                <w:sz w:val="28"/>
                <w:szCs w:val="28"/>
                <w:highlight w:val="none"/>
              </w:rPr>
            </w:pPr>
            <w:r>
              <w:rPr>
                <w:rFonts w:hint="eastAsia" w:cs="方正仿宋_GBK" w:asciiTheme="majorEastAsia" w:hAnsiTheme="majorEastAsia" w:eastAsiaTheme="majorEastAsia"/>
                <w:kern w:val="0"/>
                <w:sz w:val="28"/>
                <w:szCs w:val="28"/>
                <w:highlight w:val="none"/>
              </w:rPr>
              <w:t>2</w:t>
            </w:r>
          </w:p>
        </w:tc>
        <w:tc>
          <w:tcPr>
            <w:tcW w:w="4276" w:type="dxa"/>
            <w:tcBorders>
              <w:bottom w:val="single" w:color="auto" w:sz="4"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kern w:val="0"/>
                <w:sz w:val="28"/>
                <w:szCs w:val="28"/>
                <w:highlight w:val="none"/>
              </w:rPr>
              <w:t>3</w:t>
            </w:r>
          </w:p>
        </w:tc>
        <w:tc>
          <w:tcPr>
            <w:tcW w:w="2993" w:type="dxa"/>
            <w:tcBorders>
              <w:bottom w:val="single" w:color="auto" w:sz="4"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p>
        </w:tc>
        <w:tc>
          <w:tcPr>
            <w:tcW w:w="3990" w:type="dxa"/>
            <w:tcBorders>
              <w:bottom w:val="single" w:color="auto" w:sz="4"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p>
        </w:tc>
        <w:tc>
          <w:tcPr>
            <w:tcW w:w="3512" w:type="dxa"/>
            <w:tcBorders>
              <w:bottom w:val="single" w:color="auto" w:sz="4" w:space="0"/>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站点合计</w:t>
            </w:r>
          </w:p>
        </w:tc>
        <w:tc>
          <w:tcPr>
            <w:tcW w:w="4168"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80</w:t>
            </w:r>
            <w:r>
              <w:rPr>
                <w:rFonts w:hint="eastAsia" w:cs="方正仿宋_GBK" w:asciiTheme="majorEastAsia" w:hAnsiTheme="majorEastAsia" w:eastAsiaTheme="majorEastAsia"/>
                <w:sz w:val="28"/>
                <w:szCs w:val="28"/>
                <w:highlight w:val="none"/>
              </w:rPr>
              <w:t>座</w:t>
            </w:r>
          </w:p>
        </w:tc>
        <w:tc>
          <w:tcPr>
            <w:tcW w:w="4276"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rPr>
              <w:t>7</w:t>
            </w:r>
            <w:r>
              <w:rPr>
                <w:rFonts w:hint="eastAsia" w:cs="方正仿宋_GBK" w:asciiTheme="majorEastAsia" w:hAnsiTheme="majorEastAsia" w:eastAsiaTheme="majorEastAsia"/>
                <w:sz w:val="28"/>
                <w:szCs w:val="28"/>
                <w:highlight w:val="none"/>
                <w:lang w:val="en-US" w:eastAsia="zh-CN"/>
              </w:rPr>
              <w:t>4</w:t>
            </w:r>
            <w:r>
              <w:rPr>
                <w:rFonts w:hint="eastAsia" w:cs="方正仿宋_GBK" w:asciiTheme="majorEastAsia" w:hAnsiTheme="majorEastAsia" w:eastAsiaTheme="majorEastAsia"/>
                <w:sz w:val="28"/>
                <w:szCs w:val="28"/>
                <w:highlight w:val="none"/>
              </w:rPr>
              <w:t>座</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p>
        </w:tc>
        <w:tc>
          <w:tcPr>
            <w:tcW w:w="3990" w:type="dxa"/>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p>
        </w:tc>
        <w:tc>
          <w:tcPr>
            <w:tcW w:w="3512" w:type="dxa"/>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bottom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充电车位合计</w:t>
            </w:r>
          </w:p>
        </w:tc>
        <w:tc>
          <w:tcPr>
            <w:tcW w:w="4168" w:type="dxa"/>
            <w:tcBorders>
              <w:bottom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1085</w:t>
            </w:r>
            <w:r>
              <w:rPr>
                <w:rFonts w:hint="eastAsia" w:cs="方正仿宋_GBK" w:asciiTheme="majorEastAsia" w:hAnsiTheme="majorEastAsia" w:eastAsiaTheme="majorEastAsia"/>
                <w:sz w:val="28"/>
                <w:szCs w:val="28"/>
                <w:highlight w:val="none"/>
              </w:rPr>
              <w:t>个</w:t>
            </w:r>
          </w:p>
        </w:tc>
        <w:tc>
          <w:tcPr>
            <w:tcW w:w="4276" w:type="dxa"/>
            <w:tcBorders>
              <w:bottom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rPr>
              <w:t>6</w:t>
            </w:r>
            <w:r>
              <w:rPr>
                <w:rFonts w:hint="eastAsia" w:cs="方正仿宋_GBK" w:asciiTheme="majorEastAsia" w:hAnsiTheme="majorEastAsia" w:eastAsiaTheme="majorEastAsia"/>
                <w:sz w:val="28"/>
                <w:szCs w:val="28"/>
                <w:highlight w:val="none"/>
                <w:lang w:val="en-US" w:eastAsia="zh-CN"/>
              </w:rPr>
              <w:t>14</w:t>
            </w:r>
            <w:r>
              <w:rPr>
                <w:rFonts w:hint="eastAsia" w:cs="方正仿宋_GBK" w:asciiTheme="majorEastAsia" w:hAnsiTheme="majorEastAsia" w:eastAsiaTheme="majorEastAsia"/>
                <w:sz w:val="28"/>
                <w:szCs w:val="28"/>
                <w:highlight w:val="none"/>
              </w:rPr>
              <w:t>个</w:t>
            </w:r>
          </w:p>
        </w:tc>
        <w:tc>
          <w:tcPr>
            <w:tcW w:w="2993" w:type="dxa"/>
            <w:tcBorders>
              <w:bottom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p>
        </w:tc>
        <w:tc>
          <w:tcPr>
            <w:tcW w:w="3990" w:type="dxa"/>
            <w:tcBorders>
              <w:bottom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p>
        </w:tc>
        <w:tc>
          <w:tcPr>
            <w:tcW w:w="3512" w:type="dxa"/>
            <w:tcBorders>
              <w:bottom w:val="single" w:color="auto" w:sz="12" w:space="0"/>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top w:val="single" w:color="auto" w:sz="12" w:space="0"/>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现状站点合计</w:t>
            </w:r>
          </w:p>
        </w:tc>
        <w:tc>
          <w:tcPr>
            <w:tcW w:w="8444" w:type="dxa"/>
            <w:gridSpan w:val="2"/>
            <w:tcBorders>
              <w:top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rPr>
              <w:t>19座</w:t>
            </w:r>
          </w:p>
        </w:tc>
        <w:tc>
          <w:tcPr>
            <w:tcW w:w="2993" w:type="dxa"/>
            <w:tcBorders>
              <w:top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现状充电车位</w:t>
            </w:r>
          </w:p>
        </w:tc>
        <w:tc>
          <w:tcPr>
            <w:tcW w:w="7502" w:type="dxa"/>
            <w:gridSpan w:val="2"/>
            <w:tcBorders>
              <w:top w:val="single" w:color="auto" w:sz="12" w:space="0"/>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rPr>
              <w:t>40</w:t>
            </w:r>
            <w:r>
              <w:rPr>
                <w:rFonts w:hint="eastAsia" w:cs="方正仿宋_GBK" w:asciiTheme="majorEastAsia" w:hAnsiTheme="majorEastAsia" w:eastAsiaTheme="majorEastAsia"/>
                <w:sz w:val="28"/>
                <w:szCs w:val="28"/>
                <w:highlight w:val="none"/>
                <w:lang w:val="en-US" w:eastAsia="zh-CN"/>
              </w:rPr>
              <w:t>8</w:t>
            </w:r>
            <w:r>
              <w:rPr>
                <w:rFonts w:hint="eastAsia" w:cs="方正仿宋_GBK" w:asciiTheme="majorEastAsia" w:hAnsiTheme="majorEastAsia" w:eastAsiaTheme="majorEastAsia"/>
                <w:sz w:val="28"/>
                <w:szCs w:val="28"/>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规划站点合计</w:t>
            </w:r>
          </w:p>
        </w:tc>
        <w:tc>
          <w:tcPr>
            <w:tcW w:w="8444" w:type="dxa"/>
            <w:gridSpan w:val="2"/>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80</w:t>
            </w:r>
            <w:r>
              <w:rPr>
                <w:rFonts w:hint="eastAsia" w:cs="方正仿宋_GBK" w:asciiTheme="majorEastAsia" w:hAnsiTheme="majorEastAsia" w:eastAsiaTheme="majorEastAsia"/>
                <w:sz w:val="28"/>
                <w:szCs w:val="28"/>
                <w:highlight w:val="none"/>
              </w:rPr>
              <w:t>座（超充站≥</w:t>
            </w:r>
            <w:r>
              <w:rPr>
                <w:rFonts w:hint="eastAsia" w:cs="方正仿宋_GBK" w:asciiTheme="majorEastAsia" w:hAnsiTheme="majorEastAsia" w:eastAsiaTheme="majorEastAsia"/>
                <w:sz w:val="28"/>
                <w:szCs w:val="28"/>
                <w:highlight w:val="none"/>
                <w:lang w:val="en-US" w:eastAsia="zh-CN"/>
              </w:rPr>
              <w:t>20</w:t>
            </w:r>
            <w:r>
              <w:rPr>
                <w:rFonts w:hint="eastAsia" w:cs="方正仿宋_GBK" w:asciiTheme="majorEastAsia" w:hAnsiTheme="majorEastAsia" w:eastAsiaTheme="majorEastAsia"/>
                <w:sz w:val="28"/>
                <w:szCs w:val="28"/>
                <w:highlight w:val="none"/>
              </w:rPr>
              <w:t>座）</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规划充电车位合计</w:t>
            </w:r>
          </w:p>
        </w:tc>
        <w:tc>
          <w:tcPr>
            <w:tcW w:w="7502" w:type="dxa"/>
            <w:gridSpan w:val="2"/>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1085</w:t>
            </w:r>
            <w:r>
              <w:rPr>
                <w:rFonts w:hint="eastAsia" w:cs="方正仿宋_GBK" w:asciiTheme="majorEastAsia" w:hAnsiTheme="majorEastAsia" w:eastAsiaTheme="majorEastAsia"/>
                <w:sz w:val="28"/>
                <w:szCs w:val="28"/>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2027年站点合计</w:t>
            </w:r>
          </w:p>
        </w:tc>
        <w:tc>
          <w:tcPr>
            <w:tcW w:w="8444" w:type="dxa"/>
            <w:gridSpan w:val="2"/>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99</w:t>
            </w:r>
            <w:r>
              <w:rPr>
                <w:rFonts w:hint="eastAsia" w:cs="方正仿宋_GBK" w:asciiTheme="majorEastAsia" w:hAnsiTheme="majorEastAsia" w:eastAsiaTheme="majorEastAsia"/>
                <w:sz w:val="28"/>
                <w:szCs w:val="28"/>
                <w:highlight w:val="none"/>
              </w:rPr>
              <w:t>座</w:t>
            </w:r>
          </w:p>
        </w:tc>
        <w:tc>
          <w:tcPr>
            <w:tcW w:w="2993" w:type="dxa"/>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2027年车位合计</w:t>
            </w:r>
          </w:p>
        </w:tc>
        <w:tc>
          <w:tcPr>
            <w:tcW w:w="7502" w:type="dxa"/>
            <w:gridSpan w:val="2"/>
            <w:tcBorders>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1493</w:t>
            </w:r>
            <w:r>
              <w:rPr>
                <w:rFonts w:hint="eastAsia" w:cs="方正仿宋_GBK" w:asciiTheme="majorEastAsia" w:hAnsiTheme="majorEastAsia" w:eastAsiaTheme="majorEastAsia"/>
                <w:sz w:val="28"/>
                <w:szCs w:val="28"/>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2098" w:type="dxa"/>
            <w:tcBorders>
              <w:left w:val="single" w:color="auto" w:sz="12" w:space="0"/>
              <w:bottom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储备站点合计</w:t>
            </w:r>
          </w:p>
        </w:tc>
        <w:tc>
          <w:tcPr>
            <w:tcW w:w="8444" w:type="dxa"/>
            <w:gridSpan w:val="2"/>
            <w:tcBorders>
              <w:bottom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74</w:t>
            </w:r>
            <w:r>
              <w:rPr>
                <w:rFonts w:hint="eastAsia" w:cs="方正仿宋_GBK" w:asciiTheme="majorEastAsia" w:hAnsiTheme="majorEastAsia" w:eastAsiaTheme="majorEastAsia"/>
                <w:sz w:val="28"/>
                <w:szCs w:val="28"/>
                <w:highlight w:val="none"/>
              </w:rPr>
              <w:t>座</w:t>
            </w:r>
          </w:p>
        </w:tc>
        <w:tc>
          <w:tcPr>
            <w:tcW w:w="2993" w:type="dxa"/>
            <w:tcBorders>
              <w:bottom w:val="single" w:color="auto" w:sz="12" w:space="0"/>
            </w:tcBorders>
            <w:shd w:val="clear" w:color="auto" w:fill="auto"/>
            <w:vAlign w:val="center"/>
          </w:tcPr>
          <w:p>
            <w:pPr>
              <w:pStyle w:val="18"/>
              <w:spacing w:line="312" w:lineRule="auto"/>
              <w:ind w:firstLine="0" w:firstLineChars="0"/>
              <w:jc w:val="center"/>
              <w:rPr>
                <w:rFonts w:cs="方正仿宋_GBK" w:asciiTheme="majorEastAsia" w:hAnsiTheme="majorEastAsia" w:eastAsiaTheme="majorEastAsia"/>
                <w:color w:val="auto"/>
                <w:sz w:val="28"/>
                <w:highlight w:val="none"/>
              </w:rPr>
            </w:pPr>
            <w:r>
              <w:rPr>
                <w:rFonts w:hint="eastAsia" w:cs="方正仿宋_GBK" w:asciiTheme="majorEastAsia" w:hAnsiTheme="majorEastAsia" w:eastAsiaTheme="majorEastAsia"/>
                <w:color w:val="auto"/>
                <w:sz w:val="28"/>
                <w:highlight w:val="none"/>
              </w:rPr>
              <w:t>储备充电车位合计</w:t>
            </w:r>
          </w:p>
        </w:tc>
        <w:tc>
          <w:tcPr>
            <w:tcW w:w="7502" w:type="dxa"/>
            <w:gridSpan w:val="2"/>
            <w:tcBorders>
              <w:bottom w:val="single" w:color="auto" w:sz="12" w:space="0"/>
              <w:right w:val="single" w:color="auto" w:sz="12" w:space="0"/>
            </w:tcBorders>
            <w:shd w:val="clear" w:color="auto" w:fill="auto"/>
            <w:vAlign w:val="center"/>
          </w:tcPr>
          <w:p>
            <w:pPr>
              <w:widowControl/>
              <w:spacing w:line="312" w:lineRule="auto"/>
              <w:ind w:firstLine="0" w:firstLineChars="0"/>
              <w:jc w:val="center"/>
              <w:textAlignment w:val="center"/>
              <w:rPr>
                <w:rFonts w:cs="方正仿宋_GBK" w:asciiTheme="majorEastAsia" w:hAnsiTheme="majorEastAsia" w:eastAsiaTheme="majorEastAsia"/>
                <w:sz w:val="28"/>
                <w:szCs w:val="28"/>
                <w:highlight w:val="none"/>
              </w:rPr>
            </w:pPr>
            <w:r>
              <w:rPr>
                <w:rFonts w:hint="eastAsia" w:cs="方正仿宋_GBK" w:asciiTheme="majorEastAsia" w:hAnsiTheme="majorEastAsia" w:eastAsiaTheme="majorEastAsia"/>
                <w:sz w:val="28"/>
                <w:szCs w:val="28"/>
                <w:highlight w:val="none"/>
                <w:lang w:val="en-US" w:eastAsia="zh-CN"/>
              </w:rPr>
              <w:t>614</w:t>
            </w:r>
            <w:r>
              <w:rPr>
                <w:rFonts w:hint="eastAsia" w:cs="方正仿宋_GBK" w:asciiTheme="majorEastAsia" w:hAnsiTheme="majorEastAsia" w:eastAsiaTheme="majorEastAsia"/>
                <w:sz w:val="28"/>
                <w:szCs w:val="28"/>
                <w:highlight w:val="none"/>
              </w:rPr>
              <w:t>个</w:t>
            </w:r>
          </w:p>
        </w:tc>
      </w:tr>
    </w:tbl>
    <w:p>
      <w:pPr>
        <w:spacing w:line="312" w:lineRule="auto"/>
        <w:ind w:firstLine="0" w:firstLineChars="0"/>
      </w:pPr>
    </w:p>
    <w:p>
      <w:pPr>
        <w:pStyle w:val="18"/>
        <w:ind w:firstLine="0" w:firstLineChars="0"/>
        <w:rPr>
          <w:color w:val="auto"/>
        </w:rPr>
        <w:sectPr>
          <w:pgSz w:w="23814" w:h="16839" w:orient="landscape"/>
          <w:pgMar w:top="1800" w:right="1440" w:bottom="1800" w:left="1440" w:header="851" w:footer="992" w:gutter="0"/>
          <w:cols w:space="425" w:num="1"/>
          <w:docGrid w:type="lines" w:linePitch="326" w:charSpace="0"/>
        </w:sectPr>
      </w:pPr>
    </w:p>
    <w:p>
      <w:pPr>
        <w:ind w:firstLine="0" w:firstLineChars="0"/>
        <w:jc w:val="center"/>
        <w:rPr>
          <w:rFonts w:ascii="黑体" w:hAnsi="黑体" w:eastAsia="黑体"/>
          <w:sz w:val="72"/>
        </w:rPr>
      </w:pPr>
    </w:p>
    <w:p>
      <w:pPr>
        <w:ind w:firstLine="0" w:firstLineChars="0"/>
        <w:jc w:val="center"/>
        <w:rPr>
          <w:rFonts w:ascii="黑体" w:hAnsi="黑体" w:eastAsia="黑体"/>
          <w:sz w:val="72"/>
        </w:rPr>
      </w:pPr>
    </w:p>
    <w:p>
      <w:pPr>
        <w:ind w:firstLine="0" w:firstLineChars="0"/>
        <w:jc w:val="center"/>
        <w:rPr>
          <w:rFonts w:ascii="黑体" w:hAnsi="黑体" w:eastAsia="黑体"/>
          <w:sz w:val="72"/>
        </w:rPr>
      </w:pPr>
    </w:p>
    <w:p>
      <w:pPr>
        <w:ind w:firstLine="0" w:firstLineChars="0"/>
        <w:jc w:val="center"/>
        <w:rPr>
          <w:rFonts w:ascii="黑体" w:hAnsi="黑体" w:eastAsia="黑体"/>
          <w:sz w:val="72"/>
        </w:rPr>
      </w:pPr>
    </w:p>
    <w:p>
      <w:pPr>
        <w:ind w:firstLine="0" w:firstLineChars="0"/>
        <w:jc w:val="center"/>
        <w:rPr>
          <w:rFonts w:ascii="黑体" w:hAnsi="黑体" w:eastAsia="黑体"/>
          <w:sz w:val="72"/>
        </w:rPr>
      </w:pPr>
    </w:p>
    <w:p>
      <w:pPr>
        <w:ind w:firstLine="0" w:firstLineChars="0"/>
        <w:jc w:val="center"/>
        <w:rPr>
          <w:rFonts w:ascii="黑体" w:hAnsi="黑体" w:eastAsia="黑体"/>
          <w:sz w:val="72"/>
        </w:rPr>
      </w:pPr>
      <w:r>
        <w:rPr>
          <w:rFonts w:hint="eastAsia" w:ascii="黑体" w:hAnsi="黑体" w:eastAsia="黑体"/>
          <w:sz w:val="72"/>
        </w:rPr>
        <w:t>规划图纸</w:t>
      </w:r>
    </w:p>
    <w:p>
      <w:pPr>
        <w:pStyle w:val="18"/>
        <w:ind w:firstLine="0" w:firstLineChars="0"/>
        <w:rPr>
          <w:color w:val="auto"/>
        </w:rPr>
      </w:pPr>
    </w:p>
    <w:p>
      <w:pPr>
        <w:pStyle w:val="18"/>
        <w:ind w:firstLine="0" w:firstLineChars="0"/>
        <w:rPr>
          <w:color w:val="auto"/>
        </w:rPr>
      </w:pPr>
    </w:p>
    <w:p>
      <w:pPr>
        <w:pStyle w:val="18"/>
        <w:ind w:firstLine="0" w:firstLineChars="0"/>
        <w:rPr>
          <w:color w:val="auto"/>
        </w:rPr>
      </w:pPr>
    </w:p>
    <w:p>
      <w:pPr>
        <w:pStyle w:val="18"/>
        <w:ind w:firstLine="0" w:firstLineChars="0"/>
        <w:rPr>
          <w:color w:val="auto"/>
        </w:rPr>
      </w:pPr>
    </w:p>
    <w:p>
      <w:pPr>
        <w:pStyle w:val="18"/>
        <w:ind w:firstLine="0" w:firstLineChars="0"/>
        <w:rPr>
          <w:color w:val="auto"/>
        </w:rPr>
      </w:pPr>
    </w:p>
    <w:p>
      <w:pPr>
        <w:pStyle w:val="18"/>
        <w:ind w:firstLine="0" w:firstLineChars="0"/>
        <w:rPr>
          <w:color w:val="auto"/>
        </w:rPr>
        <w:sectPr>
          <w:pgSz w:w="23814" w:h="16839" w:orient="landscape"/>
          <w:pgMar w:top="1800" w:right="1440" w:bottom="1800" w:left="1440" w:header="851" w:footer="992" w:gutter="0"/>
          <w:cols w:space="425" w:num="1"/>
          <w:docGrid w:type="lines" w:linePitch="326" w:charSpace="0"/>
        </w:sectPr>
      </w:pPr>
    </w:p>
    <w:p>
      <w:pPr>
        <w:pStyle w:val="18"/>
        <w:ind w:firstLine="0" w:firstLineChars="0"/>
        <w:rPr>
          <w:b/>
          <w:bCs/>
          <w:color w:val="auto"/>
          <w:sz w:val="36"/>
          <w:szCs w:val="40"/>
        </w:rPr>
      </w:pPr>
    </w:p>
    <w:p>
      <w:pPr>
        <w:pStyle w:val="18"/>
        <w:ind w:firstLine="0" w:firstLineChars="0"/>
        <w:rPr>
          <w:b/>
          <w:bCs/>
          <w:color w:val="auto"/>
          <w:sz w:val="36"/>
          <w:szCs w:val="40"/>
        </w:rPr>
      </w:pPr>
      <w:r>
        <w:rPr>
          <w:rFonts w:hint="eastAsia"/>
          <w:b/>
          <w:bCs/>
          <w:color w:val="auto"/>
          <w:sz w:val="36"/>
          <w:szCs w:val="40"/>
        </w:rPr>
        <w:t>图纸目录</w:t>
      </w:r>
    </w:p>
    <w:p>
      <w:pPr>
        <w:pStyle w:val="18"/>
        <w:ind w:firstLine="0" w:firstLineChars="0"/>
        <w:rPr>
          <w:b/>
          <w:bCs/>
          <w:color w:val="auto"/>
          <w:sz w:val="36"/>
          <w:szCs w:val="40"/>
        </w:rPr>
      </w:pPr>
      <w:r>
        <w:rPr>
          <w:rFonts w:hint="eastAsia"/>
          <w:b/>
          <w:bCs/>
          <w:color w:val="auto"/>
          <w:sz w:val="36"/>
          <w:szCs w:val="40"/>
        </w:rPr>
        <w:t>01</w:t>
      </w:r>
      <w:r>
        <w:rPr>
          <w:b/>
          <w:bCs/>
          <w:color w:val="auto"/>
          <w:sz w:val="36"/>
          <w:szCs w:val="40"/>
        </w:rPr>
        <w:t xml:space="preserve"> </w:t>
      </w:r>
      <w:r>
        <w:rPr>
          <w:rFonts w:hint="eastAsia"/>
          <w:b/>
          <w:bCs/>
          <w:color w:val="auto"/>
          <w:sz w:val="36"/>
          <w:szCs w:val="40"/>
        </w:rPr>
        <w:t>城区公共充电站规划布局图</w:t>
      </w:r>
    </w:p>
    <w:p>
      <w:pPr>
        <w:pStyle w:val="18"/>
        <w:ind w:firstLine="0" w:firstLineChars="0"/>
        <w:rPr>
          <w:b/>
          <w:bCs/>
          <w:color w:val="auto"/>
          <w:sz w:val="36"/>
          <w:szCs w:val="40"/>
        </w:rPr>
      </w:pPr>
      <w:r>
        <w:rPr>
          <w:b/>
          <w:bCs/>
          <w:color w:val="auto"/>
          <w:sz w:val="36"/>
          <w:szCs w:val="40"/>
        </w:rPr>
        <w:t xml:space="preserve">02 </w:t>
      </w:r>
      <w:r>
        <w:rPr>
          <w:rFonts w:hint="eastAsia"/>
          <w:b/>
          <w:bCs/>
          <w:color w:val="auto"/>
          <w:sz w:val="36"/>
          <w:szCs w:val="40"/>
        </w:rPr>
        <w:t>城区专用充电站规划布局图</w:t>
      </w:r>
    </w:p>
    <w:p>
      <w:pPr>
        <w:pStyle w:val="18"/>
        <w:ind w:firstLine="0" w:firstLineChars="0"/>
        <w:rPr>
          <w:b/>
          <w:bCs/>
          <w:color w:val="auto"/>
          <w:sz w:val="36"/>
          <w:szCs w:val="40"/>
        </w:rPr>
      </w:pPr>
      <w:r>
        <w:rPr>
          <w:rFonts w:hint="eastAsia"/>
          <w:b/>
          <w:bCs/>
          <w:color w:val="auto"/>
          <w:sz w:val="36"/>
          <w:szCs w:val="40"/>
        </w:rPr>
        <w:t>0</w:t>
      </w:r>
      <w:r>
        <w:rPr>
          <w:b/>
          <w:bCs/>
          <w:color w:val="auto"/>
          <w:sz w:val="36"/>
          <w:szCs w:val="40"/>
        </w:rPr>
        <w:t xml:space="preserve">3 </w:t>
      </w:r>
      <w:r>
        <w:rPr>
          <w:rFonts w:hint="eastAsia"/>
          <w:b/>
          <w:bCs/>
          <w:color w:val="auto"/>
          <w:sz w:val="36"/>
          <w:szCs w:val="40"/>
        </w:rPr>
        <w:t>乡镇公共充电站规划布局图</w:t>
      </w:r>
    </w:p>
    <w:p>
      <w:pPr>
        <w:pStyle w:val="18"/>
        <w:ind w:firstLine="0" w:firstLineChars="0"/>
        <w:rPr>
          <w:b/>
          <w:bCs/>
          <w:color w:val="auto"/>
          <w:sz w:val="36"/>
          <w:szCs w:val="40"/>
        </w:rPr>
      </w:pPr>
    </w:p>
    <w:p>
      <w:pPr>
        <w:pStyle w:val="18"/>
        <w:ind w:firstLine="0" w:firstLineChars="0"/>
        <w:rPr>
          <w:b/>
          <w:bCs/>
          <w:color w:val="auto"/>
          <w:sz w:val="36"/>
          <w:szCs w:val="40"/>
        </w:rPr>
      </w:pPr>
    </w:p>
    <w:p>
      <w:pPr>
        <w:pStyle w:val="18"/>
        <w:ind w:firstLine="0" w:firstLineChars="0"/>
        <w:rPr>
          <w:b/>
          <w:bCs/>
          <w:color w:val="auto"/>
          <w:sz w:val="36"/>
          <w:szCs w:val="40"/>
        </w:rPr>
        <w:sectPr>
          <w:pgSz w:w="23814" w:h="16839" w:orient="landscape"/>
          <w:pgMar w:top="1800" w:right="1440" w:bottom="1800" w:left="1440" w:header="851" w:footer="992" w:gutter="0"/>
          <w:cols w:space="425" w:num="1"/>
          <w:docGrid w:type="lines" w:linePitch="326" w:charSpace="0"/>
        </w:sectPr>
      </w:pPr>
    </w:p>
    <w:p>
      <w:pPr>
        <w:pStyle w:val="18"/>
        <w:ind w:firstLine="0" w:firstLineChars="0"/>
        <w:rPr>
          <w:rFonts w:hint="eastAsia"/>
          <w:color w:val="auto"/>
        </w:rPr>
      </w:pPr>
    </w:p>
    <w:p>
      <w:pPr>
        <w:pStyle w:val="18"/>
        <w:ind w:firstLine="0" w:firstLineChars="0"/>
        <w:rPr>
          <w:rFonts w:hint="eastAsia"/>
          <w:color w:val="auto"/>
        </w:rPr>
      </w:pPr>
      <w:r>
        <w:rPr>
          <w:rFonts w:hint="eastAsia"/>
          <w:color w:val="auto"/>
        </w:rPr>
        <w:drawing>
          <wp:inline distT="0" distB="0" distL="114300" distR="114300">
            <wp:extent cx="8403590" cy="11880215"/>
            <wp:effectExtent l="0" t="0" r="8890" b="6985"/>
            <wp:docPr id="1" name="图片 1" descr="城区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城区点位"/>
                    <pic:cNvPicPr>
                      <a:picLocks noChangeAspect="1"/>
                    </pic:cNvPicPr>
                  </pic:nvPicPr>
                  <pic:blipFill>
                    <a:blip r:embed="rId13"/>
                    <a:stretch>
                      <a:fillRect/>
                    </a:stretch>
                  </pic:blipFill>
                  <pic:spPr>
                    <a:xfrm>
                      <a:off x="0" y="0"/>
                      <a:ext cx="8403590" cy="11880215"/>
                    </a:xfrm>
                    <a:prstGeom prst="rect">
                      <a:avLst/>
                    </a:prstGeom>
                  </pic:spPr>
                </pic:pic>
              </a:graphicData>
            </a:graphic>
          </wp:inline>
        </w:drawing>
      </w:r>
    </w:p>
    <w:p>
      <w:pPr>
        <w:pStyle w:val="18"/>
        <w:ind w:firstLine="0" w:firstLineChars="0"/>
        <w:rPr>
          <w:rFonts w:hint="eastAsia"/>
          <w:color w:val="auto"/>
        </w:rPr>
      </w:pPr>
      <w:r>
        <w:drawing>
          <wp:inline distT="0" distB="0" distL="114300" distR="114300">
            <wp:extent cx="8403590" cy="11880215"/>
            <wp:effectExtent l="0" t="0" r="16510" b="6985"/>
            <wp:docPr id="2" name="图片 2" descr="城区点位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城区点位分区"/>
                    <pic:cNvPicPr>
                      <a:picLocks noChangeAspect="1"/>
                    </pic:cNvPicPr>
                  </pic:nvPicPr>
                  <pic:blipFill>
                    <a:blip r:embed="rId14"/>
                    <a:stretch>
                      <a:fillRect/>
                    </a:stretch>
                  </pic:blipFill>
                  <pic:spPr>
                    <a:xfrm>
                      <a:off x="0" y="0"/>
                      <a:ext cx="8403590" cy="11880215"/>
                    </a:xfrm>
                    <a:prstGeom prst="rect">
                      <a:avLst/>
                    </a:prstGeom>
                  </pic:spPr>
                </pic:pic>
              </a:graphicData>
            </a:graphic>
          </wp:inline>
        </w:drawing>
      </w:r>
    </w:p>
    <w:p>
      <w:pPr>
        <w:pStyle w:val="18"/>
        <w:ind w:firstLine="0" w:firstLineChars="0"/>
        <w:rPr>
          <w:color w:val="auto"/>
        </w:rPr>
      </w:pPr>
    </w:p>
    <w:p>
      <w:pPr>
        <w:ind w:firstLine="480"/>
      </w:pPr>
    </w:p>
    <w:p>
      <w:pPr>
        <w:ind w:firstLine="0" w:firstLineChars="0"/>
      </w:pPr>
      <w:r>
        <w:rPr>
          <w:rFonts w:eastAsia="仿宋_GB2312"/>
          <w:sz w:val="28"/>
        </w:rPr>
        <w:drawing>
          <wp:inline distT="0" distB="0" distL="0" distR="0">
            <wp:extent cx="8420100" cy="11694795"/>
            <wp:effectExtent l="0" t="0" r="0" b="1905"/>
            <wp:docPr id="1027" name="图片 19"/>
            <wp:cNvGraphicFramePr/>
            <a:graphic xmlns:a="http://schemas.openxmlformats.org/drawingml/2006/main">
              <a:graphicData uri="http://schemas.openxmlformats.org/drawingml/2006/picture">
                <pic:pic xmlns:pic="http://schemas.openxmlformats.org/drawingml/2006/picture">
                  <pic:nvPicPr>
                    <pic:cNvPr id="1027" name="图片 19"/>
                    <pic:cNvPicPr/>
                  </pic:nvPicPr>
                  <pic:blipFill>
                    <a:blip r:embed="rId15" cstate="print"/>
                    <a:srcRect/>
                    <a:stretch>
                      <a:fillRect/>
                    </a:stretch>
                  </pic:blipFill>
                  <pic:spPr>
                    <a:xfrm>
                      <a:off x="0" y="0"/>
                      <a:ext cx="8420100" cy="11694795"/>
                    </a:xfrm>
                    <a:prstGeom prst="rect">
                      <a:avLst/>
                    </a:prstGeom>
                  </pic:spPr>
                </pic:pic>
              </a:graphicData>
            </a:graphic>
          </wp:inline>
        </w:drawing>
      </w:r>
    </w:p>
    <w:p>
      <w:pPr>
        <w:ind w:firstLine="0" w:firstLineChars="0"/>
      </w:pPr>
    </w:p>
    <w:p>
      <w:pPr>
        <w:ind w:firstLine="0" w:firstLineChars="0"/>
      </w:pPr>
    </w:p>
    <w:p>
      <w:pPr>
        <w:ind w:firstLine="0" w:firstLineChars="0"/>
      </w:pPr>
    </w:p>
    <w:p>
      <w:pPr>
        <w:ind w:firstLine="0" w:firstLineChars="0"/>
      </w:pPr>
      <w:r>
        <w:drawing>
          <wp:inline distT="0" distB="0" distL="0" distR="0">
            <wp:extent cx="8903970" cy="12951460"/>
            <wp:effectExtent l="0" t="0" r="11430" b="2540"/>
            <wp:docPr id="1028" name="图片 2" descr="C:/Users/Administrator/Pictures/图片2.png图片2"/>
            <wp:cNvGraphicFramePr/>
            <a:graphic xmlns:a="http://schemas.openxmlformats.org/drawingml/2006/main">
              <a:graphicData uri="http://schemas.openxmlformats.org/drawingml/2006/picture">
                <pic:pic xmlns:pic="http://schemas.openxmlformats.org/drawingml/2006/picture">
                  <pic:nvPicPr>
                    <pic:cNvPr id="1028" name="图片 2" descr="C:/Users/Administrator/Pictures/图片2.png图片2"/>
                    <pic:cNvPicPr/>
                  </pic:nvPicPr>
                  <pic:blipFill>
                    <a:blip r:embed="rId16"/>
                    <a:srcRect t="-135" b="382"/>
                    <a:stretch>
                      <a:fillRect/>
                    </a:stretch>
                  </pic:blipFill>
                  <pic:spPr>
                    <a:xfrm>
                      <a:off x="0" y="0"/>
                      <a:ext cx="8903970" cy="12951460"/>
                    </a:xfrm>
                    <a:prstGeom prst="rect">
                      <a:avLst/>
                    </a:prstGeom>
                  </pic:spPr>
                </pic:pic>
              </a:graphicData>
            </a:graphic>
          </wp:inline>
        </w:drawing>
      </w:r>
    </w:p>
    <w:sectPr>
      <w:pgSz w:w="16839" w:h="23814"/>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jc w:val="center"/>
    </w:pPr>
  </w:p>
  <w:p>
    <w:pPr>
      <w:pStyle w:val="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480"/>
      <w:jc w:val="center"/>
    </w:pPr>
    <w:r>
      <w:rPr>
        <w:sz w:val="24"/>
      </w:rPr>
      <w:fldChar w:fldCharType="begin"/>
    </w:r>
    <w:r>
      <w:rPr>
        <w:sz w:val="24"/>
      </w:rPr>
      <w:instrText xml:space="preserve">PAGE   \* MERGEFORMAT</w:instrText>
    </w:r>
    <w:r>
      <w:rPr>
        <w:sz w:val="24"/>
      </w:rPr>
      <w:fldChar w:fldCharType="separate"/>
    </w:r>
    <w:r>
      <w:rPr>
        <w:sz w:val="24"/>
        <w:lang w:val="zh-CN"/>
      </w:rPr>
      <w:t>19</w:t>
    </w:r>
    <w:r>
      <w:rPr>
        <w:sz w:val="24"/>
      </w:rPr>
      <w:fldChar w:fldCharType="end"/>
    </w:r>
  </w:p>
  <w:p>
    <w:pPr>
      <w:pStyle w:val="4"/>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垫江县电动机动车公共充电设施专项规划（2</w:t>
    </w:r>
    <w:r>
      <w:t>023-2027</w:t>
    </w:r>
    <w:r>
      <w:rPr>
        <w:rFonts w:hint="eastAsia"/>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japaneseCounting"/>
      <w:lvlText w:val="第%1条"/>
      <w:lvlJc w:val="left"/>
      <w:pPr>
        <w:ind w:left="420" w:hanging="420"/>
      </w:pPr>
      <w:rPr>
        <w:rFonts w:hint="default"/>
        <w:color w:val="auto"/>
        <w:sz w:val="28"/>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2"/>
    <w:multiLevelType w:val="multilevel"/>
    <w:tmpl w:val="0000000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22973441"/>
    <w:multiLevelType w:val="singleLevel"/>
    <w:tmpl w:val="22973441"/>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0NWEwMGMxMzZlMGI4OTE1NzM0ZmJkODc0ZjYxYmEifQ=="/>
  </w:docVars>
  <w:rsids>
    <w:rsidRoot w:val="004C4E81"/>
    <w:rsid w:val="001549A1"/>
    <w:rsid w:val="00371197"/>
    <w:rsid w:val="004C4E81"/>
    <w:rsid w:val="005C6C92"/>
    <w:rsid w:val="00684C9F"/>
    <w:rsid w:val="007B7FAF"/>
    <w:rsid w:val="00827160"/>
    <w:rsid w:val="009C550C"/>
    <w:rsid w:val="009F69C5"/>
    <w:rsid w:val="00A02434"/>
    <w:rsid w:val="00AE41BB"/>
    <w:rsid w:val="00B741FD"/>
    <w:rsid w:val="00E321AE"/>
    <w:rsid w:val="02302032"/>
    <w:rsid w:val="051531B8"/>
    <w:rsid w:val="067307B5"/>
    <w:rsid w:val="0C621E43"/>
    <w:rsid w:val="0F615EBD"/>
    <w:rsid w:val="10982187"/>
    <w:rsid w:val="10BE2E9B"/>
    <w:rsid w:val="150A2EAC"/>
    <w:rsid w:val="165B5F18"/>
    <w:rsid w:val="16DC407B"/>
    <w:rsid w:val="1A672B43"/>
    <w:rsid w:val="1AC014E5"/>
    <w:rsid w:val="1BD13EEB"/>
    <w:rsid w:val="1DC600EF"/>
    <w:rsid w:val="1E775389"/>
    <w:rsid w:val="1FCC3E16"/>
    <w:rsid w:val="20A97F82"/>
    <w:rsid w:val="220152DE"/>
    <w:rsid w:val="242A36DE"/>
    <w:rsid w:val="277923C3"/>
    <w:rsid w:val="286A27A5"/>
    <w:rsid w:val="292518B2"/>
    <w:rsid w:val="29295FD7"/>
    <w:rsid w:val="2A53244F"/>
    <w:rsid w:val="2B495065"/>
    <w:rsid w:val="2BAC62BA"/>
    <w:rsid w:val="2BD870AF"/>
    <w:rsid w:val="2C195342"/>
    <w:rsid w:val="2C2D0C6A"/>
    <w:rsid w:val="2E734E6D"/>
    <w:rsid w:val="2F414F6C"/>
    <w:rsid w:val="302C509F"/>
    <w:rsid w:val="308C0468"/>
    <w:rsid w:val="33D905EC"/>
    <w:rsid w:val="353825E9"/>
    <w:rsid w:val="36413AA3"/>
    <w:rsid w:val="36D6243D"/>
    <w:rsid w:val="38B467AE"/>
    <w:rsid w:val="38BB7B3D"/>
    <w:rsid w:val="3C7056CD"/>
    <w:rsid w:val="466709DA"/>
    <w:rsid w:val="46E7625A"/>
    <w:rsid w:val="48B52FCC"/>
    <w:rsid w:val="4A4B5F0B"/>
    <w:rsid w:val="4C116B87"/>
    <w:rsid w:val="4D956858"/>
    <w:rsid w:val="50D812E3"/>
    <w:rsid w:val="52272456"/>
    <w:rsid w:val="54136D7C"/>
    <w:rsid w:val="55717AA9"/>
    <w:rsid w:val="5CB27629"/>
    <w:rsid w:val="5FFA28C1"/>
    <w:rsid w:val="611B6B1B"/>
    <w:rsid w:val="613803A0"/>
    <w:rsid w:val="62481F24"/>
    <w:rsid w:val="639F3A33"/>
    <w:rsid w:val="68167533"/>
    <w:rsid w:val="688E3A1F"/>
    <w:rsid w:val="6A4470E3"/>
    <w:rsid w:val="6ABD7C30"/>
    <w:rsid w:val="70F11E0E"/>
    <w:rsid w:val="71681909"/>
    <w:rsid w:val="74885669"/>
    <w:rsid w:val="76342701"/>
    <w:rsid w:val="7B707C0E"/>
    <w:rsid w:val="7F2E2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3"/>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autoRedefine/>
    <w:unhideWhenUsed/>
    <w:qFormat/>
    <w:uiPriority w:val="9"/>
    <w:pPr>
      <w:keepNext/>
      <w:keepLines/>
      <w:spacing w:before="260" w:after="260" w:line="416" w:lineRule="auto"/>
      <w:outlineLvl w:val="1"/>
    </w:pPr>
    <w:rPr>
      <w:rFonts w:ascii="Calibri Light" w:hAnsi="Calibri Light" w:cs="宋体"/>
      <w:b/>
      <w:bCs/>
      <w:sz w:val="32"/>
      <w:szCs w:val="32"/>
    </w:rPr>
  </w:style>
  <w:style w:type="character" w:default="1" w:styleId="16">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22"/>
    <w:autoRedefine/>
    <w:qFormat/>
    <w:uiPriority w:val="99"/>
    <w:pPr>
      <w:tabs>
        <w:tab w:val="center" w:pos="4153"/>
        <w:tab w:val="right" w:pos="8306"/>
      </w:tabs>
      <w:snapToGrid w:val="0"/>
      <w:spacing w:line="240" w:lineRule="auto"/>
      <w:jc w:val="left"/>
    </w:pPr>
    <w:rPr>
      <w:sz w:val="18"/>
      <w:szCs w:val="18"/>
    </w:rPr>
  </w:style>
  <w:style w:type="paragraph" w:styleId="5">
    <w:name w:val="header"/>
    <w:basedOn w:val="1"/>
    <w:link w:val="21"/>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toc 2"/>
    <w:basedOn w:val="1"/>
    <w:next w:val="1"/>
    <w:autoRedefine/>
    <w:qFormat/>
    <w:uiPriority w:val="39"/>
    <w:pPr>
      <w:ind w:left="420" w:leftChars="200"/>
    </w:p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Medium Grid 3"/>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10">
    <w:name w:val="Medium Grid 3 Accent 1"/>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11">
    <w:name w:val="Medium Grid 3 Accent 2"/>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2">
    <w:name w:val="Medium Grid 3 Accent 3"/>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13">
    <w:name w:val="Medium Grid 3 Accent 4"/>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14">
    <w:name w:val="Medium Grid 3 Accent 5"/>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15">
    <w:name w:val="Medium Grid 3 Accent 6"/>
    <w:basedOn w:val="7"/>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17">
    <w:name w:val="Hyperlink"/>
    <w:basedOn w:val="16"/>
    <w:autoRedefine/>
    <w:qFormat/>
    <w:uiPriority w:val="99"/>
    <w:rPr>
      <w:color w:val="0563C1"/>
      <w:u w:val="single"/>
    </w:rPr>
  </w:style>
  <w:style w:type="paragraph" w:customStyle="1" w:styleId="18">
    <w:name w:val="文本正文"/>
    <w:basedOn w:val="1"/>
    <w:link w:val="19"/>
    <w:autoRedefine/>
    <w:qFormat/>
    <w:uiPriority w:val="0"/>
    <w:pPr>
      <w:adjustRightInd w:val="0"/>
    </w:pPr>
    <w:rPr>
      <w:color w:val="000000"/>
      <w:szCs w:val="28"/>
    </w:rPr>
  </w:style>
  <w:style w:type="character" w:customStyle="1" w:styleId="19">
    <w:name w:val="文本正文 Char"/>
    <w:link w:val="18"/>
    <w:autoRedefine/>
    <w:qFormat/>
    <w:uiPriority w:val="0"/>
    <w:rPr>
      <w:rFonts w:ascii="Times New Roman" w:hAnsi="Times New Roman" w:cs="Times New Roman"/>
      <w:color w:val="000000"/>
      <w:sz w:val="24"/>
      <w:szCs w:val="28"/>
    </w:rPr>
  </w:style>
  <w:style w:type="character" w:customStyle="1" w:styleId="20">
    <w:name w:val="标题 2 字符"/>
    <w:basedOn w:val="16"/>
    <w:link w:val="3"/>
    <w:autoRedefine/>
    <w:qFormat/>
    <w:uiPriority w:val="9"/>
    <w:rPr>
      <w:rFonts w:ascii="Calibri Light" w:hAnsi="Calibri Light" w:eastAsia="宋体" w:cs="宋体"/>
      <w:b/>
      <w:bCs/>
      <w:sz w:val="32"/>
      <w:szCs w:val="32"/>
    </w:rPr>
  </w:style>
  <w:style w:type="character" w:customStyle="1" w:styleId="21">
    <w:name w:val="页眉 字符"/>
    <w:basedOn w:val="16"/>
    <w:link w:val="5"/>
    <w:autoRedefine/>
    <w:qFormat/>
    <w:uiPriority w:val="99"/>
    <w:rPr>
      <w:rFonts w:ascii="Times New Roman" w:hAnsi="Times New Roman" w:eastAsia="宋体" w:cs="Times New Roman"/>
      <w:sz w:val="18"/>
      <w:szCs w:val="18"/>
    </w:rPr>
  </w:style>
  <w:style w:type="character" w:customStyle="1" w:styleId="22">
    <w:name w:val="页脚 字符"/>
    <w:basedOn w:val="16"/>
    <w:link w:val="4"/>
    <w:autoRedefine/>
    <w:qFormat/>
    <w:uiPriority w:val="99"/>
    <w:rPr>
      <w:rFonts w:ascii="Times New Roman" w:hAnsi="Times New Roman" w:eastAsia="宋体" w:cs="Times New Roman"/>
      <w:sz w:val="18"/>
      <w:szCs w:val="18"/>
    </w:rPr>
  </w:style>
  <w:style w:type="character" w:customStyle="1" w:styleId="23">
    <w:name w:val="标题 1 字符"/>
    <w:basedOn w:val="16"/>
    <w:link w:val="2"/>
    <w:autoRedefine/>
    <w:qFormat/>
    <w:uiPriority w:val="9"/>
    <w:rPr>
      <w:rFonts w:ascii="Times New Roman" w:hAnsi="Times New Roman" w:eastAsia="宋体" w:cs="Times New Roman"/>
      <w:b/>
      <w:bCs/>
      <w:kern w:val="44"/>
      <w:sz w:val="44"/>
      <w:szCs w:val="44"/>
    </w:rPr>
  </w:style>
  <w:style w:type="paragraph" w:customStyle="1" w:styleId="24">
    <w:name w:val="TOC Heading_edf1c97d-091d-4ccc-b7e8-d8a6ae84ac29"/>
    <w:basedOn w:val="2"/>
    <w:next w:val="1"/>
    <w:autoRedefine/>
    <w:qFormat/>
    <w:uiPriority w:val="39"/>
    <w:pPr>
      <w:widowControl/>
      <w:spacing w:before="240" w:after="0" w:line="259" w:lineRule="auto"/>
      <w:ind w:firstLine="0" w:firstLineChars="0"/>
      <w:jc w:val="left"/>
      <w:outlineLvl w:val="9"/>
    </w:pPr>
    <w:rPr>
      <w:rFonts w:ascii="Calibri Light" w:hAnsi="Calibri Light" w:cs="宋体"/>
      <w:b w:val="0"/>
      <w:bCs w:val="0"/>
      <w:color w:val="2E75B6"/>
      <w:kern w:val="0"/>
      <w:sz w:val="32"/>
      <w:szCs w:val="32"/>
    </w:rPr>
  </w:style>
  <w:style w:type="paragraph" w:styleId="25">
    <w:name w:val="List Paragraph"/>
    <w:basedOn w:val="1"/>
    <w:autoRedefine/>
    <w:qFormat/>
    <w:uiPriority w:val="34"/>
    <w:pPr>
      <w:ind w:firstLine="420"/>
    </w:pPr>
  </w:style>
  <w:style w:type="character" w:customStyle="1" w:styleId="26">
    <w:name w:val="font11"/>
    <w:basedOn w:val="16"/>
    <w:autoRedefine/>
    <w:qFormat/>
    <w:uiPriority w:val="0"/>
    <w:rPr>
      <w:rFonts w:hint="eastAsia" w:ascii="宋体" w:hAnsi="宋体" w:eastAsia="宋体" w:cs="宋体"/>
      <w:color w:val="000000"/>
      <w:sz w:val="24"/>
      <w:szCs w:val="24"/>
      <w:u w:val="none"/>
    </w:rPr>
  </w:style>
  <w:style w:type="character" w:customStyle="1" w:styleId="27">
    <w:name w:val="font21"/>
    <w:basedOn w:val="16"/>
    <w:autoRedefine/>
    <w:qFormat/>
    <w:uiPriority w:val="0"/>
    <w:rPr>
      <w:rFonts w:hint="default" w:ascii="Times New Roman" w:hAnsi="Times New Roman" w:cs="Times New Roman"/>
      <w:color w:val="000000"/>
      <w:sz w:val="24"/>
      <w:szCs w:val="24"/>
      <w:u w:val="none"/>
    </w:rPr>
  </w:style>
  <w:style w:type="character" w:customStyle="1" w:styleId="28">
    <w:name w:val="font31"/>
    <w:basedOn w:val="16"/>
    <w:autoRedefine/>
    <w:qFormat/>
    <w:uiPriority w:val="0"/>
    <w:rPr>
      <w:rFonts w:hint="default" w:ascii="Times New Roman" w:hAnsi="Times New Roman" w:cs="Times New Roman"/>
      <w:color w:val="000000"/>
      <w:sz w:val="24"/>
      <w:szCs w:val="24"/>
      <w:u w:val="none"/>
    </w:rPr>
  </w:style>
  <w:style w:type="character" w:customStyle="1" w:styleId="29">
    <w:name w:val="font41"/>
    <w:basedOn w:val="16"/>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2289-17C0-4895-A827-A4F8B49FE7C7}">
  <ds:schemaRefs/>
</ds:datastoreItem>
</file>

<file path=docProps/app.xml><?xml version="1.0" encoding="utf-8"?>
<Properties xmlns="http://schemas.openxmlformats.org/officeDocument/2006/extended-properties" xmlns:vt="http://schemas.openxmlformats.org/officeDocument/2006/docPropsVTypes">
  <Template>Normal</Template>
  <Pages>26</Pages>
  <Words>13342</Words>
  <Characters>15530</Characters>
  <Lines>125</Lines>
  <Paragraphs>35</Paragraphs>
  <TotalTime>0</TotalTime>
  <ScaleCrop>false</ScaleCrop>
  <LinksUpToDate>false</LinksUpToDate>
  <CharactersWithSpaces>15628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2023-11-16T05:19:00Z</dcterms:created>
  <dc:creator>hp</dc:creator>
  <cp:lastModifiedBy>暴风雨过后…</cp:lastModifiedBy>
  <cp:lastPrinted>2024-07-03T03:22:00Z</cp:lastPrinted>
  <dcterms:modified xsi:type="dcterms:W3CDTF">2024-07-03T06:51:53Z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FE187BBA6DF74B80A4B04AE28E25F291_13</vt:lpwstr>
  </property>
</Properties>
</file>