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keepNext w:val="0"/>
        <w:keepLines w:val="0"/>
        <w:pageBreakBefore w:val="0"/>
        <w:widowControl w:val="0"/>
        <w:kinsoku/>
        <w:wordWrap/>
        <w:overflowPunct/>
        <w:topLinePunct w:val="0"/>
        <w:autoSpaceDE/>
        <w:autoSpaceDN/>
        <w:bidi w:val="0"/>
        <w:adjustRightInd/>
        <w:snapToGrid w:val="0"/>
        <w:spacing w:before="316" w:beforeLines="10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大兴区应对气候变化2024年行动计划</w:t>
      </w:r>
    </w:p>
    <w:tbl>
      <w:tblPr>
        <w:tblStyle w:val="8"/>
        <w:tblW w:w="14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69"/>
        <w:gridCol w:w="1497"/>
        <w:gridCol w:w="6360"/>
        <w:gridCol w:w="1200"/>
        <w:gridCol w:w="2235"/>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exact"/>
          <w:tblHeader/>
          <w:jc w:val="center"/>
        </w:trPr>
        <w:tc>
          <w:tcPr>
            <w:tcW w:w="569" w:type="dxa"/>
            <w:tcBorders>
              <w:tl2br w:val="nil"/>
              <w:tr2bl w:val="nil"/>
            </w:tcBorders>
            <w:noWrap w:val="0"/>
            <w:vAlign w:val="center"/>
          </w:tcPr>
          <w:p>
            <w:pPr>
              <w:widowControl/>
              <w:adjustRightInd w:val="0"/>
              <w:snapToGrid w:val="0"/>
              <w:jc w:val="center"/>
              <w:textAlignment w:val="center"/>
              <w:rPr>
                <w:rFonts w:hint="eastAsia" w:ascii="黑体" w:hAnsi="宋体" w:eastAsia="黑体" w:cs="黑体"/>
                <w:color w:val="000000"/>
                <w:kern w:val="0"/>
                <w:sz w:val="21"/>
                <w:szCs w:val="21"/>
                <w:lang w:bidi="ar"/>
              </w:rPr>
            </w:pPr>
            <w:r>
              <w:rPr>
                <w:rFonts w:hint="eastAsia" w:ascii="黑体" w:hAnsi="宋体" w:eastAsia="黑体" w:cs="黑体"/>
                <w:color w:val="000000"/>
                <w:kern w:val="0"/>
                <w:sz w:val="21"/>
                <w:szCs w:val="21"/>
                <w:lang w:bidi="ar"/>
              </w:rPr>
              <w:t>序</w:t>
            </w:r>
          </w:p>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号</w:t>
            </w:r>
          </w:p>
        </w:tc>
        <w:tc>
          <w:tcPr>
            <w:tcW w:w="1497" w:type="dxa"/>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重点任务</w:t>
            </w:r>
          </w:p>
        </w:tc>
        <w:tc>
          <w:tcPr>
            <w:tcW w:w="6360" w:type="dxa"/>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工作措施</w:t>
            </w:r>
          </w:p>
        </w:tc>
        <w:tc>
          <w:tcPr>
            <w:tcW w:w="1200" w:type="dxa"/>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完成时限</w:t>
            </w:r>
          </w:p>
        </w:tc>
        <w:tc>
          <w:tcPr>
            <w:tcW w:w="2235" w:type="dxa"/>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牵头单位</w:t>
            </w:r>
          </w:p>
        </w:tc>
        <w:tc>
          <w:tcPr>
            <w:tcW w:w="2250" w:type="dxa"/>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1"/>
                <w:szCs w:val="21"/>
              </w:rPr>
            </w:pPr>
            <w:r>
              <w:rPr>
                <w:rFonts w:hint="eastAsia" w:ascii="黑体" w:hAnsi="宋体" w:eastAsia="黑体" w:cs="黑体"/>
                <w:color w:val="000000"/>
                <w:kern w:val="0"/>
                <w:sz w:val="21"/>
                <w:szCs w:val="21"/>
                <w:lang w:bidi="ar"/>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4111" w:type="dxa"/>
            <w:gridSpan w:val="6"/>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1"/>
                <w:szCs w:val="21"/>
                <w:lang w:bidi="ar"/>
              </w:rPr>
              <w:t>一、温室气体排放控制目标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20" w:hRule="atLeast"/>
          <w:jc w:val="center"/>
        </w:trPr>
        <w:tc>
          <w:tcPr>
            <w:tcW w:w="569"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目标任务</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切实控制温室气体排放,碳排放总量得到有效控制。全区碳排放强度同比持续下降,较2020年累计下降15%左右。</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区统计局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区住房城乡建设委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区交通局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4111" w:type="dxa"/>
            <w:gridSpan w:val="6"/>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4"/>
                <w:szCs w:val="24"/>
              </w:rPr>
            </w:pPr>
            <w:r>
              <w:rPr>
                <w:rFonts w:hint="eastAsia" w:ascii="黑体" w:hAnsi="宋体" w:eastAsia="黑体" w:cs="黑体"/>
                <w:color w:val="000000"/>
                <w:sz w:val="21"/>
                <w:szCs w:val="21"/>
              </w:rPr>
              <w:t>二、完善应对气候变化综合管理体系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38"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强化碳排放双控制度</w:t>
            </w: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lang w:bidi="ar"/>
              </w:rPr>
            </w:pPr>
            <w:r>
              <w:rPr>
                <w:rFonts w:hint="eastAsia" w:ascii="宋体" w:hAnsi="宋体" w:cs="宋体"/>
                <w:kern w:val="0"/>
                <w:szCs w:val="21"/>
              </w:rPr>
              <w:t>配合市级完善碳排放双控制度及配套制度，深化落实市级“1+N”碳达峰碳中和制度体系，配合市级开展节能降碳目标责任评价评估工作。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87"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 xml:space="preserve">在建设项目环境影响评价中开展碳排放核算评价，严格控制新建项目碳排放水平。 </w:t>
            </w:r>
          </w:p>
          <w:p>
            <w:pPr>
              <w:widowControl/>
              <w:adjustRightInd w:val="0"/>
              <w:snapToGrid w:val="0"/>
              <w:textAlignment w:val="center"/>
              <w:rPr>
                <w:rFonts w:ascii="宋体" w:hAnsi="宋体" w:cs="宋体"/>
                <w:color w:val="000000"/>
                <w:szCs w:val="21"/>
              </w:rPr>
            </w:pPr>
            <w:r>
              <w:rPr>
                <w:rFonts w:hint="eastAsia" w:ascii="宋体" w:hAnsi="宋体" w:cs="宋体"/>
                <w:kern w:val="0"/>
                <w:szCs w:val="21"/>
              </w:rPr>
              <w:t>推动重点单位建立碳排放管理体系，鼓励设立碳排放管理岗位，强化节能减碳管理责任，</w:t>
            </w:r>
            <w:r>
              <w:rPr>
                <w:rFonts w:hint="eastAsia" w:ascii="宋体" w:hAnsi="宋体" w:cs="宋体"/>
                <w:szCs w:val="21"/>
              </w:rPr>
              <w:t>完善落实碳排放状况报告制度，</w:t>
            </w:r>
            <w:r>
              <w:rPr>
                <w:rFonts w:hint="eastAsia" w:ascii="宋体" w:hAnsi="宋体" w:cs="宋体"/>
                <w:color w:val="000000"/>
                <w:szCs w:val="21"/>
              </w:rPr>
              <w:t>科学合理控制碳排放。</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9"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kern w:val="0"/>
                <w:szCs w:val="21"/>
              </w:rPr>
            </w:pPr>
            <w:r>
              <w:rPr>
                <w:rFonts w:hint="eastAsia" w:ascii="宋体" w:hAnsi="宋体" w:cs="宋体"/>
                <w:kern w:val="0"/>
                <w:szCs w:val="21"/>
              </w:rPr>
              <w:t>推进碳排放权交易体系建设</w:t>
            </w: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按照市级部门要求，开展2024年度本市碳排放权交易工作，确定重点排放单位名单，督促重点排放单位完成数据审核、报送和核查、监督履约等工作。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39"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kern w:val="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按照生态环境部要求,组织本区纳入全国碳市场的重点排放单位完成数据报送等工作。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9"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kern w:val="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鼓励具备条件的机构开发运行氢燃料电池汽车碳减排项目，并参与本市碳市场交易。</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持续推进</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rPr>
            </w:pPr>
            <w:r>
              <w:rPr>
                <w:rFonts w:hint="eastAsia" w:ascii="宋体" w:hAnsi="宋体" w:cs="宋体"/>
                <w:kern w:val="0"/>
                <w:szCs w:val="21"/>
                <w:lang w:bidi="ar"/>
              </w:rPr>
              <w:t>区</w:t>
            </w:r>
            <w:r>
              <w:rPr>
                <w:rFonts w:hint="eastAsia" w:ascii="宋体" w:hAnsi="宋体" w:cs="宋体"/>
                <w:kern w:val="0"/>
                <w:szCs w:val="21"/>
              </w:rPr>
              <w:t>经济和信息化局</w:t>
            </w:r>
          </w:p>
          <w:p>
            <w:pPr>
              <w:widowControl/>
              <w:adjustRightInd w:val="0"/>
              <w:snapToGrid w:val="0"/>
              <w:jc w:val="center"/>
              <w:textAlignment w:val="center"/>
              <w:rPr>
                <w:rFonts w:ascii="宋体" w:hAnsi="宋体" w:cs="宋体"/>
                <w:kern w:val="0"/>
                <w:szCs w:val="21"/>
              </w:rPr>
            </w:pPr>
            <w:r>
              <w:rPr>
                <w:rFonts w:hint="eastAsia" w:ascii="宋体" w:hAnsi="宋体" w:cs="宋体"/>
                <w:kern w:val="0"/>
                <w:szCs w:val="21"/>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363"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rPr>
              <w:t>4</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rPr>
              <w:t>强化低碳试点示范</w:t>
            </w: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稳步推进减污降碳协同创新试点建设。</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区城市管理委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区住房城乡建设委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区交通局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区教委等部门</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18"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持续开展先进低碳技术项目试点示范。加大氢能、储能、电网、材料等低碳技术开发研究创新。</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区科委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color w:val="000000"/>
                <w:kern w:val="0"/>
                <w:szCs w:val="21"/>
                <w:lang w:bidi="ar"/>
              </w:rPr>
              <w:t>区经济和信息化局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区住房城乡建设委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03"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积极开展区级低碳试点示范，加强项目征集和组织实施，组织动员辖区重点碳排放单位申报相关试点项目，做好各类园区、区域低碳发展规划和建设。鼓励属地积极开展并组织申报低碳试点。推进大兴国际机场临空经济区碳中和试点建设。</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color w:val="000000"/>
                <w:kern w:val="0"/>
                <w:szCs w:val="21"/>
                <w:lang w:bidi="ar"/>
              </w:rPr>
              <w:t>临空经济区大兴片区管委会</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882"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rPr>
            </w:pPr>
            <w:r>
              <w:rPr>
                <w:rFonts w:hint="eastAsia" w:ascii="宋体" w:hAnsi="宋体" w:cs="宋体"/>
                <w:kern w:val="0"/>
                <w:szCs w:val="21"/>
              </w:rPr>
              <w:t>推动建设碳中和示范校联盟，构建大兴区绿色低碳发展教育、双碳建设体系。包括一所全国示范校，一所大兴区示范校，十六所碳中和课程教学实验校，二十所碳中和科普教育成员校。</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区教委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9"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6360" w:type="dxa"/>
            <w:tcBorders>
              <w:tl2br w:val="nil"/>
              <w:tr2bl w:val="nil"/>
            </w:tcBorders>
            <w:noWrap w:val="0"/>
            <w:vAlign w:val="center"/>
          </w:tcPr>
          <w:p>
            <w:pPr>
              <w:widowControl/>
              <w:adjustRightInd w:val="0"/>
              <w:snapToGrid w:val="0"/>
              <w:jc w:val="left"/>
              <w:textAlignment w:val="center"/>
              <w:rPr>
                <w:rFonts w:ascii="宋体" w:hAnsi="宋体" w:cs="宋体"/>
                <w:szCs w:val="21"/>
              </w:rPr>
            </w:pPr>
            <w:r>
              <w:rPr>
                <w:rFonts w:hint="eastAsia" w:ascii="宋体" w:hAnsi="宋体" w:cs="宋体"/>
                <w:szCs w:val="21"/>
              </w:rPr>
              <w:t>推动大兴国际氢能示范区南区氢电耦合低碳园区示范项目正式投用，开展氢能建筑试点示范。</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区住房城乡建设委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黄村镇人民政府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4111" w:type="dxa"/>
            <w:gridSpan w:val="6"/>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r>
              <w:rPr>
                <w:rFonts w:hint="eastAsia" w:ascii="黑体" w:hAnsi="宋体" w:eastAsia="黑体" w:cs="黑体"/>
                <w:color w:val="000000"/>
                <w:kern w:val="0"/>
                <w:sz w:val="21"/>
                <w:szCs w:val="21"/>
                <w:lang w:bidi="ar"/>
              </w:rPr>
              <w:t>三、深入推进重点领域和重点区域温室气体排放控制工作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938"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推进能源低碳化发展</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Style w:val="14"/>
                <w:rFonts w:hint="eastAsia" w:ascii="宋体" w:hAnsi="宋体" w:eastAsia="宋体" w:cs="宋体"/>
                <w:sz w:val="21"/>
                <w:szCs w:val="21"/>
                <w:lang w:bidi="ar"/>
              </w:rPr>
              <w:t>大力开展能源节约和能效提升，万元GDP能耗下降达到市级要求。严控化石能源消费总量，巩固农村地区村庄清洁供暖，天然气消费规模控制量</w:t>
            </w:r>
            <w:r>
              <w:rPr>
                <w:rStyle w:val="14"/>
                <w:rFonts w:hint="eastAsia" w:ascii="宋体" w:hAnsi="宋体" w:eastAsia="宋体" w:cs="宋体"/>
                <w:color w:val="auto"/>
                <w:sz w:val="21"/>
                <w:szCs w:val="21"/>
                <w:lang w:bidi="ar"/>
              </w:rPr>
              <w:t>达到市级要求。</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区发展改革委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区农业农村局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区</w:t>
            </w:r>
            <w:r>
              <w:rPr>
                <w:rFonts w:hint="eastAsia" w:ascii="宋体" w:hAnsi="宋体" w:cs="宋体"/>
                <w:kern w:val="0"/>
                <w:szCs w:val="21"/>
              </w:rPr>
              <w:t>经济和信息化局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38"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kern w:val="0"/>
                <w:szCs w:val="21"/>
                <w:lang w:bidi="ar"/>
              </w:rPr>
              <w:t>落实本市可再生能源替代方案，新增能源消费优先由可再生能源提供，2024年可再生能源消费占比</w:t>
            </w:r>
            <w:r>
              <w:rPr>
                <w:rFonts w:hint="eastAsia" w:ascii="宋体" w:hAnsi="宋体" w:cs="宋体"/>
                <w:szCs w:val="21"/>
              </w:rPr>
              <w:t>达到</w:t>
            </w:r>
            <w:r>
              <w:rPr>
                <w:rStyle w:val="14"/>
                <w:rFonts w:hint="eastAsia" w:ascii="宋体" w:hAnsi="宋体" w:eastAsia="宋体" w:cs="宋体"/>
                <w:color w:val="auto"/>
                <w:sz w:val="21"/>
                <w:szCs w:val="21"/>
                <w:lang w:bidi="ar"/>
              </w:rPr>
              <w:t>市级要求。</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4"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推动可再生能源规模化利用，新增本地可再生能源发电装机容量</w:t>
            </w:r>
            <w:r>
              <w:rPr>
                <w:rFonts w:hint="eastAsia" w:ascii="宋体" w:hAnsi="宋体" w:cs="宋体"/>
                <w:szCs w:val="21"/>
              </w:rPr>
              <w:t>达到</w:t>
            </w:r>
            <w:r>
              <w:rPr>
                <w:rStyle w:val="14"/>
                <w:rFonts w:hint="eastAsia" w:ascii="宋体" w:hAnsi="宋体" w:eastAsia="宋体" w:cs="宋体"/>
                <w:color w:val="auto"/>
                <w:sz w:val="21"/>
                <w:szCs w:val="21"/>
                <w:lang w:bidi="ar"/>
              </w:rPr>
              <w:t>市级要求。</w:t>
            </w:r>
            <w:r>
              <w:rPr>
                <w:rStyle w:val="14"/>
                <w:rFonts w:hint="eastAsia" w:ascii="宋体" w:hAnsi="宋体" w:eastAsia="宋体" w:cs="宋体"/>
                <w:sz w:val="21"/>
                <w:szCs w:val="21"/>
                <w:lang w:bidi="ar"/>
              </w:rPr>
              <w:t>进一步提高绿色电力应用规模及外调绿电规模。</w:t>
            </w:r>
          </w:p>
          <w:p>
            <w:pPr>
              <w:widowControl/>
              <w:adjustRightInd w:val="0"/>
              <w:snapToGrid w:val="0"/>
              <w:textAlignment w:val="center"/>
              <w:rPr>
                <w:rFonts w:ascii="宋体" w:hAnsi="宋体" w:cs="宋体"/>
                <w:color w:val="000000"/>
                <w:szCs w:val="21"/>
              </w:rPr>
            </w:pPr>
            <w:r>
              <w:rPr>
                <w:rStyle w:val="14"/>
                <w:rFonts w:hint="eastAsia" w:ascii="宋体" w:hAnsi="宋体" w:eastAsia="宋体" w:cs="宋体"/>
                <w:sz w:val="21"/>
                <w:szCs w:val="21"/>
                <w:lang w:bidi="ar"/>
              </w:rPr>
              <w:t>加强京津冀区域绿电能源合作和能源结构转型，推动绿电市场化购入量持续增加。</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区供电公司</w:t>
            </w:r>
          </w:p>
        </w:tc>
        <w:tc>
          <w:tcPr>
            <w:tcW w:w="2250" w:type="dxa"/>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6"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加强京津冀协同发展。强化低碳能源合作开发，加快推进区域能源基础设施互联互通。</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adjustRightInd w:val="0"/>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54"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构建绿色低碳产业体系</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深入激发绿色发展新动能，依托燃料电池汽车示范城市群建设，推动氢能产业发展。</w:t>
            </w:r>
          </w:p>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持续推动大兴国际氢能示范区产业发展，打造具有国际竞争力的绿色产业集群。</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大力发展循环经济，构建循环型产业体系，提升资源综合利用能力，提高再生资源回收率，生活垃圾资源化利用率达80%以上。</w:t>
            </w:r>
          </w:p>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推进城市废弃物低碳协同处置，加强建筑垃圾源头减量和分类回收。</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bookmarkStart w:id="0" w:name="lawyee_4169_6"/>
            <w:r>
              <w:rPr>
                <w:rFonts w:hint="eastAsia" w:ascii="宋体" w:hAnsi="宋体" w:cs="宋体"/>
                <w:color w:val="000000"/>
                <w:kern w:val="0"/>
                <w:szCs w:val="21"/>
                <w:lang w:bidi="ar"/>
              </w:rPr>
              <w:t>区住房城乡建设</w:t>
            </w:r>
            <w:bookmarkEnd w:id="0"/>
            <w:r>
              <w:rPr>
                <w:rFonts w:hint="eastAsia" w:ascii="宋体" w:hAnsi="宋体" w:cs="宋体"/>
                <w:color w:val="000000"/>
                <w:kern w:val="0"/>
                <w:szCs w:val="21"/>
                <w:lang w:bidi="ar"/>
              </w:rPr>
              <w:t>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96"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 w:val="24"/>
                <w:szCs w:val="24"/>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 w:val="24"/>
                <w:szCs w:val="24"/>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kern w:val="0"/>
                <w:szCs w:val="21"/>
                <w:lang w:bidi="ar"/>
              </w:rPr>
              <w:t>加强循环经济产业园区建设，开展产业园区低碳改造升级，进一步加大资源梯级利用和系统优化力度。持续开展数据中心节能降碳改造。</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区科委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1"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7</w:t>
            </w:r>
          </w:p>
        </w:tc>
        <w:tc>
          <w:tcPr>
            <w:tcW w:w="1497" w:type="dxa"/>
            <w:vMerge w:val="restart"/>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宋体" w:hAnsi="宋体" w:cs="宋体"/>
                <w:color w:val="000000"/>
                <w:szCs w:val="21"/>
              </w:rPr>
              <w:t>推进建筑领域低碳化</w:t>
            </w:r>
          </w:p>
        </w:tc>
        <w:tc>
          <w:tcPr>
            <w:tcW w:w="6360" w:type="dxa"/>
            <w:tcBorders>
              <w:tl2br w:val="nil"/>
              <w:tr2bl w:val="nil"/>
            </w:tcBorders>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szCs w:val="21"/>
              </w:rPr>
              <w:t>落实《北京市建筑绿色发展条例》和《北京市大兴区建筑绿色发展三年行动方案（2023-2025年）》，广泛开展宣传解读和培训，推进建筑重点领域减排措施落实，建筑领域碳排放得到有效控制。</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区住房城乡建设委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Style w:val="14"/>
                <w:rFonts w:ascii="宋体" w:hAnsi="宋体" w:eastAsia="宋体" w:cs="宋体"/>
                <w:sz w:val="21"/>
                <w:szCs w:val="21"/>
                <w:lang w:bidi="ar"/>
              </w:rPr>
            </w:pPr>
            <w:r>
              <w:rPr>
                <w:rStyle w:val="14"/>
                <w:rFonts w:hint="eastAsia" w:ascii="宋体" w:hAnsi="宋体" w:eastAsia="宋体" w:cs="宋体"/>
                <w:sz w:val="21"/>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704"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Cs w:val="21"/>
                <w:lang w:bidi="ar"/>
              </w:rPr>
            </w:pPr>
          </w:p>
        </w:tc>
        <w:tc>
          <w:tcPr>
            <w:tcW w:w="6360" w:type="dxa"/>
            <w:tcBorders>
              <w:tl2br w:val="nil"/>
              <w:tr2bl w:val="nil"/>
            </w:tcBorders>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szCs w:val="21"/>
              </w:rPr>
              <w:t>落实低碳建筑标准体系。大力推广绿色建筑，新建政府投资和公共建筑执行绿色建筑二星级及以上标准。</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Style w:val="14"/>
                <w:rFonts w:hint="eastAsia" w:ascii="宋体" w:hAnsi="宋体" w:eastAsia="宋体" w:cs="宋体"/>
                <w:sz w:val="21"/>
                <w:szCs w:val="21"/>
                <w:lang w:bidi="ar"/>
              </w:rPr>
              <w:t>市规划自然资源委大兴分局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区住房城乡建设委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adjustRightInd w:val="0"/>
              <w:snapToGrid w:val="0"/>
              <w:jc w:val="center"/>
              <w:rPr>
                <w:rFonts w:ascii="宋体" w:hAnsi="宋体" w:cs="宋体"/>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81"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Cs w:val="21"/>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Cs w:val="21"/>
              </w:rPr>
            </w:pPr>
          </w:p>
        </w:tc>
        <w:tc>
          <w:tcPr>
            <w:tcW w:w="6360" w:type="dxa"/>
            <w:tcBorders>
              <w:tl2br w:val="nil"/>
              <w:tr2bl w:val="nil"/>
            </w:tcBorders>
            <w:noWrap w:val="0"/>
            <w:vAlign w:val="center"/>
          </w:tcPr>
          <w:p>
            <w:pPr>
              <w:widowControl/>
              <w:adjustRightInd w:val="0"/>
              <w:snapToGrid w:val="0"/>
              <w:jc w:val="left"/>
              <w:textAlignment w:val="center"/>
              <w:rPr>
                <w:rFonts w:ascii="宋体" w:hAnsi="宋体" w:cs="宋体"/>
                <w:color w:val="000000"/>
                <w:szCs w:val="21"/>
              </w:rPr>
            </w:pPr>
            <w:r>
              <w:rPr>
                <w:rFonts w:hint="eastAsia" w:ascii="宋体" w:hAnsi="宋体" w:cs="宋体"/>
                <w:color w:val="000000"/>
                <w:szCs w:val="21"/>
              </w:rPr>
              <w:t>加快推广超低能耗建筑，大力推进公共建筑节能绿色改造。装配式建筑占新建建筑面积的比例达到50%。</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区住房城乡建设委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Style w:val="14"/>
                <w:rFonts w:hint="eastAsia" w:ascii="宋体" w:hAnsi="宋体" w:eastAsia="宋体" w:cs="宋体"/>
                <w:sz w:val="21"/>
                <w:szCs w:val="21"/>
                <w:lang w:bidi="ar"/>
              </w:rPr>
              <w:t>市规划自然资源委大兴分局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6"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8</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创建绿色智能供热体系</w:t>
            </w:r>
          </w:p>
        </w:tc>
        <w:tc>
          <w:tcPr>
            <w:tcW w:w="6360" w:type="dxa"/>
            <w:tcBorders>
              <w:tl2br w:val="nil"/>
              <w:tr2bl w:val="nil"/>
            </w:tcBorders>
            <w:noWrap w:val="0"/>
            <w:vAlign w:val="center"/>
          </w:tcPr>
          <w:p>
            <w:pPr>
              <w:widowControl/>
              <w:adjustRightInd w:val="0"/>
              <w:snapToGrid w:val="0"/>
              <w:textAlignment w:val="center"/>
              <w:rPr>
                <w:rFonts w:ascii="宋体" w:hAnsi="宋体" w:cs="宋体"/>
                <w:szCs w:val="21"/>
              </w:rPr>
            </w:pPr>
            <w:r>
              <w:rPr>
                <w:rFonts w:hint="eastAsia" w:ascii="宋体" w:hAnsi="宋体" w:cs="宋体"/>
                <w:szCs w:val="21"/>
              </w:rPr>
              <w:t>落实市级供暖结构重构方案。全区范围内禁止新建和扩建燃气独立供暖系统（不具备可再生能源供热条件的除外，居民自行安装燃气壁挂炉采暖除外），新建建筑及新建供热项目优先采用新能源供热或采用新能源耦合常规能源供热。新建建筑耦合供热系统中，新能源供热装机占比原则上不低于60%。</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区发展改革委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56"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sz w:val="24"/>
                <w:szCs w:val="24"/>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按照市级要求，统筹实施供热智能化控制、供热资源整合、热网系统重组等，有序推进散小热源整合联网及新能源和可再生能源耦合供热替代，优化热电联产热源布局，完善区域和跨省合作热网。</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adjustRightInd w:val="0"/>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588"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创建绿色智能供热体系</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加大再生水（污水）源热泵、地源热泵和余热回收等绿色低碳技术推广应用，鼓励在具有一定规模的再生水（污水）厂周边地区，优先采用再生水（污水）热泵系统供暖，支持具备条件的既有燃气热电厂、燃气调峰热源厂、燃气锅炉房等加装烟气余热热泵回收装置，鼓励在数据中心集中的区域建设数据中心余热供热系统。</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860"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Style w:val="14"/>
                <w:rFonts w:hint="eastAsia" w:ascii="宋体" w:hAnsi="宋体" w:eastAsia="宋体" w:cs="宋体"/>
                <w:sz w:val="21"/>
                <w:szCs w:val="21"/>
                <w:lang w:bidi="ar"/>
              </w:rPr>
              <w:t>推进既有燃气供热系统低碳改造示范，加大燃气锅炉能源低碳转型。既有建筑智能化供热改造面积达到市级要求，按市级要求创建可推广的典型案例。</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60"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9</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szCs w:val="21"/>
              </w:rPr>
              <w:t>加强城市绿色交通体系建设</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kern w:val="0"/>
                <w:szCs w:val="21"/>
                <w:lang w:bidi="ar"/>
              </w:rPr>
              <w:t>扎实推进慢行优先、公交优先、绿色优先</w:t>
            </w:r>
            <w:r>
              <w:rPr>
                <w:rStyle w:val="14"/>
                <w:rFonts w:hint="eastAsia" w:ascii="宋体" w:hAnsi="宋体" w:eastAsia="宋体" w:cs="宋体"/>
                <w:color w:val="auto"/>
                <w:sz w:val="21"/>
                <w:szCs w:val="21"/>
                <w:lang w:bidi="ar"/>
              </w:rPr>
              <w:t>。</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区交通局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78"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szCs w:val="21"/>
              </w:rPr>
            </w:pPr>
            <w:r>
              <w:rPr>
                <w:rFonts w:hint="eastAsia" w:ascii="宋体" w:hAnsi="宋体" w:cs="宋体"/>
                <w:color w:val="000000"/>
                <w:kern w:val="0"/>
                <w:szCs w:val="21"/>
                <w:lang w:bidi="ar"/>
              </w:rPr>
              <w:t>加快推动</w:t>
            </w:r>
            <w:r>
              <w:rPr>
                <w:rStyle w:val="14"/>
                <w:rFonts w:hint="eastAsia" w:ascii="宋体" w:hAnsi="宋体" w:eastAsia="宋体" w:cs="宋体"/>
                <w:sz w:val="21"/>
                <w:szCs w:val="21"/>
                <w:lang w:bidi="ar"/>
              </w:rPr>
              <w:t>氢能在交通、物流运输领域发展应用，新增氢燃料电池汽车数量达到市级要求，累计建成投运加氢站达到市级要求。</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区经济和信息化局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区科委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区国资委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71"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lang w:bidi="ar"/>
              </w:rPr>
            </w:pPr>
            <w:r>
              <w:rPr>
                <w:rFonts w:hint="eastAsia" w:ascii="宋体" w:hAnsi="宋体" w:cs="宋体"/>
                <w:kern w:val="0"/>
                <w:szCs w:val="21"/>
                <w:lang w:bidi="ar"/>
              </w:rPr>
              <w:t>推动国家氢燃料电池汽车质量检验检测中心项目建设。</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区经济和信息化局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区市场监管局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15"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仿宋_GB2312" w:hAnsi="宋体" w:eastAsia="仿宋_GB2312" w:cs="仿宋_GB2312"/>
                <w:color w:val="000000"/>
                <w:kern w:val="0"/>
                <w:sz w:val="24"/>
                <w:szCs w:val="24"/>
                <w:lang w:bidi="ar"/>
              </w:rPr>
            </w:pP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lang w:bidi="ar"/>
              </w:rPr>
            </w:pPr>
            <w:r>
              <w:rPr>
                <w:rFonts w:hint="eastAsia" w:ascii="宋体" w:hAnsi="宋体" w:cs="宋体"/>
                <w:kern w:val="0"/>
                <w:szCs w:val="21"/>
              </w:rPr>
              <w:t>大力推进机动车“油换电”和氢燃料汽车规模化应用、充换电设施和加氢站建设，公共领域用车电动化程度大幅提升。</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autoSpaceDE w:val="0"/>
              <w:adjustRightInd w:val="0"/>
              <w:snapToGrid w:val="0"/>
              <w:jc w:val="center"/>
              <w:rPr>
                <w:rFonts w:ascii="宋体" w:hAnsi="宋体" w:cs="宋体"/>
                <w:kern w:val="0"/>
                <w:szCs w:val="21"/>
              </w:rPr>
            </w:pPr>
            <w:r>
              <w:rPr>
                <w:rFonts w:hint="eastAsia" w:ascii="宋体" w:hAnsi="宋体" w:cs="宋体"/>
                <w:kern w:val="0"/>
                <w:szCs w:val="21"/>
              </w:rPr>
              <w:t>区经济和信息化局</w:t>
            </w:r>
          </w:p>
          <w:p>
            <w:pPr>
              <w:autoSpaceDE w:val="0"/>
              <w:adjustRightInd w:val="0"/>
              <w:snapToGrid w:val="0"/>
              <w:jc w:val="center"/>
              <w:rPr>
                <w:rFonts w:ascii="宋体" w:hAnsi="宋体" w:cs="宋体"/>
                <w:kern w:val="0"/>
                <w:szCs w:val="21"/>
              </w:rPr>
            </w:pPr>
            <w:r>
              <w:rPr>
                <w:rFonts w:hint="eastAsia" w:ascii="宋体" w:hAnsi="宋体" w:cs="宋体"/>
                <w:kern w:val="0"/>
                <w:szCs w:val="21"/>
              </w:rPr>
              <w:t>区交通局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66"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10</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控制农业和非二氧化碳温室气体排放</w:t>
            </w:r>
          </w:p>
        </w:tc>
        <w:tc>
          <w:tcPr>
            <w:tcW w:w="6360" w:type="dxa"/>
            <w:tcBorders>
              <w:tl2br w:val="nil"/>
              <w:tr2bl w:val="nil"/>
            </w:tcBorders>
            <w:noWrap w:val="0"/>
            <w:vAlign w:val="center"/>
          </w:tcPr>
          <w:p>
            <w:pPr>
              <w:adjustRightInd w:val="0"/>
              <w:snapToGrid w:val="0"/>
              <w:rPr>
                <w:rFonts w:ascii="宋体" w:hAnsi="宋体" w:cs="宋体"/>
                <w:kern w:val="0"/>
                <w:szCs w:val="21"/>
              </w:rPr>
            </w:pPr>
            <w:r>
              <w:rPr>
                <w:rFonts w:hint="eastAsia" w:ascii="宋体" w:hAnsi="宋体" w:cs="宋体"/>
                <w:kern w:val="0"/>
                <w:szCs w:val="21"/>
              </w:rPr>
              <w:t>大力发展低碳循环农业，提升低耗高效农业设施比例。推广测土配方施肥等技术，持续推进化肥减量增效。</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szCs w:val="21"/>
              </w:rPr>
            </w:pPr>
            <w:r>
              <w:rPr>
                <w:rStyle w:val="14"/>
                <w:rFonts w:hint="eastAsia" w:ascii="宋体" w:hAnsi="宋体" w:eastAsia="宋体" w:cs="宋体"/>
                <w:color w:val="auto"/>
                <w:sz w:val="21"/>
                <w:szCs w:val="21"/>
                <w:lang w:bidi="ar"/>
              </w:rPr>
              <w:t>区农业服务中心</w:t>
            </w:r>
          </w:p>
        </w:tc>
        <w:tc>
          <w:tcPr>
            <w:tcW w:w="2250" w:type="dxa"/>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相关镇人民政府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5"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kern w:val="0"/>
                <w:szCs w:val="21"/>
                <w:lang w:bidi="ar"/>
              </w:rPr>
              <w:t>配合市级制定甲烷排放控制方案，稳妥有序开展甲烷排放控制工作。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区水务局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区农业农村局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jc w:val="center"/>
        </w:trPr>
        <w:tc>
          <w:tcPr>
            <w:tcW w:w="569" w:type="dxa"/>
            <w:vMerge w:val="restart"/>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color w:val="000000"/>
                <w:szCs w:val="21"/>
              </w:rPr>
              <w:t>11</w:t>
            </w:r>
          </w:p>
        </w:tc>
        <w:tc>
          <w:tcPr>
            <w:tcW w:w="1497" w:type="dxa"/>
            <w:vMerge w:val="restart"/>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kern w:val="0"/>
                <w:szCs w:val="21"/>
                <w:lang w:bidi="ar"/>
              </w:rPr>
              <w:t>提升生态系统应对气候变化能力</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Style w:val="14"/>
                <w:rFonts w:hint="eastAsia" w:ascii="宋体" w:hAnsi="宋体" w:eastAsia="宋体" w:cs="宋体"/>
                <w:color w:val="auto"/>
                <w:sz w:val="21"/>
                <w:szCs w:val="21"/>
                <w:lang w:bidi="ar"/>
              </w:rPr>
              <w:t>全区森林蓄积</w:t>
            </w:r>
            <w:r>
              <w:rPr>
                <w:rFonts w:hint="eastAsia" w:ascii="宋体" w:hAnsi="宋体" w:cs="宋体"/>
                <w:color w:val="000000"/>
                <w:kern w:val="0"/>
                <w:szCs w:val="21"/>
                <w:lang w:bidi="ar"/>
              </w:rPr>
              <w:t>量达</w:t>
            </w:r>
            <w:r>
              <w:rPr>
                <w:rFonts w:hint="eastAsia" w:ascii="宋体" w:hAnsi="宋体" w:cs="宋体"/>
                <w:kern w:val="0"/>
                <w:szCs w:val="21"/>
                <w:lang w:bidi="ar"/>
              </w:rPr>
              <w:t>到</w:t>
            </w:r>
            <w:r>
              <w:rPr>
                <w:rStyle w:val="14"/>
                <w:rFonts w:hint="eastAsia" w:ascii="宋体" w:hAnsi="宋体" w:eastAsia="宋体" w:cs="宋体"/>
                <w:color w:val="auto"/>
                <w:sz w:val="21"/>
                <w:szCs w:val="21"/>
                <w:lang w:bidi="ar"/>
              </w:rPr>
              <w:t>200</w:t>
            </w:r>
            <w:r>
              <w:rPr>
                <w:rFonts w:hint="eastAsia" w:ascii="宋体" w:hAnsi="宋体" w:cs="宋体"/>
                <w:kern w:val="0"/>
                <w:szCs w:val="21"/>
              </w:rPr>
              <w:t>万立方米</w:t>
            </w:r>
            <w:r>
              <w:rPr>
                <w:rStyle w:val="14"/>
                <w:rFonts w:hint="eastAsia" w:ascii="宋体" w:hAnsi="宋体" w:eastAsia="宋体" w:cs="宋体"/>
                <w:color w:val="auto"/>
                <w:sz w:val="21"/>
                <w:szCs w:val="21"/>
                <w:lang w:bidi="ar"/>
              </w:rPr>
              <w:t>。</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区园林绿化局</w:t>
            </w:r>
          </w:p>
        </w:tc>
        <w:tc>
          <w:tcPr>
            <w:tcW w:w="2250" w:type="dxa"/>
            <w:tcBorders>
              <w:tl2br w:val="nil"/>
              <w:tr2bl w:val="nil"/>
            </w:tcBorders>
            <w:noWrap w:val="0"/>
            <w:vAlign w:val="center"/>
          </w:tcPr>
          <w:p>
            <w:pPr>
              <w:adjustRightInd w:val="0"/>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565"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着力推进城市生态系统适应气候变化工作，鼓励并利用基于自然的解决方案，构建生态廊道和城镇建设相互交融的空间格局。</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区园林绿化局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市规划自然资源委大兴分局</w:t>
            </w:r>
          </w:p>
        </w:tc>
        <w:tc>
          <w:tcPr>
            <w:tcW w:w="2250" w:type="dxa"/>
            <w:tcBorders>
              <w:tl2br w:val="nil"/>
              <w:tr2bl w:val="nil"/>
            </w:tcBorders>
            <w:noWrap w:val="0"/>
            <w:vAlign w:val="center"/>
          </w:tcPr>
          <w:p>
            <w:pPr>
              <w:adjustRightInd w:val="0"/>
              <w:snapToGrid w:val="0"/>
              <w:jc w:val="center"/>
              <w:rPr>
                <w:rFonts w:ascii="宋体" w:hAnsi="宋体" w:cs="宋体"/>
                <w:color w:val="000000"/>
                <w:kern w:val="0"/>
                <w:szCs w:val="21"/>
                <w:lang w:bidi="ar"/>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4111" w:type="dxa"/>
            <w:gridSpan w:val="6"/>
            <w:tcBorders>
              <w:tl2br w:val="nil"/>
              <w:tr2bl w:val="nil"/>
            </w:tcBorders>
            <w:noWrap w:val="0"/>
            <w:vAlign w:val="center"/>
          </w:tcPr>
          <w:p>
            <w:pPr>
              <w:adjustRightInd w:val="0"/>
              <w:snapToGrid w:val="0"/>
              <w:jc w:val="center"/>
              <w:rPr>
                <w:rFonts w:ascii="仿宋_GB2312" w:hAnsi="宋体" w:eastAsia="仿宋_GB2312" w:cs="仿宋_GB2312"/>
                <w:color w:val="000000"/>
                <w:kern w:val="0"/>
                <w:sz w:val="24"/>
                <w:szCs w:val="24"/>
                <w:lang w:bidi="ar"/>
              </w:rPr>
            </w:pPr>
            <w:r>
              <w:rPr>
                <w:rFonts w:hint="eastAsia" w:ascii="黑体" w:hAnsi="宋体" w:eastAsia="黑体" w:cs="黑体"/>
                <w:color w:val="000000"/>
                <w:sz w:val="21"/>
                <w:szCs w:val="21"/>
              </w:rPr>
              <w:t>四、加强城市气候适应性建设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606" w:hRule="atLeast"/>
          <w:jc w:val="center"/>
        </w:trPr>
        <w:tc>
          <w:tcPr>
            <w:tcW w:w="569" w:type="dxa"/>
            <w:tcBorders>
              <w:tl2br w:val="nil"/>
              <w:tr2bl w:val="nil"/>
            </w:tcBorders>
            <w:noWrap w:val="0"/>
            <w:vAlign w:val="center"/>
          </w:tcPr>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12</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加强适应气候变化工作统筹</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落实北京市适应气候变化行动方案，普及适应气候变化理念，提升城市气候变化风险评估和适应气候变化能力。</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区生态环境局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市规划自然资源委大兴分局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区发展改革委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区应急局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区气象局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区水务局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区科委</w:t>
            </w:r>
          </w:p>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区住房城乡建设委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区交通局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区农业农村局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区文化和旅游局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区卫生健康委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区园林绿化局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区财政局</w:t>
            </w:r>
          </w:p>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区城市管理委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9" w:hRule="atLeast"/>
          <w:jc w:val="center"/>
        </w:trPr>
        <w:tc>
          <w:tcPr>
            <w:tcW w:w="569"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13</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加强海绵城市建设</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推广开展“海绵校园”“海绵公园”“海绵道路”等海绵城市建设工程。全区海绵城市达标面积比例</w:t>
            </w:r>
            <w:r>
              <w:rPr>
                <w:rFonts w:hint="eastAsia" w:ascii="宋体" w:hAnsi="宋体" w:cs="宋体"/>
                <w:kern w:val="0"/>
                <w:szCs w:val="21"/>
                <w:lang w:bidi="ar"/>
              </w:rPr>
              <w:t>力争</w:t>
            </w:r>
            <w:r>
              <w:rPr>
                <w:rFonts w:hint="eastAsia" w:ascii="宋体" w:hAnsi="宋体" w:cs="宋体"/>
                <w:kern w:val="0"/>
                <w:szCs w:val="21"/>
                <w:lang w:eastAsia="zh-CN" w:bidi="ar"/>
              </w:rPr>
              <w:t>达到</w:t>
            </w:r>
            <w:r>
              <w:rPr>
                <w:rStyle w:val="14"/>
                <w:rFonts w:hint="eastAsia" w:ascii="宋体" w:hAnsi="宋体" w:eastAsia="宋体" w:cs="宋体"/>
                <w:color w:val="auto"/>
                <w:sz w:val="21"/>
                <w:szCs w:val="21"/>
                <w:lang w:bidi="ar"/>
              </w:rPr>
              <w:t>36</w:t>
            </w:r>
            <w:r>
              <w:rPr>
                <w:rFonts w:hint="eastAsia" w:ascii="宋体" w:hAnsi="宋体" w:cs="宋体"/>
                <w:kern w:val="0"/>
                <w:szCs w:val="21"/>
              </w:rPr>
              <w:t>%</w:t>
            </w:r>
            <w:r>
              <w:rPr>
                <w:rFonts w:hint="eastAsia" w:ascii="宋体" w:hAnsi="宋体" w:cs="宋体"/>
                <w:kern w:val="0"/>
                <w:szCs w:val="21"/>
                <w:lang w:bidi="ar"/>
              </w:rPr>
              <w:t>。</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区水务局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区园林绿化局</w:t>
            </w:r>
          </w:p>
          <w:p>
            <w:pPr>
              <w:adjustRightInd w:val="0"/>
              <w:snapToGrid w:val="0"/>
              <w:jc w:val="center"/>
              <w:rPr>
                <w:rFonts w:ascii="宋体" w:hAnsi="宋体" w:cs="宋体"/>
                <w:kern w:val="0"/>
                <w:szCs w:val="21"/>
                <w:lang w:bidi="ar"/>
              </w:rPr>
            </w:pPr>
            <w:r>
              <w:rPr>
                <w:rFonts w:hint="eastAsia" w:ascii="宋体" w:hAnsi="宋体" w:cs="宋体"/>
                <w:kern w:val="0"/>
                <w:szCs w:val="21"/>
                <w:lang w:bidi="ar"/>
              </w:rPr>
              <w:t>区住房城乡建设委</w:t>
            </w:r>
          </w:p>
          <w:p>
            <w:pPr>
              <w:adjustRightInd w:val="0"/>
              <w:snapToGrid w:val="0"/>
              <w:jc w:val="center"/>
              <w:rPr>
                <w:rFonts w:ascii="宋体" w:hAnsi="宋体" w:cs="宋体"/>
                <w:szCs w:val="21"/>
              </w:rPr>
            </w:pPr>
            <w:r>
              <w:rPr>
                <w:rFonts w:hint="eastAsia" w:ascii="宋体" w:hAnsi="宋体" w:cs="宋体"/>
                <w:kern w:val="0"/>
                <w:szCs w:val="21"/>
                <w:lang w:bidi="ar"/>
              </w:rPr>
              <w:t>市规划自然资源委大兴分局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19" w:hRule="atLeast"/>
          <w:jc w:val="center"/>
        </w:trPr>
        <w:tc>
          <w:tcPr>
            <w:tcW w:w="569"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14</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提升监测预警能力</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kern w:val="0"/>
                <w:szCs w:val="21"/>
                <w:lang w:bidi="ar"/>
              </w:rPr>
            </w:pPr>
            <w:r>
              <w:rPr>
                <w:rFonts w:hint="eastAsia" w:ascii="宋体" w:hAnsi="宋体" w:cs="宋体"/>
                <w:color w:val="000000"/>
                <w:kern w:val="0"/>
                <w:szCs w:val="21"/>
                <w:lang w:bidi="ar"/>
              </w:rPr>
              <w:t>健全覆盖全区的气象监测和自然灾害预警系统，进一步提高短时临近气象预报精准度，加大重点区域的精准预测预警。</w:t>
            </w:r>
          </w:p>
        </w:tc>
        <w:tc>
          <w:tcPr>
            <w:tcW w:w="1200" w:type="dxa"/>
            <w:tcBorders>
              <w:tl2br w:val="nil"/>
              <w:tr2bl w:val="nil"/>
            </w:tcBorders>
            <w:noWrap w:val="0"/>
            <w:vAlign w:val="center"/>
          </w:tcPr>
          <w:p>
            <w:pPr>
              <w:adjustRightInd w:val="0"/>
              <w:snapToGrid w:val="0"/>
              <w:jc w:val="center"/>
              <w:rPr>
                <w:rFonts w:ascii="宋体" w:hAnsi="宋体" w:cs="宋体"/>
                <w:kern w:val="0"/>
                <w:szCs w:val="21"/>
                <w:lang w:bidi="ar"/>
              </w:rPr>
            </w:pPr>
            <w:r>
              <w:rPr>
                <w:rFonts w:hint="eastAsia" w:ascii="宋体" w:hAnsi="宋体" w:cs="宋体"/>
                <w:kern w:val="0"/>
                <w:szCs w:val="21"/>
                <w:lang w:bidi="ar"/>
              </w:rPr>
              <w:t>年底前</w:t>
            </w:r>
          </w:p>
        </w:tc>
        <w:tc>
          <w:tcPr>
            <w:tcW w:w="2235" w:type="dxa"/>
            <w:tcBorders>
              <w:tl2br w:val="nil"/>
              <w:tr2bl w:val="nil"/>
            </w:tcBorders>
            <w:noWrap w:val="0"/>
            <w:vAlign w:val="center"/>
          </w:tcPr>
          <w:p>
            <w:pPr>
              <w:autoSpaceDE w:val="0"/>
              <w:adjustRightInd w:val="0"/>
              <w:snapToGrid w:val="0"/>
              <w:jc w:val="center"/>
              <w:rPr>
                <w:rFonts w:ascii="宋体" w:hAnsi="宋体" w:cs="宋体"/>
                <w:kern w:val="0"/>
                <w:szCs w:val="21"/>
                <w:lang w:bidi="ar"/>
              </w:rPr>
            </w:pPr>
            <w:r>
              <w:rPr>
                <w:rFonts w:hint="eastAsia" w:ascii="宋体" w:hAnsi="宋体" w:cs="宋体"/>
                <w:kern w:val="0"/>
                <w:szCs w:val="21"/>
              </w:rPr>
              <w:t>区气象局</w:t>
            </w:r>
          </w:p>
        </w:tc>
        <w:tc>
          <w:tcPr>
            <w:tcW w:w="2250" w:type="dxa"/>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4" w:hRule="exact"/>
          <w:jc w:val="center"/>
        </w:trPr>
        <w:tc>
          <w:tcPr>
            <w:tcW w:w="14111" w:type="dxa"/>
            <w:gridSpan w:val="6"/>
            <w:tcBorders>
              <w:tl2br w:val="nil"/>
              <w:tr2bl w:val="nil"/>
            </w:tcBorders>
            <w:noWrap w:val="0"/>
            <w:vAlign w:val="center"/>
          </w:tcPr>
          <w:p>
            <w:pPr>
              <w:widowControl/>
              <w:adjustRightInd w:val="0"/>
              <w:snapToGrid w:val="0"/>
              <w:jc w:val="center"/>
              <w:textAlignment w:val="center"/>
              <w:rPr>
                <w:rFonts w:ascii="黑体" w:hAnsi="宋体" w:eastAsia="黑体" w:cs="黑体"/>
                <w:color w:val="000000"/>
                <w:sz w:val="24"/>
                <w:szCs w:val="24"/>
              </w:rPr>
            </w:pPr>
            <w:r>
              <w:rPr>
                <w:rFonts w:hint="eastAsia" w:ascii="黑体" w:hAnsi="宋体" w:eastAsia="黑体" w:cs="黑体"/>
                <w:color w:val="000000"/>
                <w:sz w:val="21"/>
                <w:szCs w:val="21"/>
              </w:rPr>
              <w:t>五、强化综合保障和能力建设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90"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15</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szCs w:val="21"/>
              </w:rPr>
            </w:pPr>
            <w:r>
              <w:rPr>
                <w:rFonts w:hint="eastAsia" w:ascii="宋体" w:hAnsi="宋体" w:cs="宋体"/>
                <w:kern w:val="0"/>
                <w:szCs w:val="21"/>
                <w:lang w:bidi="ar"/>
              </w:rPr>
              <w:t>提升统计核算能力</w:t>
            </w:r>
          </w:p>
        </w:tc>
        <w:tc>
          <w:tcPr>
            <w:tcW w:w="6360" w:type="dxa"/>
            <w:tcBorders>
              <w:tl2br w:val="nil"/>
              <w:tr2bl w:val="nil"/>
            </w:tcBorders>
            <w:noWrap w:val="0"/>
            <w:vAlign w:val="center"/>
          </w:tcPr>
          <w:p>
            <w:pPr>
              <w:widowControl/>
              <w:adjustRightInd w:val="0"/>
              <w:snapToGrid w:val="0"/>
              <w:textAlignment w:val="center"/>
              <w:rPr>
                <w:rFonts w:ascii="宋体" w:hAnsi="宋体" w:cs="宋体"/>
                <w:szCs w:val="21"/>
              </w:rPr>
            </w:pPr>
            <w:r>
              <w:rPr>
                <w:rFonts w:hint="eastAsia" w:ascii="宋体" w:hAnsi="宋体" w:cs="宋体"/>
                <w:kern w:val="0"/>
                <w:szCs w:val="21"/>
                <w:lang w:bidi="ar"/>
              </w:rPr>
              <w:t>开展温室气体与污染物排放融合清单编制工作。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区统计局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65" w:hRule="atLeast"/>
          <w:jc w:val="center"/>
        </w:trPr>
        <w:tc>
          <w:tcPr>
            <w:tcW w:w="569"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1497" w:type="dxa"/>
            <w:vMerge w:val="continue"/>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加强能源运行监测，定期统计全区能源运行情况，夯实能耗及碳排放核算数据基础，按季度开展区级碳排放形势分析。</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区统计局</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区发展改革委</w:t>
            </w:r>
          </w:p>
          <w:p>
            <w:pPr>
              <w:widowControl/>
              <w:adjustRightInd w:val="0"/>
              <w:snapToGrid w:val="0"/>
              <w:jc w:val="center"/>
              <w:textAlignment w:val="center"/>
              <w:rPr>
                <w:rFonts w:ascii="宋体" w:hAnsi="宋体" w:cs="宋体"/>
                <w:kern w:val="0"/>
                <w:szCs w:val="21"/>
                <w:lang w:bidi="ar"/>
              </w:rPr>
            </w:pPr>
            <w:r>
              <w:rPr>
                <w:rFonts w:hint="eastAsia" w:ascii="宋体" w:hAnsi="宋体" w:cs="宋体"/>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kern w:val="0"/>
                <w:szCs w:val="21"/>
                <w:lang w:bidi="ar"/>
              </w:rPr>
              <w:t>区供电公司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610" w:hRule="atLeast"/>
          <w:jc w:val="center"/>
        </w:trPr>
        <w:tc>
          <w:tcPr>
            <w:tcW w:w="569"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16</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强化应对气候变化财政及经济政策支持</w:t>
            </w:r>
          </w:p>
        </w:tc>
        <w:tc>
          <w:tcPr>
            <w:tcW w:w="6360" w:type="dxa"/>
            <w:tcBorders>
              <w:tl2br w:val="nil"/>
              <w:tr2bl w:val="nil"/>
            </w:tcBorders>
            <w:noWrap w:val="0"/>
            <w:vAlign w:val="center"/>
          </w:tcPr>
          <w:p>
            <w:pPr>
              <w:widowControl/>
              <w:adjustRightInd w:val="0"/>
              <w:snapToGrid w:val="0"/>
              <w:textAlignment w:val="center"/>
              <w:rPr>
                <w:rFonts w:ascii="宋体" w:hAnsi="宋体" w:cs="宋体"/>
                <w:kern w:val="0"/>
                <w:szCs w:val="21"/>
                <w:lang w:bidi="ar"/>
              </w:rPr>
            </w:pPr>
            <w:r>
              <w:rPr>
                <w:rFonts w:hint="eastAsia" w:ascii="宋体" w:hAnsi="宋体" w:cs="宋体"/>
                <w:color w:val="000000"/>
                <w:kern w:val="0"/>
                <w:szCs w:val="21"/>
                <w:lang w:bidi="ar"/>
              </w:rPr>
              <w:t>加大财政资金对减缓和适应气候变化工作的支持力度，鼓励低碳技术和项目，逐步削减对燃气供暖等化石能源消费的政策补贴，加强对光伏发电、地热及热泵等可再生能源开发利用的政策</w:t>
            </w:r>
            <w:r>
              <w:rPr>
                <w:rFonts w:hint="eastAsia" w:ascii="宋体" w:hAnsi="宋体" w:cs="宋体"/>
                <w:kern w:val="0"/>
                <w:szCs w:val="21"/>
                <w:lang w:bidi="ar"/>
              </w:rPr>
              <w:t>支持。</w:t>
            </w:r>
          </w:p>
          <w:p>
            <w:pPr>
              <w:widowControl/>
              <w:adjustRightInd w:val="0"/>
              <w:snapToGrid w:val="0"/>
              <w:textAlignment w:val="center"/>
              <w:rPr>
                <w:rFonts w:ascii="宋体" w:hAnsi="宋体" w:cs="宋体"/>
                <w:color w:val="000000"/>
                <w:kern w:val="0"/>
                <w:szCs w:val="21"/>
                <w:lang w:bidi="ar"/>
              </w:rPr>
            </w:pPr>
            <w:r>
              <w:rPr>
                <w:rFonts w:hint="eastAsia" w:ascii="宋体" w:hAnsi="宋体" w:cs="宋体"/>
                <w:kern w:val="0"/>
                <w:szCs w:val="21"/>
                <w:lang w:bidi="ar"/>
              </w:rPr>
              <w:t>大力推进财政补贴、贷款贴息等绿色金融政策。</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区财政局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区金融办</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26" w:hRule="atLeast"/>
          <w:jc w:val="center"/>
        </w:trPr>
        <w:tc>
          <w:tcPr>
            <w:tcW w:w="569"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17</w:t>
            </w:r>
          </w:p>
        </w:tc>
        <w:tc>
          <w:tcPr>
            <w:tcW w:w="1497" w:type="dxa"/>
            <w:vMerge w:val="restart"/>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加强宣传教育</w:t>
            </w: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组织开展2024年低碳日、环境日、生态日等宣传活动，加大应对气候变化宣传力度。推广高效低碳绿色产品，引导市民</w:t>
            </w:r>
            <w:r>
              <w:rPr>
                <w:rFonts w:hint="eastAsia" w:ascii="宋体" w:hAnsi="宋体" w:cs="宋体"/>
                <w:color w:val="000000"/>
                <w:szCs w:val="21"/>
                <w:lang w:eastAsia="zh-CN"/>
              </w:rPr>
              <w:t>形成</w:t>
            </w:r>
            <w:r>
              <w:rPr>
                <w:rFonts w:hint="eastAsia" w:ascii="宋体" w:hAnsi="宋体" w:cs="宋体"/>
                <w:color w:val="000000"/>
                <w:szCs w:val="21"/>
              </w:rPr>
              <w:t>低碳出行与垃圾分类等绿色低碳的生活方式和消费理念。</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区交通局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区城市管理委</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区机关事务中心</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457" w:hRule="atLeast"/>
          <w:jc w:val="center"/>
        </w:trPr>
        <w:tc>
          <w:tcPr>
            <w:tcW w:w="569"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1497" w:type="dxa"/>
            <w:vMerge w:val="continue"/>
            <w:tcBorders>
              <w:tl2br w:val="nil"/>
              <w:tr2bl w:val="nil"/>
            </w:tcBorders>
            <w:noWrap w:val="0"/>
            <w:vAlign w:val="center"/>
          </w:tcPr>
          <w:p>
            <w:pPr>
              <w:adjustRightInd w:val="0"/>
              <w:snapToGrid w:val="0"/>
              <w:jc w:val="center"/>
              <w:rPr>
                <w:rFonts w:ascii="宋体" w:hAnsi="宋体" w:cs="宋体"/>
                <w:color w:val="000000"/>
                <w:szCs w:val="21"/>
              </w:rPr>
            </w:pPr>
          </w:p>
        </w:tc>
        <w:tc>
          <w:tcPr>
            <w:tcW w:w="6360" w:type="dxa"/>
            <w:tcBorders>
              <w:tl2br w:val="nil"/>
              <w:tr2bl w:val="nil"/>
            </w:tcBorders>
            <w:noWrap w:val="0"/>
            <w:vAlign w:val="center"/>
          </w:tcPr>
          <w:p>
            <w:pPr>
              <w:widowControl/>
              <w:adjustRightInd w:val="0"/>
              <w:snapToGrid w:val="0"/>
              <w:textAlignment w:val="center"/>
              <w:rPr>
                <w:rFonts w:ascii="宋体" w:hAnsi="宋体" w:cs="宋体"/>
                <w:color w:val="000000"/>
                <w:szCs w:val="21"/>
              </w:rPr>
            </w:pPr>
            <w:r>
              <w:rPr>
                <w:rFonts w:hint="eastAsia" w:ascii="宋体" w:hAnsi="宋体" w:cs="宋体"/>
                <w:color w:val="000000"/>
                <w:szCs w:val="21"/>
              </w:rPr>
              <w:t>开展应对气候变化、碳市场等相关教育培训，提高各级党员领导干部、企业人员、社会公众应对气候变化知识的培训力度，将应对气候变化纳入干部教育培训的重要内容，提升推动低碳发展本领。</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Style w:val="14"/>
                <w:rFonts w:ascii="宋体" w:hAnsi="宋体" w:eastAsia="宋体" w:cs="宋体"/>
                <w:color w:val="auto"/>
                <w:sz w:val="21"/>
                <w:szCs w:val="21"/>
                <w:lang w:bidi="ar"/>
              </w:rPr>
            </w:pPr>
            <w:r>
              <w:rPr>
                <w:rStyle w:val="14"/>
                <w:rFonts w:hint="eastAsia" w:ascii="宋体" w:hAnsi="宋体" w:eastAsia="宋体" w:cs="宋体"/>
                <w:color w:val="auto"/>
                <w:sz w:val="21"/>
                <w:szCs w:val="21"/>
                <w:lang w:bidi="ar"/>
              </w:rPr>
              <w:t>区生态环境局</w:t>
            </w:r>
          </w:p>
          <w:p>
            <w:pPr>
              <w:widowControl/>
              <w:adjustRightInd w:val="0"/>
              <w:snapToGrid w:val="0"/>
              <w:jc w:val="center"/>
              <w:textAlignment w:val="center"/>
              <w:rPr>
                <w:rFonts w:ascii="宋体" w:hAnsi="宋体" w:cs="宋体"/>
                <w:color w:val="000000"/>
                <w:szCs w:val="21"/>
              </w:rPr>
            </w:pPr>
            <w:r>
              <w:rPr>
                <w:rStyle w:val="10"/>
                <w:rFonts w:hint="eastAsia" w:ascii="宋体" w:hAnsi="宋体" w:eastAsia="宋体" w:cs="宋体"/>
                <w:color w:val="auto"/>
                <w:sz w:val="21"/>
                <w:szCs w:val="21"/>
                <w:lang w:bidi="ar"/>
              </w:rPr>
              <w:t>区委组织部</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各镇人民政府</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各街道办事处</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各产业园区管委会</w:t>
            </w:r>
          </w:p>
          <w:p>
            <w:pPr>
              <w:widowControl/>
              <w:adjustRightInd w:val="0"/>
              <w:snapToGrid w:val="0"/>
              <w:jc w:val="center"/>
              <w:textAlignment w:val="center"/>
              <w:rPr>
                <w:rFonts w:ascii="宋体" w:hAnsi="宋体" w:cs="宋体"/>
                <w:color w:val="000000"/>
                <w:szCs w:val="21"/>
              </w:rPr>
            </w:pPr>
            <w:r>
              <w:rPr>
                <w:rFonts w:hint="eastAsia" w:ascii="宋体" w:hAnsi="宋体" w:cs="宋体"/>
                <w:color w:val="000000"/>
                <w:kern w:val="0"/>
                <w:szCs w:val="21"/>
                <w:lang w:bidi="ar"/>
              </w:rPr>
              <w:t>临空经济区大兴片区管委会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362" w:hRule="atLeast"/>
          <w:jc w:val="center"/>
        </w:trPr>
        <w:tc>
          <w:tcPr>
            <w:tcW w:w="569" w:type="dxa"/>
            <w:tcBorders>
              <w:tl2br w:val="nil"/>
              <w:tr2bl w:val="nil"/>
            </w:tcBorders>
            <w:noWrap w:val="0"/>
            <w:vAlign w:val="center"/>
          </w:tcPr>
          <w:p>
            <w:pPr>
              <w:adjustRightInd w:val="0"/>
              <w:snapToGrid w:val="0"/>
              <w:jc w:val="center"/>
              <w:rPr>
                <w:rFonts w:ascii="宋体" w:hAnsi="宋体" w:cs="宋体"/>
                <w:color w:val="000000"/>
                <w:szCs w:val="21"/>
              </w:rPr>
            </w:pPr>
            <w:r>
              <w:rPr>
                <w:rFonts w:hint="eastAsia" w:ascii="宋体" w:hAnsi="宋体" w:cs="宋体"/>
                <w:color w:val="000000"/>
                <w:kern w:val="0"/>
                <w:szCs w:val="21"/>
                <w:lang w:bidi="ar"/>
              </w:rPr>
              <w:t>18</w:t>
            </w:r>
          </w:p>
        </w:tc>
        <w:tc>
          <w:tcPr>
            <w:tcW w:w="1497"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积极参加交流合作</w:t>
            </w:r>
          </w:p>
        </w:tc>
        <w:tc>
          <w:tcPr>
            <w:tcW w:w="6360" w:type="dxa"/>
            <w:tcBorders>
              <w:tl2br w:val="nil"/>
              <w:tr2bl w:val="nil"/>
            </w:tcBorders>
            <w:noWrap w:val="0"/>
            <w:vAlign w:val="center"/>
          </w:tcPr>
          <w:p>
            <w:pPr>
              <w:widowControl/>
              <w:adjustRightInd w:val="0"/>
              <w:snapToGrid w:val="0"/>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积极参加国际应对气候变化交流、国际大都市清洁空气和应对气候变化论坛，宣传北京低碳发展实践成效，讲好北京故事。积极参与国际城市间应对气候变化合作。</w:t>
            </w:r>
          </w:p>
        </w:tc>
        <w:tc>
          <w:tcPr>
            <w:tcW w:w="120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年底前</w:t>
            </w:r>
          </w:p>
        </w:tc>
        <w:tc>
          <w:tcPr>
            <w:tcW w:w="2235"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区生态环境局</w:t>
            </w:r>
          </w:p>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区发展改革委</w:t>
            </w:r>
          </w:p>
        </w:tc>
        <w:tc>
          <w:tcPr>
            <w:tcW w:w="2250" w:type="dxa"/>
            <w:tcBorders>
              <w:tl2br w:val="nil"/>
              <w:tr2bl w:val="nil"/>
            </w:tcBorders>
            <w:noWrap w:val="0"/>
            <w:vAlign w:val="center"/>
          </w:tcPr>
          <w:p>
            <w:pPr>
              <w:widowControl/>
              <w:adjustRightInd w:val="0"/>
              <w:snapToGrid w:val="0"/>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各相关部门</w:t>
            </w:r>
          </w:p>
        </w:tc>
      </w:tr>
    </w:tbl>
    <w:p>
      <w:bookmarkStart w:id="1" w:name="_GoBack"/>
      <w:bookmarkEnd w:id="1"/>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-377825</wp:posOffset>
              </wp:positionH>
              <wp:positionV relativeFrom="paragraph">
                <wp:posOffset>-782320</wp:posOffset>
              </wp:positionV>
              <wp:extent cx="229870" cy="5740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9870" cy="57404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vert="eaVert" lIns="0" tIns="0" rIns="0" bIns="0" upright="0"/>
                  </wps:wsp>
                </a:graphicData>
              </a:graphic>
            </wp:anchor>
          </w:drawing>
        </mc:Choice>
        <mc:Fallback>
          <w:pict>
            <v:shape id="_x0000_s1026" o:spid="_x0000_s1026" o:spt="202" type="#_x0000_t202" style="position:absolute;left:0pt;margin-left:-29.75pt;margin-top:-61.6pt;height:45.2pt;width:18.1pt;mso-position-horizontal-relative:margin;z-index:251659264;mso-width-relative:page;mso-height-relative:page;" filled="f" stroked="f" coordsize="21600,21600" o:gfxdata="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8Gp1dgAAAAMAQAADwAAAAAAAAABACAAAAAiAAAAZHJzL2Rvd25y&#10;ZXYueG1sUEsBAhQAFAAAAAgAh07iQAZZY4/FAQAAfwMAAA4AAAAAAAAAAQAgAAAAJwEAAGRycy9l&#10;Mm9Eb2MueG1sUEsFBgAAAAAGAAYAWQEAAF4FAAAAAA==&#10;">
              <v:fill on="f" focussize="0,0"/>
              <v:stroke on="f"/>
              <v:imagedata o:title=""/>
              <o:lock v:ext="edit" aspectratio="f"/>
              <v:textbox inset="0mm,0mm,0mm,0mm" style="layout-flow:vertical-ideographic;">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702126E7"/>
    <w:rsid w:val="31DB13D9"/>
    <w:rsid w:val="39BE02CB"/>
    <w:rsid w:val="5B28431B"/>
    <w:rsid w:val="7021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widowControl w:val="0"/>
      <w:spacing w:after="120" w:line="560" w:lineRule="exact"/>
      <w:ind w:firstLine="420" w:firstLineChars="200"/>
      <w:jc w:val="both"/>
    </w:pPr>
    <w:rPr>
      <w:rFonts w:ascii="Times New Roman" w:hAnsi="Times New Roman" w:eastAsia="宋体" w:cs="Times New Roman"/>
      <w:kern w:val="2"/>
      <w:sz w:val="21"/>
      <w:szCs w:val="32"/>
      <w:lang w:val="en-US" w:eastAsia="zh-CN" w:bidi="ar-SA"/>
    </w:rPr>
  </w:style>
  <w:style w:type="paragraph" w:styleId="3">
    <w:name w:val="Body Text Indent"/>
    <w:basedOn w:val="1"/>
    <w:unhideWhenUsed/>
    <w:qFormat/>
    <w:uiPriority w:val="99"/>
    <w:pPr>
      <w:spacing w:after="120"/>
      <w:ind w:left="420" w:leftChars="200"/>
    </w:pPr>
  </w:style>
  <w:style w:type="paragraph" w:styleId="4">
    <w:name w:val="Body Text"/>
    <w:basedOn w:val="1"/>
    <w:next w:val="5"/>
    <w:qFormat/>
    <w:uiPriority w:val="0"/>
    <w:pPr>
      <w:widowControl w:val="0"/>
      <w:spacing w:line="300" w:lineRule="atLeast"/>
      <w:jc w:val="center"/>
    </w:pPr>
    <w:rPr>
      <w:rFonts w:ascii="Times New Roman" w:hAnsi="Times New Roman" w:eastAsia="宋体" w:cs="Times New Roman"/>
      <w:color w:val="000000"/>
      <w:kern w:val="2"/>
      <w:sz w:val="44"/>
      <w:lang w:val="en-US" w:eastAsia="zh-CN" w:bidi="ar-SA"/>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宋体" w:cs="Times New Roman"/>
      <w:kern w:val="2"/>
      <w:sz w:val="18"/>
      <w:szCs w:val="22"/>
      <w:lang w:val="en-US" w:eastAsia="zh-CN" w:bidi="ar-SA"/>
    </w:rPr>
  </w:style>
  <w:style w:type="character" w:customStyle="1" w:styleId="10">
    <w:name w:val="font11"/>
    <w:qFormat/>
    <w:uiPriority w:val="0"/>
    <w:rPr>
      <w:rFonts w:hint="default" w:ascii="仿宋_GB2312" w:eastAsia="仿宋_GB2312" w:cs="仿宋_GB2312"/>
      <w:color w:val="FF0000"/>
      <w:sz w:val="28"/>
      <w:szCs w:val="28"/>
      <w:u w:val="none"/>
    </w:rPr>
  </w:style>
  <w:style w:type="character" w:customStyle="1" w:styleId="11">
    <w:name w:val="font21"/>
    <w:qFormat/>
    <w:uiPriority w:val="0"/>
    <w:rPr>
      <w:rFonts w:hint="eastAsia" w:ascii="仿宋_GB2312" w:eastAsia="仿宋_GB2312" w:cs="仿宋_GB2312"/>
      <w:color w:val="FF0000"/>
      <w:sz w:val="24"/>
      <w:szCs w:val="24"/>
      <w:u w:val="none"/>
    </w:rPr>
  </w:style>
  <w:style w:type="character" w:customStyle="1" w:styleId="12">
    <w:name w:val="font01"/>
    <w:qFormat/>
    <w:uiPriority w:val="0"/>
    <w:rPr>
      <w:rFonts w:ascii="仿宋_GB2312" w:eastAsia="仿宋_GB2312" w:cs="仿宋_GB2312"/>
      <w:color w:val="000000"/>
      <w:sz w:val="28"/>
      <w:szCs w:val="28"/>
      <w:u w:val="none"/>
    </w:rPr>
  </w:style>
  <w:style w:type="character" w:customStyle="1" w:styleId="13">
    <w:name w:val="font91"/>
    <w:qFormat/>
    <w:uiPriority w:val="0"/>
    <w:rPr>
      <w:rFonts w:hint="eastAsia" w:ascii="宋体" w:hAnsi="宋体" w:eastAsia="宋体" w:cs="宋体"/>
      <w:color w:val="000000"/>
      <w:sz w:val="28"/>
      <w:szCs w:val="28"/>
      <w:u w:val="none"/>
    </w:rPr>
  </w:style>
  <w:style w:type="character" w:customStyle="1" w:styleId="14">
    <w:name w:val="font41"/>
    <w:qFormat/>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2024-04-08T06:18:00Z</dcterms:created>
  <dc:creator>米露</dc:creator>
  <cp:lastModifiedBy>米露</cp:lastModifiedBy>
  <dcterms:modified xsi:type="dcterms:W3CDTF">2024-04-08T06:20:51Z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EEB79F096B59498EAEA12B44A043C1C0_13</vt:lpwstr>
  </property>
</Properties>
</file>