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val="0"/>
        <w:spacing w:before="313" w:beforeLines="10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大兴区碧水保卫战2024年行动计划</w:t>
      </w:r>
    </w:p>
    <w:tbl>
      <w:tblPr>
        <w:tblStyle w:val="8"/>
        <w:tblW w:w="13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486"/>
        <w:gridCol w:w="6360"/>
        <w:gridCol w:w="1215"/>
        <w:gridCol w:w="2235"/>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501" w:type="dxa"/>
            <w:noWrap w:val="0"/>
            <w:vAlign w:val="center"/>
          </w:tcPr>
          <w:p>
            <w:pPr>
              <w:widowControl/>
              <w:adjustRightInd w:val="0"/>
              <w:snapToGrid w:val="0"/>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序号</w:t>
            </w:r>
          </w:p>
        </w:tc>
        <w:tc>
          <w:tcPr>
            <w:tcW w:w="1486" w:type="dxa"/>
            <w:noWrap w:val="0"/>
            <w:vAlign w:val="center"/>
          </w:tcPr>
          <w:p>
            <w:pPr>
              <w:widowControl/>
              <w:adjustRightInd w:val="0"/>
              <w:snapToGrid w:val="0"/>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重点任务</w:t>
            </w:r>
          </w:p>
        </w:tc>
        <w:tc>
          <w:tcPr>
            <w:tcW w:w="6360" w:type="dxa"/>
            <w:noWrap w:val="0"/>
            <w:vAlign w:val="center"/>
          </w:tcPr>
          <w:p>
            <w:pPr>
              <w:widowControl/>
              <w:adjustRightInd w:val="0"/>
              <w:snapToGrid w:val="0"/>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工作措施</w:t>
            </w:r>
          </w:p>
        </w:tc>
        <w:tc>
          <w:tcPr>
            <w:tcW w:w="1215" w:type="dxa"/>
            <w:noWrap w:val="0"/>
            <w:vAlign w:val="center"/>
          </w:tcPr>
          <w:p>
            <w:pPr>
              <w:widowControl/>
              <w:adjustRightInd w:val="0"/>
              <w:snapToGrid w:val="0"/>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完成时限</w:t>
            </w:r>
          </w:p>
        </w:tc>
        <w:tc>
          <w:tcPr>
            <w:tcW w:w="2235" w:type="dxa"/>
            <w:noWrap w:val="0"/>
            <w:vAlign w:val="center"/>
          </w:tcPr>
          <w:p>
            <w:pPr>
              <w:widowControl/>
              <w:adjustRightInd w:val="0"/>
              <w:snapToGrid w:val="0"/>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牵头单位</w:t>
            </w:r>
          </w:p>
        </w:tc>
        <w:tc>
          <w:tcPr>
            <w:tcW w:w="2172" w:type="dxa"/>
            <w:noWrap w:val="0"/>
            <w:vAlign w:val="center"/>
          </w:tcPr>
          <w:p>
            <w:pPr>
              <w:widowControl/>
              <w:adjustRightInd w:val="0"/>
              <w:snapToGrid w:val="0"/>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69" w:type="dxa"/>
            <w:gridSpan w:val="6"/>
            <w:noWrap w:val="0"/>
            <w:vAlign w:val="center"/>
          </w:tcPr>
          <w:p>
            <w:pPr>
              <w:widowControl/>
              <w:adjustRightInd w:val="0"/>
              <w:snapToGrid w:val="0"/>
              <w:jc w:val="center"/>
              <w:textAlignment w:val="center"/>
              <w:rPr>
                <w:rFonts w:ascii="黑体" w:hAnsi="宋体" w:eastAsia="黑体" w:cs="黑体"/>
                <w:color w:val="000000"/>
                <w:kern w:val="0"/>
                <w:szCs w:val="21"/>
                <w:lang w:bidi="ar"/>
              </w:rPr>
            </w:pPr>
            <w:r>
              <w:rPr>
                <w:rFonts w:hint="eastAsia" w:ascii="黑体" w:hAnsi="宋体" w:eastAsia="黑体" w:cs="黑体"/>
                <w:color w:val="000000"/>
                <w:kern w:val="0"/>
                <w:szCs w:val="21"/>
                <w:lang w:bidi="ar"/>
              </w:rPr>
              <w:t>一、水环境质量目标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501"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486"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目标任务</w:t>
            </w:r>
          </w:p>
        </w:tc>
        <w:tc>
          <w:tcPr>
            <w:tcW w:w="6360" w:type="dxa"/>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kern w:val="0"/>
                <w:szCs w:val="21"/>
                <w:lang w:bidi="ar"/>
              </w:rPr>
              <w:t>全区水生态环境质量稳中向好。地表水国家和市级考核断面水质达到市级的目标要求。区级集中式饮用水水源地水质保持稳定达标。地下水水质总体保持稳定。</w:t>
            </w:r>
          </w:p>
        </w:tc>
        <w:tc>
          <w:tcPr>
            <w:tcW w:w="121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区生态环境局</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区水务局</w:t>
            </w:r>
          </w:p>
        </w:tc>
        <w:tc>
          <w:tcPr>
            <w:tcW w:w="2172"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区农业农村局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各街道办事处</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501"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486"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深入实施</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总量减排</w:t>
            </w:r>
          </w:p>
        </w:tc>
        <w:tc>
          <w:tcPr>
            <w:tcW w:w="6360" w:type="dxa"/>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kern w:val="0"/>
                <w:szCs w:val="21"/>
                <w:lang w:bidi="ar"/>
              </w:rPr>
              <w:t>实现主要水污染物排放总量持续下降，完成化学需氧量（COD）累计减排量3820吨、氨氮（NH</w:t>
            </w:r>
            <w:r>
              <w:rPr>
                <w:rFonts w:hint="eastAsia" w:ascii="宋体" w:hAnsi="宋体" w:cs="宋体"/>
                <w:color w:val="000000"/>
                <w:kern w:val="0"/>
                <w:szCs w:val="21"/>
                <w:vertAlign w:val="subscript"/>
                <w:lang w:bidi="ar"/>
              </w:rPr>
              <w:t>3</w:t>
            </w:r>
            <w:r>
              <w:rPr>
                <w:rFonts w:hint="eastAsia" w:ascii="宋体" w:hAnsi="宋体" w:cs="宋体"/>
                <w:color w:val="000000"/>
                <w:kern w:val="0"/>
                <w:szCs w:val="21"/>
                <w:lang w:bidi="ar"/>
              </w:rPr>
              <w:t>-N）累计减排量460吨目标要求（指2021年至2024年累计减排量）。</w:t>
            </w:r>
          </w:p>
        </w:tc>
        <w:tc>
          <w:tcPr>
            <w:tcW w:w="121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区生态环境局</w:t>
            </w:r>
          </w:p>
        </w:tc>
        <w:tc>
          <w:tcPr>
            <w:tcW w:w="2172"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相关镇人民政府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相关街道办事处</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相关产业园区管委会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69" w:type="dxa"/>
            <w:gridSpan w:val="6"/>
            <w:noWrap w:val="0"/>
            <w:vAlign w:val="center"/>
          </w:tcPr>
          <w:p>
            <w:pPr>
              <w:widowControl/>
              <w:adjustRightInd w:val="0"/>
              <w:snapToGrid w:val="0"/>
              <w:jc w:val="center"/>
              <w:textAlignment w:val="center"/>
              <w:rPr>
                <w:rFonts w:ascii="黑体" w:hAnsi="宋体" w:eastAsia="黑体" w:cs="黑体"/>
                <w:color w:val="000000"/>
                <w:szCs w:val="21"/>
              </w:rPr>
            </w:pPr>
            <w:r>
              <w:rPr>
                <w:rFonts w:hint="eastAsia" w:ascii="黑体" w:hAnsi="宋体" w:eastAsia="黑体" w:cs="黑体"/>
                <w:color w:val="000000"/>
                <w:szCs w:val="21"/>
              </w:rPr>
              <w:t>二、水资源保护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501" w:type="dxa"/>
            <w:vMerge w:val="restart"/>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486" w:type="dxa"/>
            <w:vMerge w:val="restart"/>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加强饮用水</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保护</w:t>
            </w:r>
          </w:p>
        </w:tc>
        <w:tc>
          <w:tcPr>
            <w:tcW w:w="6360" w:type="dxa"/>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kern w:val="0"/>
                <w:szCs w:val="21"/>
                <w:lang w:eastAsia="zh-CN" w:bidi="ar"/>
              </w:rPr>
              <w:t>水务部门</w:t>
            </w:r>
            <w:r>
              <w:rPr>
                <w:rFonts w:hint="eastAsia" w:ascii="宋体" w:hAnsi="宋体" w:cs="宋体"/>
                <w:color w:val="000000"/>
                <w:kern w:val="0"/>
                <w:szCs w:val="21"/>
                <w:lang w:bidi="ar"/>
              </w:rPr>
              <w:t>结合饮用水供水工程和水源地布局调整，动态更新全区饮用水水源地取水井、取水量及供水人口等数据</w:t>
            </w:r>
            <w:bookmarkStart w:id="0" w:name="lawyee_20022_8"/>
            <w:r>
              <w:rPr>
                <w:rFonts w:hint="eastAsia" w:ascii="宋体" w:hAnsi="宋体" w:cs="宋体"/>
                <w:color w:val="000000"/>
                <w:kern w:val="0"/>
                <w:szCs w:val="21"/>
                <w:lang w:bidi="ar"/>
              </w:rPr>
              <w:t>并与生态环境部门</w:t>
            </w:r>
            <w:bookmarkEnd w:id="0"/>
            <w:r>
              <w:rPr>
                <w:rFonts w:hint="eastAsia" w:ascii="宋体" w:hAnsi="宋体" w:cs="宋体"/>
                <w:color w:val="000000"/>
                <w:kern w:val="0"/>
                <w:szCs w:val="21"/>
                <w:lang w:bidi="ar"/>
              </w:rPr>
              <w:t>共享。加强饮用水供水厂站水源水和出厂水水质检测；对水质不达标的饮用水水源，采取水源置换、集中供水、深度处理等措施确保饮用水安全。加强农村水源保护巡查，确保水源井周边30米范围内无污水、无垃圾、无渗厕、无养殖场等污染源。</w:t>
            </w:r>
          </w:p>
        </w:tc>
        <w:tc>
          <w:tcPr>
            <w:tcW w:w="121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长期实施</w:t>
            </w:r>
          </w:p>
        </w:tc>
        <w:tc>
          <w:tcPr>
            <w:tcW w:w="2235"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区水务局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区生态环境局</w:t>
            </w:r>
          </w:p>
        </w:tc>
        <w:tc>
          <w:tcPr>
            <w:tcW w:w="2172"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相关镇人民政府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相关街道办事处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501" w:type="dxa"/>
            <w:vMerge w:val="continue"/>
            <w:noWrap w:val="0"/>
            <w:vAlign w:val="center"/>
          </w:tcPr>
          <w:p>
            <w:pPr>
              <w:widowControl/>
              <w:adjustRightInd w:val="0"/>
              <w:snapToGrid w:val="0"/>
              <w:jc w:val="center"/>
              <w:rPr>
                <w:rFonts w:ascii="宋体" w:hAnsi="宋体" w:cs="宋体"/>
                <w:color w:val="000000"/>
                <w:szCs w:val="21"/>
              </w:rPr>
            </w:pPr>
          </w:p>
        </w:tc>
        <w:tc>
          <w:tcPr>
            <w:tcW w:w="1486" w:type="dxa"/>
            <w:vMerge w:val="continue"/>
            <w:noWrap w:val="0"/>
            <w:vAlign w:val="center"/>
          </w:tcPr>
          <w:p>
            <w:pPr>
              <w:widowControl/>
              <w:adjustRightInd w:val="0"/>
              <w:snapToGrid w:val="0"/>
              <w:jc w:val="center"/>
              <w:rPr>
                <w:rFonts w:ascii="宋体" w:hAnsi="宋体" w:cs="宋体"/>
                <w:color w:val="000000"/>
                <w:szCs w:val="21"/>
              </w:rPr>
            </w:pPr>
          </w:p>
        </w:tc>
        <w:tc>
          <w:tcPr>
            <w:tcW w:w="6360" w:type="dxa"/>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kern w:val="0"/>
                <w:szCs w:val="21"/>
                <w:lang w:bidi="ar"/>
              </w:rPr>
              <w:t>按市级要求完成集中式饮用水水源保护区划定调整和分散式水源地饮用水水源保护范围划定，推进完善全覆盖的饮用水水源地保护管理体系。2024年底前完成镇级（安定镇二水厂）水源地饮用水水源保护区补充划定工作。</w:t>
            </w:r>
          </w:p>
        </w:tc>
        <w:tc>
          <w:tcPr>
            <w:tcW w:w="121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长期实施</w:t>
            </w:r>
          </w:p>
        </w:tc>
        <w:tc>
          <w:tcPr>
            <w:tcW w:w="2235"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区生态环境局</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区水务局</w:t>
            </w:r>
          </w:p>
        </w:tc>
        <w:tc>
          <w:tcPr>
            <w:tcW w:w="2172"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相关镇人民政府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501" w:type="dxa"/>
            <w:vMerge w:val="continue"/>
            <w:noWrap w:val="0"/>
            <w:vAlign w:val="center"/>
          </w:tcPr>
          <w:p>
            <w:pPr>
              <w:widowControl/>
              <w:adjustRightInd w:val="0"/>
              <w:snapToGrid w:val="0"/>
              <w:jc w:val="center"/>
              <w:rPr>
                <w:rFonts w:ascii="宋体" w:hAnsi="宋体" w:cs="宋体"/>
                <w:color w:val="000000"/>
                <w:szCs w:val="21"/>
              </w:rPr>
            </w:pPr>
          </w:p>
        </w:tc>
        <w:tc>
          <w:tcPr>
            <w:tcW w:w="1486" w:type="dxa"/>
            <w:vMerge w:val="continue"/>
            <w:noWrap w:val="0"/>
            <w:vAlign w:val="center"/>
          </w:tcPr>
          <w:p>
            <w:pPr>
              <w:widowControl/>
              <w:adjustRightInd w:val="0"/>
              <w:snapToGrid w:val="0"/>
              <w:jc w:val="center"/>
              <w:rPr>
                <w:rFonts w:ascii="宋体" w:hAnsi="宋体" w:cs="宋体"/>
                <w:color w:val="000000"/>
                <w:szCs w:val="21"/>
              </w:rPr>
            </w:pPr>
          </w:p>
        </w:tc>
        <w:tc>
          <w:tcPr>
            <w:tcW w:w="6360" w:type="dxa"/>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kern w:val="0"/>
                <w:szCs w:val="21"/>
                <w:lang w:bidi="ar"/>
              </w:rPr>
              <w:t>开展全区饮用水水源地环境状况年度调查评估，按国家要求完成系统填报，年底前提交评估报告至市生态环境部门和市水务部门，实现水源地“一源一档”动态管理。</w:t>
            </w:r>
          </w:p>
        </w:tc>
        <w:tc>
          <w:tcPr>
            <w:tcW w:w="121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区生态环境局</w:t>
            </w:r>
          </w:p>
        </w:tc>
        <w:tc>
          <w:tcPr>
            <w:tcW w:w="2172"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szCs w:val="21"/>
              </w:rPr>
              <w:t>区水务局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相关镇人民政府</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相关街道办事处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501" w:type="dxa"/>
            <w:vMerge w:val="continue"/>
            <w:noWrap w:val="0"/>
            <w:vAlign w:val="center"/>
          </w:tcPr>
          <w:p>
            <w:pPr>
              <w:widowControl/>
              <w:adjustRightInd w:val="0"/>
              <w:snapToGrid w:val="0"/>
              <w:jc w:val="center"/>
              <w:rPr>
                <w:rFonts w:ascii="宋体" w:hAnsi="宋体" w:cs="宋体"/>
                <w:color w:val="000000"/>
                <w:szCs w:val="21"/>
              </w:rPr>
            </w:pPr>
          </w:p>
        </w:tc>
        <w:tc>
          <w:tcPr>
            <w:tcW w:w="1486" w:type="dxa"/>
            <w:vMerge w:val="continue"/>
            <w:noWrap w:val="0"/>
            <w:vAlign w:val="center"/>
          </w:tcPr>
          <w:p>
            <w:pPr>
              <w:widowControl/>
              <w:adjustRightInd w:val="0"/>
              <w:snapToGrid w:val="0"/>
              <w:jc w:val="center"/>
              <w:rPr>
                <w:rFonts w:ascii="宋体" w:hAnsi="宋体" w:cs="宋体"/>
                <w:color w:val="000000"/>
                <w:szCs w:val="21"/>
              </w:rPr>
            </w:pPr>
          </w:p>
        </w:tc>
        <w:tc>
          <w:tcPr>
            <w:tcW w:w="6360" w:type="dxa"/>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kern w:val="0"/>
                <w:szCs w:val="21"/>
                <w:lang w:bidi="ar"/>
              </w:rPr>
              <w:t>开展水源地专项执法和日常监管,加强“三监联动”，动态清理整治水源保护区内影响水源安全的排污口、垃圾堆放等环境问题。对新划定、调整或受水毁影响的水源保护区（水源井）完善封闭隔离设施和标志标识牌。加强饮用水源地保护区风险防范和应急管理。</w:t>
            </w:r>
          </w:p>
        </w:tc>
        <w:tc>
          <w:tcPr>
            <w:tcW w:w="121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长期实施</w:t>
            </w:r>
          </w:p>
        </w:tc>
        <w:tc>
          <w:tcPr>
            <w:tcW w:w="223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区生态环境局</w:t>
            </w:r>
          </w:p>
        </w:tc>
        <w:tc>
          <w:tcPr>
            <w:tcW w:w="2172"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szCs w:val="21"/>
              </w:rPr>
              <w:t>区水务局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相关镇人民政府</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相关街道办事处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501" w:type="dxa"/>
            <w:vMerge w:val="continue"/>
            <w:noWrap w:val="0"/>
            <w:vAlign w:val="center"/>
          </w:tcPr>
          <w:p>
            <w:pPr>
              <w:widowControl/>
              <w:adjustRightInd w:val="0"/>
              <w:snapToGrid w:val="0"/>
              <w:jc w:val="center"/>
              <w:rPr>
                <w:rFonts w:ascii="宋体" w:hAnsi="宋体" w:cs="宋体"/>
                <w:color w:val="000000"/>
                <w:szCs w:val="21"/>
              </w:rPr>
            </w:pPr>
          </w:p>
        </w:tc>
        <w:tc>
          <w:tcPr>
            <w:tcW w:w="1486" w:type="dxa"/>
            <w:vMerge w:val="continue"/>
            <w:noWrap w:val="0"/>
            <w:vAlign w:val="center"/>
          </w:tcPr>
          <w:p>
            <w:pPr>
              <w:widowControl/>
              <w:adjustRightInd w:val="0"/>
              <w:snapToGrid w:val="0"/>
              <w:jc w:val="center"/>
              <w:rPr>
                <w:rFonts w:ascii="宋体" w:hAnsi="宋体" w:cs="宋体"/>
                <w:color w:val="000000"/>
                <w:szCs w:val="21"/>
              </w:rPr>
            </w:pPr>
          </w:p>
        </w:tc>
        <w:tc>
          <w:tcPr>
            <w:tcW w:w="6360" w:type="dxa"/>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kern w:val="0"/>
                <w:szCs w:val="21"/>
                <w:lang w:bidi="ar"/>
              </w:rPr>
              <w:t>加强饮用水水质监测，定期向社会公开区级、镇级集中式生活饮用水安全状况信息；推进农村生活饮用水安全状况信息公开。</w:t>
            </w:r>
          </w:p>
        </w:tc>
        <w:tc>
          <w:tcPr>
            <w:tcW w:w="121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长期实施</w:t>
            </w:r>
          </w:p>
        </w:tc>
        <w:tc>
          <w:tcPr>
            <w:tcW w:w="2235"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区生态环境局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区水务局</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区卫生健康委</w:t>
            </w:r>
          </w:p>
        </w:tc>
        <w:tc>
          <w:tcPr>
            <w:tcW w:w="2172"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相关镇人民政府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1" w:type="dxa"/>
            <w:vMerge w:val="continue"/>
            <w:noWrap w:val="0"/>
            <w:vAlign w:val="center"/>
          </w:tcPr>
          <w:p>
            <w:pPr>
              <w:widowControl/>
              <w:adjustRightInd w:val="0"/>
              <w:snapToGrid w:val="0"/>
              <w:jc w:val="center"/>
              <w:rPr>
                <w:rFonts w:ascii="宋体" w:hAnsi="宋体" w:cs="宋体"/>
                <w:color w:val="000000"/>
                <w:szCs w:val="21"/>
              </w:rPr>
            </w:pPr>
          </w:p>
        </w:tc>
        <w:tc>
          <w:tcPr>
            <w:tcW w:w="1486" w:type="dxa"/>
            <w:vMerge w:val="continue"/>
            <w:noWrap w:val="0"/>
            <w:vAlign w:val="center"/>
          </w:tcPr>
          <w:p>
            <w:pPr>
              <w:widowControl/>
              <w:adjustRightInd w:val="0"/>
              <w:snapToGrid w:val="0"/>
              <w:jc w:val="center"/>
              <w:rPr>
                <w:rFonts w:ascii="宋体" w:hAnsi="宋体" w:cs="宋体"/>
                <w:color w:val="000000"/>
                <w:szCs w:val="21"/>
              </w:rPr>
            </w:pPr>
          </w:p>
        </w:tc>
        <w:tc>
          <w:tcPr>
            <w:tcW w:w="6360" w:type="dxa"/>
            <w:noWrap w:val="0"/>
            <w:vAlign w:val="center"/>
          </w:tcPr>
          <w:p>
            <w:pPr>
              <w:widowControl/>
              <w:adjustRightInd w:val="0"/>
              <w:snapToGrid w:val="0"/>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强化对一级水源地保护区风险源管控力度，督促相关属地制定风险源腾退或管控计划。</w:t>
            </w:r>
          </w:p>
        </w:tc>
        <w:tc>
          <w:tcPr>
            <w:tcW w:w="1215"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年底前</w:t>
            </w:r>
          </w:p>
        </w:tc>
        <w:tc>
          <w:tcPr>
            <w:tcW w:w="2235"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区生态环境局</w:t>
            </w:r>
          </w:p>
        </w:tc>
        <w:tc>
          <w:tcPr>
            <w:tcW w:w="2172"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相关镇人民政府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501" w:type="dxa"/>
            <w:vMerge w:val="restart"/>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486" w:type="dxa"/>
            <w:vMerge w:val="restart"/>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加强地下水</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保护</w:t>
            </w:r>
          </w:p>
        </w:tc>
        <w:tc>
          <w:tcPr>
            <w:tcW w:w="6360" w:type="dxa"/>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kern w:val="0"/>
                <w:szCs w:val="21"/>
                <w:lang w:bidi="ar"/>
              </w:rPr>
              <w:t>落实辖区地下水水质保持方案，确保地下水水质保持稳定。基于我区地下水水质保持方案中13处地下水重点监测点位开展丰、枯水期监测。</w:t>
            </w:r>
          </w:p>
        </w:tc>
        <w:tc>
          <w:tcPr>
            <w:tcW w:w="121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长期实施</w:t>
            </w:r>
          </w:p>
        </w:tc>
        <w:tc>
          <w:tcPr>
            <w:tcW w:w="223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区生态环境局</w:t>
            </w:r>
          </w:p>
        </w:tc>
        <w:tc>
          <w:tcPr>
            <w:tcW w:w="2172"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区水务局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市规划自然资源委大兴分局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相关镇人民政府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相关街道办事处</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相关产业园区管委会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jc w:val="center"/>
        </w:trPr>
        <w:tc>
          <w:tcPr>
            <w:tcW w:w="501" w:type="dxa"/>
            <w:vMerge w:val="continue"/>
            <w:noWrap w:val="0"/>
            <w:vAlign w:val="center"/>
          </w:tcPr>
          <w:p>
            <w:pPr>
              <w:widowControl/>
              <w:adjustRightInd w:val="0"/>
              <w:snapToGrid w:val="0"/>
              <w:jc w:val="center"/>
              <w:rPr>
                <w:rFonts w:ascii="宋体" w:hAnsi="宋体" w:cs="宋体"/>
                <w:color w:val="000000"/>
                <w:szCs w:val="21"/>
              </w:rPr>
            </w:pPr>
          </w:p>
        </w:tc>
        <w:tc>
          <w:tcPr>
            <w:tcW w:w="1486" w:type="dxa"/>
            <w:vMerge w:val="continue"/>
            <w:noWrap w:val="0"/>
            <w:vAlign w:val="center"/>
          </w:tcPr>
          <w:p>
            <w:pPr>
              <w:widowControl/>
              <w:adjustRightInd w:val="0"/>
              <w:snapToGrid w:val="0"/>
              <w:jc w:val="center"/>
              <w:rPr>
                <w:rFonts w:ascii="宋体" w:hAnsi="宋体" w:cs="宋体"/>
                <w:color w:val="000000"/>
                <w:szCs w:val="21"/>
              </w:rPr>
            </w:pPr>
          </w:p>
        </w:tc>
        <w:tc>
          <w:tcPr>
            <w:tcW w:w="6360" w:type="dxa"/>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kern w:val="0"/>
                <w:szCs w:val="21"/>
                <w:lang w:bidi="ar"/>
              </w:rPr>
              <w:t>推进地下水超采治理，落实北京市大兴区地下水超采综合治理工作方案，加强大兴区地下水资源涵养和保护。</w:t>
            </w:r>
          </w:p>
        </w:tc>
        <w:tc>
          <w:tcPr>
            <w:tcW w:w="121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长期实施</w:t>
            </w:r>
          </w:p>
        </w:tc>
        <w:tc>
          <w:tcPr>
            <w:tcW w:w="223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区水务局</w:t>
            </w:r>
          </w:p>
        </w:tc>
        <w:tc>
          <w:tcPr>
            <w:tcW w:w="2172"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区财政局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区发展改革委</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区农业农村局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各街道办事处</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501" w:type="dxa"/>
            <w:vMerge w:val="continue"/>
            <w:noWrap w:val="0"/>
            <w:vAlign w:val="center"/>
          </w:tcPr>
          <w:p>
            <w:pPr>
              <w:widowControl/>
              <w:adjustRightInd w:val="0"/>
              <w:snapToGrid w:val="0"/>
              <w:jc w:val="center"/>
              <w:rPr>
                <w:rFonts w:ascii="宋体" w:hAnsi="宋体" w:cs="宋体"/>
                <w:color w:val="000000"/>
                <w:szCs w:val="21"/>
              </w:rPr>
            </w:pPr>
          </w:p>
        </w:tc>
        <w:tc>
          <w:tcPr>
            <w:tcW w:w="1486" w:type="dxa"/>
            <w:vMerge w:val="continue"/>
            <w:noWrap w:val="0"/>
            <w:vAlign w:val="center"/>
          </w:tcPr>
          <w:p>
            <w:pPr>
              <w:widowControl/>
              <w:adjustRightInd w:val="0"/>
              <w:snapToGrid w:val="0"/>
              <w:jc w:val="center"/>
              <w:rPr>
                <w:rFonts w:ascii="宋体" w:hAnsi="宋体" w:cs="宋体"/>
                <w:color w:val="000000"/>
                <w:szCs w:val="21"/>
              </w:rPr>
            </w:pPr>
          </w:p>
        </w:tc>
        <w:tc>
          <w:tcPr>
            <w:tcW w:w="6360" w:type="dxa"/>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kern w:val="0"/>
                <w:szCs w:val="21"/>
                <w:lang w:bidi="ar"/>
              </w:rPr>
              <w:t>配合市级部门研究制定地下水污染风险源分类分级管理办法，配合完成涉及大兴区46个地下水风险源信息调查工作。</w:t>
            </w:r>
          </w:p>
        </w:tc>
        <w:tc>
          <w:tcPr>
            <w:tcW w:w="121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区生态环境局</w:t>
            </w:r>
          </w:p>
        </w:tc>
        <w:tc>
          <w:tcPr>
            <w:tcW w:w="2172"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相关镇人民政府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相关街道办事处</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相关产业园区管委会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501" w:type="dxa"/>
            <w:vMerge w:val="restart"/>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486" w:type="dxa"/>
            <w:vMerge w:val="restart"/>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节水型社会</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建设</w:t>
            </w:r>
          </w:p>
        </w:tc>
        <w:tc>
          <w:tcPr>
            <w:tcW w:w="6360" w:type="dxa"/>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kern w:val="0"/>
                <w:szCs w:val="21"/>
                <w:lang w:bidi="ar"/>
              </w:rPr>
              <w:t>持续推进节水型社会建设，全区生产生活用水总量及万元GDP用水量比上年下降率达到市级考核要求。</w:t>
            </w:r>
          </w:p>
        </w:tc>
        <w:tc>
          <w:tcPr>
            <w:tcW w:w="121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区水务局</w:t>
            </w:r>
          </w:p>
        </w:tc>
        <w:tc>
          <w:tcPr>
            <w:tcW w:w="2172"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各镇人民政府</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jc w:val="center"/>
        </w:trPr>
        <w:tc>
          <w:tcPr>
            <w:tcW w:w="501" w:type="dxa"/>
            <w:vMerge w:val="continue"/>
            <w:noWrap w:val="0"/>
            <w:vAlign w:val="center"/>
          </w:tcPr>
          <w:p>
            <w:pPr>
              <w:widowControl/>
              <w:adjustRightInd w:val="0"/>
              <w:snapToGrid w:val="0"/>
              <w:jc w:val="center"/>
              <w:rPr>
                <w:rFonts w:ascii="宋体" w:hAnsi="宋体" w:cs="宋体"/>
                <w:color w:val="000000"/>
                <w:szCs w:val="21"/>
              </w:rPr>
            </w:pPr>
          </w:p>
        </w:tc>
        <w:tc>
          <w:tcPr>
            <w:tcW w:w="1486" w:type="dxa"/>
            <w:vMerge w:val="continue"/>
            <w:noWrap w:val="0"/>
            <w:vAlign w:val="center"/>
          </w:tcPr>
          <w:p>
            <w:pPr>
              <w:widowControl/>
              <w:adjustRightInd w:val="0"/>
              <w:snapToGrid w:val="0"/>
              <w:jc w:val="center"/>
              <w:rPr>
                <w:rFonts w:ascii="宋体" w:hAnsi="宋体" w:cs="宋体"/>
                <w:color w:val="000000"/>
                <w:szCs w:val="21"/>
              </w:rPr>
            </w:pPr>
          </w:p>
        </w:tc>
        <w:tc>
          <w:tcPr>
            <w:tcW w:w="6360" w:type="dxa"/>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kern w:val="0"/>
                <w:szCs w:val="21"/>
                <w:lang w:bidi="ar"/>
              </w:rPr>
              <w:t>进一步加强用水总量管控，提高用水效率。结合本区用水实际情况，将用水总量进一步分解下达至街道（镇），并细化管控措施。</w:t>
            </w:r>
          </w:p>
        </w:tc>
        <w:tc>
          <w:tcPr>
            <w:tcW w:w="121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区水务局</w:t>
            </w:r>
          </w:p>
        </w:tc>
        <w:tc>
          <w:tcPr>
            <w:tcW w:w="2172"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各镇人民政府</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69" w:type="dxa"/>
            <w:gridSpan w:val="6"/>
            <w:noWrap w:val="0"/>
            <w:vAlign w:val="center"/>
          </w:tcPr>
          <w:p>
            <w:pPr>
              <w:widowControl/>
              <w:adjustRightInd w:val="0"/>
              <w:snapToGrid w:val="0"/>
              <w:jc w:val="center"/>
              <w:textAlignment w:val="center"/>
              <w:rPr>
                <w:rFonts w:ascii="黑体" w:hAnsi="宋体" w:eastAsia="黑体" w:cs="黑体"/>
                <w:color w:val="000000"/>
                <w:kern w:val="0"/>
                <w:szCs w:val="21"/>
                <w:lang w:bidi="ar"/>
              </w:rPr>
            </w:pPr>
            <w:r>
              <w:rPr>
                <w:rFonts w:hint="eastAsia" w:ascii="黑体" w:hAnsi="宋体" w:eastAsia="黑体" w:cs="黑体"/>
                <w:color w:val="000000"/>
                <w:kern w:val="0"/>
                <w:szCs w:val="21"/>
                <w:lang w:bidi="ar"/>
              </w:rPr>
              <w:t>三、水环境治理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5" w:hRule="atLeast"/>
          <w:jc w:val="center"/>
        </w:trPr>
        <w:tc>
          <w:tcPr>
            <w:tcW w:w="501" w:type="dxa"/>
            <w:vMerge w:val="restart"/>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w:t>
            </w:r>
          </w:p>
          <w:p>
            <w:pPr>
              <w:widowControl/>
              <w:adjustRightInd w:val="0"/>
              <w:snapToGrid w:val="0"/>
              <w:jc w:val="center"/>
              <w:textAlignment w:val="center"/>
              <w:rPr>
                <w:rFonts w:ascii="宋体" w:hAnsi="宋体" w:cs="宋体"/>
                <w:color w:val="000000"/>
                <w:szCs w:val="21"/>
              </w:rPr>
            </w:pPr>
          </w:p>
        </w:tc>
        <w:tc>
          <w:tcPr>
            <w:tcW w:w="1486" w:type="dxa"/>
            <w:vMerge w:val="restart"/>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强化城乡</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生活污染</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治理</w:t>
            </w:r>
          </w:p>
        </w:tc>
        <w:tc>
          <w:tcPr>
            <w:tcW w:w="6360" w:type="dxa"/>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kern w:val="0"/>
                <w:szCs w:val="21"/>
                <w:lang w:bidi="ar"/>
              </w:rPr>
              <w:t>实施大兴区全面打赢城乡水环境治理歼灭战三年行动方案，累计新（改）建污水收集管线3公里，新（改）建再生水管线3公里。2024年再生水输配量达到市级目标要求。</w:t>
            </w:r>
          </w:p>
        </w:tc>
        <w:tc>
          <w:tcPr>
            <w:tcW w:w="121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区水务局</w:t>
            </w:r>
          </w:p>
        </w:tc>
        <w:tc>
          <w:tcPr>
            <w:tcW w:w="2172"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区城市管理委</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区发展改革委</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市规划自然资源委大兴分局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区园林绿化局</w:t>
            </w:r>
          </w:p>
          <w:p>
            <w:pPr>
              <w:widowControl/>
              <w:adjustRightInd w:val="0"/>
              <w:snapToGrid w:val="0"/>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eastAsia="zh-CN" w:bidi="ar"/>
              </w:rPr>
              <w:t>区环境卫生服务中心</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区园林服务中心</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各街道办事处</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501" w:type="dxa"/>
            <w:vMerge w:val="continue"/>
            <w:noWrap w:val="0"/>
            <w:vAlign w:val="center"/>
          </w:tcPr>
          <w:p>
            <w:pPr>
              <w:widowControl/>
              <w:adjustRightInd w:val="0"/>
              <w:snapToGrid w:val="0"/>
              <w:jc w:val="center"/>
              <w:rPr>
                <w:rFonts w:ascii="宋体" w:hAnsi="宋体" w:cs="宋体"/>
                <w:color w:val="000000"/>
                <w:szCs w:val="21"/>
              </w:rPr>
            </w:pPr>
          </w:p>
        </w:tc>
        <w:tc>
          <w:tcPr>
            <w:tcW w:w="1486" w:type="dxa"/>
            <w:vMerge w:val="continue"/>
            <w:noWrap w:val="0"/>
            <w:vAlign w:val="center"/>
          </w:tcPr>
          <w:p>
            <w:pPr>
              <w:widowControl/>
              <w:adjustRightInd w:val="0"/>
              <w:snapToGrid w:val="0"/>
              <w:jc w:val="center"/>
              <w:rPr>
                <w:rFonts w:ascii="宋体" w:hAnsi="宋体" w:cs="宋体"/>
                <w:color w:val="000000"/>
                <w:szCs w:val="21"/>
              </w:rPr>
            </w:pPr>
          </w:p>
        </w:tc>
        <w:tc>
          <w:tcPr>
            <w:tcW w:w="6360" w:type="dxa"/>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kern w:val="0"/>
                <w:szCs w:val="21"/>
                <w:lang w:bidi="ar"/>
              </w:rPr>
              <w:t>完成大兴区西红门第二再生水厂（一期）工程，投入运行。永兴河第二再生水厂</w:t>
            </w:r>
            <w:r>
              <w:rPr>
                <w:rFonts w:hint="eastAsia" w:ascii="宋体" w:hAnsi="宋体" w:cs="宋体"/>
                <w:kern w:val="0"/>
                <w:szCs w:val="21"/>
                <w:lang w:bidi="ar"/>
              </w:rPr>
              <w:t>达到</w:t>
            </w:r>
            <w:r>
              <w:rPr>
                <w:rFonts w:hint="eastAsia" w:ascii="宋体" w:hAnsi="宋体" w:cs="宋体"/>
                <w:color w:val="000000"/>
                <w:kern w:val="0"/>
                <w:szCs w:val="21"/>
                <w:lang w:bidi="ar"/>
              </w:rPr>
              <w:t>通水条件。</w:t>
            </w:r>
          </w:p>
        </w:tc>
        <w:tc>
          <w:tcPr>
            <w:tcW w:w="121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区水务局</w:t>
            </w:r>
          </w:p>
        </w:tc>
        <w:tc>
          <w:tcPr>
            <w:tcW w:w="2172"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szCs w:val="21"/>
              </w:rPr>
              <w:t>西红门镇</w:t>
            </w:r>
            <w:r>
              <w:rPr>
                <w:rFonts w:hint="eastAsia" w:ascii="宋体" w:hAnsi="宋体" w:cs="宋体"/>
                <w:color w:val="000000"/>
                <w:kern w:val="0"/>
                <w:szCs w:val="21"/>
                <w:lang w:bidi="ar"/>
              </w:rPr>
              <w:t>人民</w:t>
            </w:r>
            <w:r>
              <w:rPr>
                <w:rFonts w:hint="eastAsia" w:ascii="宋体" w:hAnsi="宋体" w:cs="宋体"/>
                <w:color w:val="000000"/>
                <w:szCs w:val="21"/>
              </w:rPr>
              <w:t>政府</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szCs w:val="21"/>
              </w:rPr>
              <w:t>大兴生物医药基地管委会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501" w:type="dxa"/>
            <w:vMerge w:val="continue"/>
            <w:noWrap w:val="0"/>
            <w:vAlign w:val="center"/>
          </w:tcPr>
          <w:p>
            <w:pPr>
              <w:widowControl/>
              <w:adjustRightInd w:val="0"/>
              <w:snapToGrid w:val="0"/>
              <w:jc w:val="center"/>
              <w:textAlignment w:val="center"/>
              <w:rPr>
                <w:rFonts w:ascii="宋体" w:hAnsi="宋体" w:cs="宋体"/>
                <w:color w:val="000000"/>
                <w:szCs w:val="21"/>
              </w:rPr>
            </w:pPr>
          </w:p>
        </w:tc>
        <w:tc>
          <w:tcPr>
            <w:tcW w:w="1486" w:type="dxa"/>
            <w:vMerge w:val="continue"/>
            <w:noWrap w:val="0"/>
            <w:vAlign w:val="center"/>
          </w:tcPr>
          <w:p>
            <w:pPr>
              <w:widowControl/>
              <w:adjustRightInd w:val="0"/>
              <w:snapToGrid w:val="0"/>
              <w:jc w:val="center"/>
              <w:textAlignment w:val="center"/>
              <w:rPr>
                <w:rFonts w:ascii="宋体" w:hAnsi="宋体" w:cs="宋体"/>
                <w:color w:val="000000"/>
                <w:szCs w:val="21"/>
              </w:rPr>
            </w:pPr>
          </w:p>
        </w:tc>
        <w:tc>
          <w:tcPr>
            <w:tcW w:w="6360" w:type="dxa"/>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kern w:val="0"/>
                <w:szCs w:val="21"/>
                <w:lang w:bidi="ar"/>
              </w:rPr>
              <w:t>对大兴区黄村再生水厂、庞各庄污水处理厂</w:t>
            </w:r>
            <w:r>
              <w:rPr>
                <w:rStyle w:val="10"/>
                <w:rFonts w:hint="eastAsia" w:ascii="宋体" w:hAnsi="宋体" w:eastAsia="宋体" w:cs="宋体"/>
                <w:color w:val="auto"/>
                <w:sz w:val="21"/>
                <w:szCs w:val="21"/>
                <w:lang w:bidi="ar"/>
              </w:rPr>
              <w:t>2座</w:t>
            </w:r>
            <w:r>
              <w:rPr>
                <w:rFonts w:hint="eastAsia" w:ascii="宋体" w:hAnsi="宋体" w:cs="宋体"/>
                <w:kern w:val="0"/>
                <w:szCs w:val="21"/>
                <w:lang w:bidi="ar"/>
              </w:rPr>
              <w:t>进水BOD</w:t>
            </w:r>
            <w:r>
              <w:rPr>
                <w:rStyle w:val="11"/>
                <w:rFonts w:ascii="宋体" w:hAnsi="宋体" w:eastAsia="宋体" w:cs="宋体"/>
                <w:color w:val="auto"/>
                <w:sz w:val="21"/>
                <w:szCs w:val="21"/>
                <w:vertAlign w:val="subscript"/>
                <w:lang w:bidi="ar"/>
              </w:rPr>
              <w:t>5</w:t>
            </w:r>
            <w:r>
              <w:rPr>
                <w:rStyle w:val="10"/>
                <w:rFonts w:hint="eastAsia" w:ascii="宋体" w:hAnsi="宋体" w:eastAsia="宋体" w:cs="宋体"/>
                <w:color w:val="auto"/>
                <w:sz w:val="21"/>
                <w:szCs w:val="21"/>
                <w:lang w:bidi="ar"/>
              </w:rPr>
              <w:t>浓度低于100mg/L的城市污水处理厂服务片区，编制系统化整治方案，提高污水收集效率。</w:t>
            </w:r>
          </w:p>
        </w:tc>
        <w:tc>
          <w:tcPr>
            <w:tcW w:w="121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长期实施</w:t>
            </w:r>
          </w:p>
        </w:tc>
        <w:tc>
          <w:tcPr>
            <w:tcW w:w="223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区水务局</w:t>
            </w:r>
          </w:p>
        </w:tc>
        <w:tc>
          <w:tcPr>
            <w:tcW w:w="2172" w:type="dxa"/>
            <w:noWrap w:val="0"/>
            <w:vAlign w:val="center"/>
          </w:tcPr>
          <w:p>
            <w:pPr>
              <w:widowControl/>
              <w:adjustRightInd w:val="0"/>
              <w:snapToGrid w:val="0"/>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eastAsia="zh-CN" w:bidi="ar"/>
              </w:rPr>
              <w:t>黄村镇人民政府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庞各庄镇人民政府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501" w:type="dxa"/>
            <w:vMerge w:val="continue"/>
            <w:noWrap w:val="0"/>
            <w:vAlign w:val="center"/>
          </w:tcPr>
          <w:p>
            <w:pPr>
              <w:widowControl/>
              <w:adjustRightInd w:val="0"/>
              <w:snapToGrid w:val="0"/>
              <w:jc w:val="center"/>
              <w:rPr>
                <w:rFonts w:ascii="宋体" w:hAnsi="宋体" w:cs="宋体"/>
                <w:color w:val="000000"/>
                <w:szCs w:val="21"/>
              </w:rPr>
            </w:pPr>
          </w:p>
        </w:tc>
        <w:tc>
          <w:tcPr>
            <w:tcW w:w="1486" w:type="dxa"/>
            <w:vMerge w:val="continue"/>
            <w:noWrap w:val="0"/>
            <w:vAlign w:val="center"/>
          </w:tcPr>
          <w:p>
            <w:pPr>
              <w:widowControl/>
              <w:adjustRightInd w:val="0"/>
              <w:snapToGrid w:val="0"/>
              <w:jc w:val="center"/>
              <w:rPr>
                <w:rFonts w:ascii="宋体" w:hAnsi="宋体" w:cs="宋体"/>
                <w:color w:val="000000"/>
                <w:szCs w:val="21"/>
              </w:rPr>
            </w:pPr>
          </w:p>
        </w:tc>
        <w:tc>
          <w:tcPr>
            <w:tcW w:w="6360" w:type="dxa"/>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kern w:val="0"/>
                <w:szCs w:val="21"/>
                <w:lang w:bidi="ar"/>
              </w:rPr>
              <w:t>加快推进农村污水处理设施建设，优化完善适合本地区的农村生活污水治理模式和技术工艺，持续推进解决村庄污水收集处理问题村庄数达到市级目标要求。</w:t>
            </w:r>
          </w:p>
        </w:tc>
        <w:tc>
          <w:tcPr>
            <w:tcW w:w="121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区水务局</w:t>
            </w:r>
          </w:p>
        </w:tc>
        <w:tc>
          <w:tcPr>
            <w:tcW w:w="2172"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市规划自然资源委大兴分局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区发展改革委</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501" w:type="dxa"/>
            <w:vMerge w:val="continue"/>
            <w:noWrap w:val="0"/>
            <w:vAlign w:val="center"/>
          </w:tcPr>
          <w:p>
            <w:pPr>
              <w:widowControl/>
              <w:adjustRightInd w:val="0"/>
              <w:snapToGrid w:val="0"/>
              <w:jc w:val="center"/>
              <w:rPr>
                <w:rFonts w:ascii="宋体" w:hAnsi="宋体" w:cs="宋体"/>
                <w:color w:val="000000"/>
                <w:szCs w:val="21"/>
              </w:rPr>
            </w:pPr>
          </w:p>
        </w:tc>
        <w:tc>
          <w:tcPr>
            <w:tcW w:w="1486" w:type="dxa"/>
            <w:vMerge w:val="continue"/>
            <w:noWrap w:val="0"/>
            <w:vAlign w:val="center"/>
          </w:tcPr>
          <w:p>
            <w:pPr>
              <w:widowControl/>
              <w:adjustRightInd w:val="0"/>
              <w:snapToGrid w:val="0"/>
              <w:jc w:val="center"/>
              <w:rPr>
                <w:rFonts w:ascii="宋体" w:hAnsi="宋体" w:cs="宋体"/>
                <w:color w:val="000000"/>
                <w:szCs w:val="21"/>
              </w:rPr>
            </w:pPr>
          </w:p>
        </w:tc>
        <w:tc>
          <w:tcPr>
            <w:tcW w:w="6360" w:type="dxa"/>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kern w:val="0"/>
                <w:szCs w:val="21"/>
                <w:lang w:bidi="ar"/>
              </w:rPr>
              <w:t>组织开展现有农村污水处理设施运行情况调查评估，持续更新完善农村生活污水治理设施运行台账。加强农村生活污水处理设施运行监督管理，对运行不正常的设施随发现随督促整改，确保已建成设施正常运行率达到80%以上，按年度形成农村生活污水收集处理设施运行情况排查报告。</w:t>
            </w:r>
          </w:p>
        </w:tc>
        <w:tc>
          <w:tcPr>
            <w:tcW w:w="121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区水务局</w:t>
            </w:r>
          </w:p>
        </w:tc>
        <w:tc>
          <w:tcPr>
            <w:tcW w:w="2172"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区生态环境局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区农业农村局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相关镇人民政府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501" w:type="dxa"/>
            <w:vMerge w:val="continue"/>
            <w:noWrap w:val="0"/>
            <w:vAlign w:val="center"/>
          </w:tcPr>
          <w:p>
            <w:pPr>
              <w:widowControl/>
              <w:adjustRightInd w:val="0"/>
              <w:snapToGrid w:val="0"/>
              <w:jc w:val="center"/>
              <w:rPr>
                <w:rFonts w:ascii="宋体" w:hAnsi="宋体" w:cs="宋体"/>
                <w:color w:val="000000"/>
                <w:szCs w:val="21"/>
              </w:rPr>
            </w:pPr>
          </w:p>
        </w:tc>
        <w:tc>
          <w:tcPr>
            <w:tcW w:w="1486" w:type="dxa"/>
            <w:vMerge w:val="continue"/>
            <w:noWrap w:val="0"/>
            <w:vAlign w:val="center"/>
          </w:tcPr>
          <w:p>
            <w:pPr>
              <w:widowControl/>
              <w:adjustRightInd w:val="0"/>
              <w:snapToGrid w:val="0"/>
              <w:jc w:val="center"/>
              <w:rPr>
                <w:rFonts w:ascii="宋体" w:hAnsi="宋体" w:cs="宋体"/>
                <w:color w:val="000000"/>
                <w:szCs w:val="21"/>
              </w:rPr>
            </w:pPr>
          </w:p>
        </w:tc>
        <w:tc>
          <w:tcPr>
            <w:tcW w:w="6360" w:type="dxa"/>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kern w:val="0"/>
                <w:szCs w:val="21"/>
                <w:lang w:bidi="ar"/>
              </w:rPr>
              <w:t>深入推进农村环境整治工作，完成市级下达的任务目标，任务村庄生活污水、黑臭水体、集中式饮用水水源地达到国家整治要求，村庄环境干净整洁。开展农村环境整治完成任务数量不低于本区农村污水收集处理设施建设任务数量。按照国家及市级要求填报农业农村环境监管系统。</w:t>
            </w:r>
          </w:p>
        </w:tc>
        <w:tc>
          <w:tcPr>
            <w:tcW w:w="121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区生态环境局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区水务局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区农业农村局</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区城市管理委</w:t>
            </w:r>
          </w:p>
        </w:tc>
        <w:tc>
          <w:tcPr>
            <w:tcW w:w="2172"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区卫生健康委</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区财政局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相关镇人民政府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501" w:type="dxa"/>
            <w:vMerge w:val="continue"/>
            <w:noWrap w:val="0"/>
            <w:vAlign w:val="center"/>
          </w:tcPr>
          <w:p>
            <w:pPr>
              <w:widowControl/>
              <w:adjustRightInd w:val="0"/>
              <w:snapToGrid w:val="0"/>
              <w:jc w:val="center"/>
              <w:rPr>
                <w:rFonts w:ascii="宋体" w:hAnsi="宋体" w:cs="宋体"/>
                <w:color w:val="000000"/>
                <w:szCs w:val="21"/>
              </w:rPr>
            </w:pPr>
          </w:p>
        </w:tc>
        <w:tc>
          <w:tcPr>
            <w:tcW w:w="1486" w:type="dxa"/>
            <w:vMerge w:val="continue"/>
            <w:noWrap w:val="0"/>
            <w:vAlign w:val="center"/>
          </w:tcPr>
          <w:p>
            <w:pPr>
              <w:widowControl/>
              <w:adjustRightInd w:val="0"/>
              <w:snapToGrid w:val="0"/>
              <w:jc w:val="center"/>
              <w:rPr>
                <w:rFonts w:ascii="宋体" w:hAnsi="宋体" w:cs="宋体"/>
                <w:color w:val="000000"/>
                <w:szCs w:val="21"/>
              </w:rPr>
            </w:pPr>
          </w:p>
        </w:tc>
        <w:tc>
          <w:tcPr>
            <w:tcW w:w="6360" w:type="dxa"/>
            <w:noWrap w:val="0"/>
            <w:vAlign w:val="center"/>
          </w:tcPr>
          <w:p>
            <w:pPr>
              <w:widowControl/>
              <w:adjustRightInd w:val="0"/>
              <w:snapToGrid w:val="0"/>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因地制宜推广小微湿地治理农村生活污水模式，采育镇负责实施大兴区采育镇施家务、宁家湾等的农村污水生态治理工程，完成5个村庄的污水治理；庞各庄镇负责实施大兴区庞各庄镇北章客等村庄污水治理工程，完成4个村庄的污水治理，确保年内完工并投入使用，解决农村生活污水末端处理问题。</w:t>
            </w:r>
          </w:p>
        </w:tc>
        <w:tc>
          <w:tcPr>
            <w:tcW w:w="1215"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年底前</w:t>
            </w:r>
          </w:p>
        </w:tc>
        <w:tc>
          <w:tcPr>
            <w:tcW w:w="2235"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采育镇人民政府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庞各庄镇人民政府</w:t>
            </w:r>
          </w:p>
        </w:tc>
        <w:tc>
          <w:tcPr>
            <w:tcW w:w="2172"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区生态环境局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区水务局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区发展改革委</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区农业农村局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市规划自然资源委大兴分局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Merge w:val="restart"/>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1486" w:type="dxa"/>
            <w:vMerge w:val="restart"/>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加强汛期</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污染防治</w:t>
            </w:r>
          </w:p>
        </w:tc>
        <w:tc>
          <w:tcPr>
            <w:tcW w:w="6360" w:type="dxa"/>
            <w:vMerge w:val="restart"/>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kern w:val="0"/>
                <w:szCs w:val="21"/>
                <w:lang w:bidi="ar"/>
              </w:rPr>
              <w:t>加大雨污混接错接巡查整治力度，督促相关单位对发现的混接错接点位及时处置，实现雨污混流动态清零。配合市级部门制定本区实施雨污混接错接排查治理方案。</w:t>
            </w:r>
          </w:p>
        </w:tc>
        <w:tc>
          <w:tcPr>
            <w:tcW w:w="1215" w:type="dxa"/>
            <w:vMerge w:val="restart"/>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vMerge w:val="restart"/>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区水务局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区公路分局</w:t>
            </w:r>
          </w:p>
        </w:tc>
        <w:tc>
          <w:tcPr>
            <w:tcW w:w="2172" w:type="dxa"/>
            <w:vMerge w:val="restart"/>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区城市管理委</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各街道办事处</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501" w:type="dxa"/>
            <w:vMerge w:val="continue"/>
            <w:noWrap w:val="0"/>
            <w:vAlign w:val="center"/>
          </w:tcPr>
          <w:p>
            <w:pPr>
              <w:widowControl/>
              <w:adjustRightInd w:val="0"/>
              <w:snapToGrid w:val="0"/>
              <w:jc w:val="center"/>
              <w:textAlignment w:val="center"/>
              <w:rPr>
                <w:rFonts w:ascii="宋体" w:hAnsi="宋体" w:cs="宋体"/>
              </w:rPr>
            </w:pPr>
          </w:p>
        </w:tc>
        <w:tc>
          <w:tcPr>
            <w:tcW w:w="1486" w:type="dxa"/>
            <w:vMerge w:val="continue"/>
            <w:noWrap w:val="0"/>
            <w:vAlign w:val="center"/>
          </w:tcPr>
          <w:p>
            <w:pPr>
              <w:widowControl/>
              <w:adjustRightInd w:val="0"/>
              <w:snapToGrid w:val="0"/>
              <w:jc w:val="center"/>
              <w:textAlignment w:val="center"/>
              <w:rPr>
                <w:rFonts w:ascii="宋体" w:hAnsi="宋体" w:cs="宋体"/>
              </w:rPr>
            </w:pPr>
          </w:p>
        </w:tc>
        <w:tc>
          <w:tcPr>
            <w:tcW w:w="6360" w:type="dxa"/>
            <w:vMerge w:val="continue"/>
            <w:noWrap w:val="0"/>
            <w:vAlign w:val="center"/>
          </w:tcPr>
          <w:p>
            <w:pPr>
              <w:widowControl/>
              <w:adjustRightInd w:val="0"/>
              <w:snapToGrid w:val="0"/>
              <w:jc w:val="center"/>
              <w:textAlignment w:val="center"/>
              <w:rPr>
                <w:rFonts w:ascii="宋体" w:hAnsi="宋体" w:cs="宋体"/>
              </w:rPr>
            </w:pPr>
          </w:p>
        </w:tc>
        <w:tc>
          <w:tcPr>
            <w:tcW w:w="1215" w:type="dxa"/>
            <w:vMerge w:val="continue"/>
            <w:noWrap w:val="0"/>
            <w:vAlign w:val="center"/>
          </w:tcPr>
          <w:p>
            <w:pPr>
              <w:widowControl/>
              <w:adjustRightInd w:val="0"/>
              <w:snapToGrid w:val="0"/>
              <w:jc w:val="center"/>
              <w:textAlignment w:val="center"/>
              <w:rPr>
                <w:rFonts w:ascii="宋体" w:hAnsi="宋体" w:cs="宋体"/>
              </w:rPr>
            </w:pPr>
          </w:p>
        </w:tc>
        <w:tc>
          <w:tcPr>
            <w:tcW w:w="2235" w:type="dxa"/>
            <w:vMerge w:val="continue"/>
            <w:noWrap w:val="0"/>
            <w:vAlign w:val="center"/>
          </w:tcPr>
          <w:p>
            <w:pPr>
              <w:widowControl/>
              <w:adjustRightInd w:val="0"/>
              <w:snapToGrid w:val="0"/>
              <w:jc w:val="center"/>
              <w:textAlignment w:val="center"/>
              <w:rPr>
                <w:rFonts w:ascii="宋体" w:hAnsi="宋体" w:cs="宋体"/>
              </w:rPr>
            </w:pPr>
          </w:p>
        </w:tc>
        <w:tc>
          <w:tcPr>
            <w:tcW w:w="2172" w:type="dxa"/>
            <w:vMerge w:val="continue"/>
            <w:noWrap w:val="0"/>
            <w:vAlign w:val="center"/>
          </w:tcPr>
          <w:p>
            <w:pPr>
              <w:widowControl/>
              <w:adjustRightInd w:val="0"/>
              <w:snapToGrid w:val="0"/>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501" w:type="dxa"/>
            <w:vMerge w:val="continue"/>
            <w:noWrap w:val="0"/>
            <w:vAlign w:val="center"/>
          </w:tcPr>
          <w:p>
            <w:pPr>
              <w:widowControl/>
              <w:adjustRightInd w:val="0"/>
              <w:snapToGrid w:val="0"/>
              <w:jc w:val="center"/>
              <w:rPr>
                <w:rFonts w:ascii="宋体" w:hAnsi="宋体" w:cs="宋体"/>
                <w:color w:val="000000"/>
                <w:szCs w:val="21"/>
              </w:rPr>
            </w:pPr>
          </w:p>
        </w:tc>
        <w:tc>
          <w:tcPr>
            <w:tcW w:w="1486" w:type="dxa"/>
            <w:vMerge w:val="continue"/>
            <w:noWrap w:val="0"/>
            <w:vAlign w:val="center"/>
          </w:tcPr>
          <w:p>
            <w:pPr>
              <w:widowControl/>
              <w:adjustRightInd w:val="0"/>
              <w:snapToGrid w:val="0"/>
              <w:jc w:val="center"/>
              <w:rPr>
                <w:rFonts w:ascii="宋体" w:hAnsi="宋体" w:cs="宋体"/>
                <w:color w:val="000000"/>
                <w:szCs w:val="21"/>
              </w:rPr>
            </w:pPr>
          </w:p>
        </w:tc>
        <w:tc>
          <w:tcPr>
            <w:tcW w:w="6360" w:type="dxa"/>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kern w:val="0"/>
                <w:szCs w:val="21"/>
                <w:lang w:bidi="ar"/>
              </w:rPr>
              <w:t>汛前持续开展“清管行动”。提前对雨水管涵、雨污合流管涵、雨水口（雨箅子）等进行全面清掏并加大巡查、清理力度。</w:t>
            </w:r>
          </w:p>
        </w:tc>
        <w:tc>
          <w:tcPr>
            <w:tcW w:w="121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9月底前</w:t>
            </w:r>
          </w:p>
        </w:tc>
        <w:tc>
          <w:tcPr>
            <w:tcW w:w="2235"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区水务局</w:t>
            </w:r>
          </w:p>
        </w:tc>
        <w:tc>
          <w:tcPr>
            <w:tcW w:w="2172"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各街道办事处</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01" w:type="dxa"/>
            <w:vMerge w:val="continue"/>
            <w:noWrap w:val="0"/>
            <w:vAlign w:val="center"/>
          </w:tcPr>
          <w:p>
            <w:pPr>
              <w:widowControl/>
              <w:adjustRightInd w:val="0"/>
              <w:snapToGrid w:val="0"/>
              <w:jc w:val="center"/>
              <w:rPr>
                <w:rFonts w:ascii="宋体" w:hAnsi="宋体" w:cs="宋体"/>
                <w:color w:val="000000"/>
                <w:szCs w:val="21"/>
              </w:rPr>
            </w:pPr>
          </w:p>
        </w:tc>
        <w:tc>
          <w:tcPr>
            <w:tcW w:w="1486" w:type="dxa"/>
            <w:vMerge w:val="continue"/>
            <w:noWrap w:val="0"/>
            <w:vAlign w:val="center"/>
          </w:tcPr>
          <w:p>
            <w:pPr>
              <w:widowControl/>
              <w:adjustRightInd w:val="0"/>
              <w:snapToGrid w:val="0"/>
              <w:jc w:val="center"/>
              <w:rPr>
                <w:rFonts w:ascii="宋体" w:hAnsi="宋体" w:cs="宋体"/>
                <w:color w:val="000000"/>
                <w:szCs w:val="21"/>
              </w:rPr>
            </w:pPr>
          </w:p>
        </w:tc>
        <w:tc>
          <w:tcPr>
            <w:tcW w:w="6360" w:type="dxa"/>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kern w:val="0"/>
                <w:szCs w:val="21"/>
                <w:lang w:bidi="ar"/>
              </w:rPr>
              <w:t>新城地区加强汛期污水处理联动联调，降雨前提前加大抽升处理，降低管网液位，实现管网腾容，最大程度减少片区污水溢流排河。</w:t>
            </w:r>
          </w:p>
        </w:tc>
        <w:tc>
          <w:tcPr>
            <w:tcW w:w="121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9月底前</w:t>
            </w:r>
          </w:p>
        </w:tc>
        <w:tc>
          <w:tcPr>
            <w:tcW w:w="223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区水务局</w:t>
            </w:r>
          </w:p>
        </w:tc>
        <w:tc>
          <w:tcPr>
            <w:tcW w:w="2172"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501" w:type="dxa"/>
            <w:vMerge w:val="continue"/>
            <w:noWrap w:val="0"/>
            <w:vAlign w:val="center"/>
          </w:tcPr>
          <w:p>
            <w:pPr>
              <w:widowControl/>
              <w:adjustRightInd w:val="0"/>
              <w:snapToGrid w:val="0"/>
              <w:jc w:val="center"/>
              <w:rPr>
                <w:rFonts w:ascii="宋体" w:hAnsi="宋体" w:cs="宋体"/>
                <w:color w:val="000000"/>
                <w:szCs w:val="21"/>
              </w:rPr>
            </w:pPr>
          </w:p>
        </w:tc>
        <w:tc>
          <w:tcPr>
            <w:tcW w:w="1486" w:type="dxa"/>
            <w:vMerge w:val="continue"/>
            <w:noWrap w:val="0"/>
            <w:vAlign w:val="center"/>
          </w:tcPr>
          <w:p>
            <w:pPr>
              <w:widowControl/>
              <w:adjustRightInd w:val="0"/>
              <w:snapToGrid w:val="0"/>
              <w:jc w:val="center"/>
              <w:rPr>
                <w:rFonts w:ascii="宋体" w:hAnsi="宋体" w:cs="宋体"/>
                <w:color w:val="000000"/>
                <w:szCs w:val="21"/>
              </w:rPr>
            </w:pPr>
          </w:p>
        </w:tc>
        <w:tc>
          <w:tcPr>
            <w:tcW w:w="6360" w:type="dxa"/>
            <w:vMerge w:val="restart"/>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kern w:val="0"/>
                <w:szCs w:val="21"/>
                <w:lang w:bidi="ar"/>
              </w:rPr>
              <w:t>依托“河长制”，加强汛期河湖水环境精细化管理，雨后24小时内对国市考断面所在重点水体及时清理垃圾、漂浮物。开展雨后入河排口排污检查，严厉打击污水直排、借雨偷排行为。</w:t>
            </w:r>
          </w:p>
        </w:tc>
        <w:tc>
          <w:tcPr>
            <w:tcW w:w="1215" w:type="dxa"/>
            <w:vMerge w:val="restart"/>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长期实施</w:t>
            </w:r>
          </w:p>
        </w:tc>
        <w:tc>
          <w:tcPr>
            <w:tcW w:w="2235" w:type="dxa"/>
            <w:vMerge w:val="restart"/>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szCs w:val="21"/>
              </w:rPr>
              <w:t>区生态环境局</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szCs w:val="21"/>
              </w:rPr>
              <w:t>区水务局</w:t>
            </w:r>
          </w:p>
        </w:tc>
        <w:tc>
          <w:tcPr>
            <w:tcW w:w="2172" w:type="dxa"/>
            <w:vMerge w:val="restart"/>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区农业农村局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各街道办事处</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01" w:type="dxa"/>
            <w:vMerge w:val="continue"/>
            <w:noWrap w:val="0"/>
            <w:vAlign w:val="center"/>
          </w:tcPr>
          <w:p>
            <w:pPr>
              <w:widowControl/>
              <w:adjustRightInd w:val="0"/>
              <w:snapToGrid w:val="0"/>
              <w:jc w:val="center"/>
              <w:textAlignment w:val="center"/>
              <w:rPr>
                <w:rFonts w:ascii="宋体" w:hAnsi="宋体" w:cs="宋体"/>
              </w:rPr>
            </w:pPr>
          </w:p>
        </w:tc>
        <w:tc>
          <w:tcPr>
            <w:tcW w:w="1486" w:type="dxa"/>
            <w:vMerge w:val="continue"/>
            <w:noWrap w:val="0"/>
            <w:vAlign w:val="center"/>
          </w:tcPr>
          <w:p>
            <w:pPr>
              <w:widowControl/>
              <w:adjustRightInd w:val="0"/>
              <w:snapToGrid w:val="0"/>
              <w:jc w:val="center"/>
              <w:textAlignment w:val="center"/>
              <w:rPr>
                <w:rFonts w:ascii="宋体" w:hAnsi="宋体" w:cs="宋体"/>
              </w:rPr>
            </w:pPr>
          </w:p>
        </w:tc>
        <w:tc>
          <w:tcPr>
            <w:tcW w:w="6360" w:type="dxa"/>
            <w:vMerge w:val="continue"/>
            <w:noWrap w:val="0"/>
            <w:vAlign w:val="center"/>
          </w:tcPr>
          <w:p>
            <w:pPr>
              <w:widowControl/>
              <w:adjustRightInd w:val="0"/>
              <w:snapToGrid w:val="0"/>
              <w:jc w:val="center"/>
              <w:textAlignment w:val="center"/>
              <w:rPr>
                <w:rFonts w:ascii="宋体" w:hAnsi="宋体" w:cs="宋体"/>
              </w:rPr>
            </w:pPr>
          </w:p>
        </w:tc>
        <w:tc>
          <w:tcPr>
            <w:tcW w:w="1215" w:type="dxa"/>
            <w:vMerge w:val="continue"/>
            <w:noWrap w:val="0"/>
            <w:vAlign w:val="center"/>
          </w:tcPr>
          <w:p>
            <w:pPr>
              <w:widowControl/>
              <w:adjustRightInd w:val="0"/>
              <w:snapToGrid w:val="0"/>
              <w:jc w:val="center"/>
              <w:textAlignment w:val="center"/>
              <w:rPr>
                <w:rFonts w:ascii="宋体" w:hAnsi="宋体" w:cs="宋体"/>
              </w:rPr>
            </w:pPr>
          </w:p>
        </w:tc>
        <w:tc>
          <w:tcPr>
            <w:tcW w:w="2235" w:type="dxa"/>
            <w:vMerge w:val="continue"/>
            <w:noWrap w:val="0"/>
            <w:vAlign w:val="center"/>
          </w:tcPr>
          <w:p>
            <w:pPr>
              <w:widowControl/>
              <w:adjustRightInd w:val="0"/>
              <w:snapToGrid w:val="0"/>
              <w:jc w:val="center"/>
              <w:textAlignment w:val="center"/>
              <w:rPr>
                <w:rFonts w:ascii="宋体" w:hAnsi="宋体" w:cs="宋体"/>
              </w:rPr>
            </w:pPr>
          </w:p>
        </w:tc>
        <w:tc>
          <w:tcPr>
            <w:tcW w:w="2172" w:type="dxa"/>
            <w:vMerge w:val="continue"/>
            <w:noWrap w:val="0"/>
            <w:vAlign w:val="center"/>
          </w:tcPr>
          <w:p>
            <w:pPr>
              <w:widowControl/>
              <w:adjustRightInd w:val="0"/>
              <w:snapToGrid w:val="0"/>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501" w:type="dxa"/>
            <w:vMerge w:val="restart"/>
            <w:noWrap w:val="0"/>
            <w:vAlign w:val="center"/>
          </w:tcPr>
          <w:p>
            <w:pPr>
              <w:widowControl/>
              <w:adjustRightInd w:val="0"/>
              <w:snapToGrid w:val="0"/>
              <w:jc w:val="center"/>
              <w:textAlignment w:val="center"/>
              <w:rPr>
                <w:rFonts w:ascii="宋体" w:hAnsi="宋体" w:cs="宋体"/>
                <w:color w:val="000000"/>
                <w:szCs w:val="21"/>
                <w:highlight w:val="yellow"/>
              </w:rPr>
            </w:pPr>
            <w:r>
              <w:rPr>
                <w:rFonts w:hint="eastAsia" w:ascii="宋体" w:hAnsi="宋体" w:cs="宋体"/>
                <w:color w:val="000000"/>
                <w:kern w:val="0"/>
                <w:szCs w:val="21"/>
                <w:lang w:bidi="ar"/>
              </w:rPr>
              <w:t>8</w:t>
            </w:r>
          </w:p>
        </w:tc>
        <w:tc>
          <w:tcPr>
            <w:tcW w:w="1486" w:type="dxa"/>
            <w:vMerge w:val="restart"/>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加强工业</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污染防治</w:t>
            </w:r>
          </w:p>
        </w:tc>
        <w:tc>
          <w:tcPr>
            <w:tcW w:w="6360" w:type="dxa"/>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kern w:val="0"/>
                <w:szCs w:val="21"/>
                <w:lang w:bidi="ar"/>
              </w:rPr>
              <w:t>加大工业污染防治力度，通过排污许可管理、重点排污单位管理等措施加强工业园区污水处理设施监管，推动工业园区产生的污水全收集全处理并达标排放，强化工业园区污水集中处理设施自动在线监控。</w:t>
            </w:r>
          </w:p>
        </w:tc>
        <w:tc>
          <w:tcPr>
            <w:tcW w:w="121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长期实施</w:t>
            </w:r>
          </w:p>
        </w:tc>
        <w:tc>
          <w:tcPr>
            <w:tcW w:w="223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区生态环境局</w:t>
            </w:r>
          </w:p>
        </w:tc>
        <w:tc>
          <w:tcPr>
            <w:tcW w:w="2172"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区经济和信息化局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西红门镇人民政府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青云店镇人民政府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采育镇人民政府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大兴生物医药基地管委会</w:t>
            </w:r>
          </w:p>
          <w:p>
            <w:pPr>
              <w:widowControl/>
              <w:adjustRightInd w:val="0"/>
              <w:snapToGrid w:val="0"/>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eastAsia="zh-CN" w:bidi="ar"/>
              </w:rPr>
              <w:t>大兴经济开发区管委会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501" w:type="dxa"/>
            <w:vMerge w:val="continue"/>
            <w:noWrap w:val="0"/>
            <w:vAlign w:val="center"/>
          </w:tcPr>
          <w:p>
            <w:pPr>
              <w:widowControl/>
              <w:adjustRightInd w:val="0"/>
              <w:snapToGrid w:val="0"/>
              <w:jc w:val="center"/>
              <w:rPr>
                <w:rFonts w:ascii="宋体" w:hAnsi="宋体" w:cs="宋体"/>
                <w:color w:val="000000"/>
                <w:szCs w:val="21"/>
              </w:rPr>
            </w:pPr>
          </w:p>
        </w:tc>
        <w:tc>
          <w:tcPr>
            <w:tcW w:w="1486" w:type="dxa"/>
            <w:vMerge w:val="continue"/>
            <w:noWrap w:val="0"/>
            <w:vAlign w:val="center"/>
          </w:tcPr>
          <w:p>
            <w:pPr>
              <w:widowControl/>
              <w:adjustRightInd w:val="0"/>
              <w:snapToGrid w:val="0"/>
              <w:jc w:val="center"/>
              <w:rPr>
                <w:rFonts w:ascii="宋体" w:hAnsi="宋体" w:cs="宋体"/>
                <w:color w:val="000000"/>
                <w:szCs w:val="21"/>
              </w:rPr>
            </w:pPr>
          </w:p>
        </w:tc>
        <w:tc>
          <w:tcPr>
            <w:tcW w:w="6360" w:type="dxa"/>
            <w:vMerge w:val="restart"/>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kern w:val="0"/>
                <w:szCs w:val="21"/>
                <w:lang w:bidi="ar"/>
              </w:rPr>
              <w:t>组织排查整治工业园区污水管网老旧破损、混接错接等情况，建立工业园区污水集中处理设施进水浓度异常等突出问题清单，实施清单管理、动态销号。</w:t>
            </w:r>
          </w:p>
        </w:tc>
        <w:tc>
          <w:tcPr>
            <w:tcW w:w="1215" w:type="dxa"/>
            <w:vMerge w:val="restart"/>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长期实施</w:t>
            </w:r>
          </w:p>
        </w:tc>
        <w:tc>
          <w:tcPr>
            <w:tcW w:w="2235" w:type="dxa"/>
            <w:vMerge w:val="restart"/>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区经济和信息化局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区生态环境局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区水务局</w:t>
            </w:r>
          </w:p>
        </w:tc>
        <w:tc>
          <w:tcPr>
            <w:tcW w:w="2172" w:type="dxa"/>
            <w:vMerge w:val="restart"/>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区城市管理委</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相关镇人民政府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相关街道办事处</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501" w:type="dxa"/>
            <w:vMerge w:val="continue"/>
            <w:noWrap w:val="0"/>
            <w:vAlign w:val="center"/>
          </w:tcPr>
          <w:p>
            <w:pPr>
              <w:widowControl/>
              <w:adjustRightInd w:val="0"/>
              <w:snapToGrid w:val="0"/>
              <w:jc w:val="center"/>
              <w:textAlignment w:val="center"/>
              <w:rPr>
                <w:rFonts w:ascii="宋体" w:hAnsi="宋体" w:cs="宋体"/>
              </w:rPr>
            </w:pPr>
          </w:p>
        </w:tc>
        <w:tc>
          <w:tcPr>
            <w:tcW w:w="1486" w:type="dxa"/>
            <w:vMerge w:val="continue"/>
            <w:noWrap w:val="0"/>
            <w:vAlign w:val="center"/>
          </w:tcPr>
          <w:p>
            <w:pPr>
              <w:widowControl/>
              <w:adjustRightInd w:val="0"/>
              <w:snapToGrid w:val="0"/>
              <w:jc w:val="center"/>
              <w:textAlignment w:val="center"/>
              <w:rPr>
                <w:rFonts w:ascii="宋体" w:hAnsi="宋体" w:cs="宋体"/>
              </w:rPr>
            </w:pPr>
          </w:p>
        </w:tc>
        <w:tc>
          <w:tcPr>
            <w:tcW w:w="6360" w:type="dxa"/>
            <w:vMerge w:val="continue"/>
            <w:noWrap w:val="0"/>
            <w:vAlign w:val="center"/>
          </w:tcPr>
          <w:p>
            <w:pPr>
              <w:widowControl/>
              <w:adjustRightInd w:val="0"/>
              <w:snapToGrid w:val="0"/>
              <w:jc w:val="center"/>
              <w:textAlignment w:val="center"/>
              <w:rPr>
                <w:rFonts w:ascii="宋体" w:hAnsi="宋体" w:cs="宋体"/>
              </w:rPr>
            </w:pPr>
          </w:p>
        </w:tc>
        <w:tc>
          <w:tcPr>
            <w:tcW w:w="1215" w:type="dxa"/>
            <w:vMerge w:val="continue"/>
            <w:noWrap w:val="0"/>
            <w:vAlign w:val="center"/>
          </w:tcPr>
          <w:p>
            <w:pPr>
              <w:widowControl/>
              <w:adjustRightInd w:val="0"/>
              <w:snapToGrid w:val="0"/>
              <w:jc w:val="center"/>
              <w:textAlignment w:val="center"/>
              <w:rPr>
                <w:rFonts w:ascii="宋体" w:hAnsi="宋体" w:cs="宋体"/>
              </w:rPr>
            </w:pPr>
          </w:p>
        </w:tc>
        <w:tc>
          <w:tcPr>
            <w:tcW w:w="2235" w:type="dxa"/>
            <w:vMerge w:val="continue"/>
            <w:noWrap w:val="0"/>
            <w:vAlign w:val="center"/>
          </w:tcPr>
          <w:p>
            <w:pPr>
              <w:widowControl/>
              <w:adjustRightInd w:val="0"/>
              <w:snapToGrid w:val="0"/>
              <w:jc w:val="center"/>
              <w:textAlignment w:val="center"/>
              <w:rPr>
                <w:rFonts w:ascii="宋体" w:hAnsi="宋体" w:cs="宋体"/>
              </w:rPr>
            </w:pPr>
          </w:p>
        </w:tc>
        <w:tc>
          <w:tcPr>
            <w:tcW w:w="2172" w:type="dxa"/>
            <w:vMerge w:val="continue"/>
            <w:noWrap w:val="0"/>
            <w:vAlign w:val="center"/>
          </w:tcPr>
          <w:p>
            <w:pPr>
              <w:widowControl/>
              <w:adjustRightInd w:val="0"/>
              <w:snapToGrid w:val="0"/>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1" w:type="dxa"/>
            <w:vMerge w:val="continue"/>
            <w:noWrap w:val="0"/>
            <w:vAlign w:val="center"/>
          </w:tcPr>
          <w:p>
            <w:pPr>
              <w:widowControl/>
              <w:adjustRightInd w:val="0"/>
              <w:snapToGrid w:val="0"/>
              <w:jc w:val="center"/>
              <w:textAlignment w:val="center"/>
              <w:rPr>
                <w:rFonts w:ascii="宋体" w:hAnsi="宋体" w:cs="宋体"/>
                <w:b/>
                <w:bCs/>
                <w:kern w:val="0"/>
                <w:szCs w:val="21"/>
                <w:lang w:bidi="ar"/>
              </w:rPr>
            </w:pPr>
          </w:p>
        </w:tc>
        <w:tc>
          <w:tcPr>
            <w:tcW w:w="1486" w:type="dxa"/>
            <w:vMerge w:val="continue"/>
            <w:noWrap w:val="0"/>
            <w:vAlign w:val="center"/>
          </w:tcPr>
          <w:p>
            <w:pPr>
              <w:widowControl/>
              <w:adjustRightInd w:val="0"/>
              <w:snapToGrid w:val="0"/>
              <w:jc w:val="center"/>
              <w:textAlignment w:val="center"/>
              <w:rPr>
                <w:rFonts w:ascii="宋体" w:hAnsi="宋体" w:cs="宋体"/>
                <w:b/>
                <w:bCs/>
                <w:kern w:val="0"/>
                <w:szCs w:val="21"/>
                <w:lang w:bidi="ar"/>
              </w:rPr>
            </w:pPr>
          </w:p>
        </w:tc>
        <w:tc>
          <w:tcPr>
            <w:tcW w:w="6360" w:type="dxa"/>
            <w:vMerge w:val="continue"/>
            <w:noWrap w:val="0"/>
            <w:vAlign w:val="center"/>
          </w:tcPr>
          <w:p>
            <w:pPr>
              <w:widowControl/>
              <w:adjustRightInd w:val="0"/>
              <w:snapToGrid w:val="0"/>
              <w:jc w:val="center"/>
              <w:textAlignment w:val="center"/>
              <w:rPr>
                <w:rFonts w:ascii="宋体" w:hAnsi="宋体" w:cs="宋体"/>
                <w:b/>
                <w:bCs/>
                <w:kern w:val="0"/>
                <w:szCs w:val="21"/>
                <w:lang w:bidi="ar"/>
              </w:rPr>
            </w:pPr>
          </w:p>
        </w:tc>
        <w:tc>
          <w:tcPr>
            <w:tcW w:w="1215" w:type="dxa"/>
            <w:vMerge w:val="continue"/>
            <w:noWrap w:val="0"/>
            <w:vAlign w:val="center"/>
          </w:tcPr>
          <w:p>
            <w:pPr>
              <w:widowControl/>
              <w:adjustRightInd w:val="0"/>
              <w:snapToGrid w:val="0"/>
              <w:jc w:val="center"/>
              <w:textAlignment w:val="center"/>
              <w:rPr>
                <w:rFonts w:ascii="宋体" w:hAnsi="宋体" w:cs="宋体"/>
                <w:b/>
                <w:bCs/>
                <w:kern w:val="0"/>
                <w:szCs w:val="21"/>
                <w:lang w:bidi="ar"/>
              </w:rPr>
            </w:pPr>
          </w:p>
        </w:tc>
        <w:tc>
          <w:tcPr>
            <w:tcW w:w="2235" w:type="dxa"/>
            <w:vMerge w:val="continue"/>
            <w:noWrap w:val="0"/>
            <w:vAlign w:val="center"/>
          </w:tcPr>
          <w:p>
            <w:pPr>
              <w:widowControl/>
              <w:adjustRightInd w:val="0"/>
              <w:snapToGrid w:val="0"/>
              <w:jc w:val="center"/>
              <w:textAlignment w:val="center"/>
              <w:rPr>
                <w:rFonts w:ascii="宋体" w:hAnsi="宋体" w:cs="宋体"/>
                <w:b/>
                <w:bCs/>
                <w:kern w:val="0"/>
                <w:szCs w:val="21"/>
                <w:lang w:bidi="ar"/>
              </w:rPr>
            </w:pPr>
          </w:p>
        </w:tc>
        <w:tc>
          <w:tcPr>
            <w:tcW w:w="2172" w:type="dxa"/>
            <w:vMerge w:val="continue"/>
            <w:noWrap w:val="0"/>
            <w:vAlign w:val="center"/>
          </w:tcPr>
          <w:p>
            <w:pPr>
              <w:widowControl/>
              <w:adjustRightInd w:val="0"/>
              <w:snapToGrid w:val="0"/>
              <w:jc w:val="center"/>
              <w:textAlignment w:val="center"/>
              <w:rPr>
                <w:rFonts w:ascii="宋体" w:hAnsi="宋体" w:cs="宋体"/>
                <w:b/>
                <w:bCs/>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jc w:val="center"/>
        </w:trPr>
        <w:tc>
          <w:tcPr>
            <w:tcW w:w="501" w:type="dxa"/>
            <w:vMerge w:val="continue"/>
            <w:noWrap w:val="0"/>
            <w:vAlign w:val="center"/>
          </w:tcPr>
          <w:p>
            <w:pPr>
              <w:widowControl/>
              <w:adjustRightInd w:val="0"/>
              <w:snapToGrid w:val="0"/>
              <w:jc w:val="center"/>
              <w:rPr>
                <w:rFonts w:ascii="宋体" w:hAnsi="宋体" w:cs="宋体"/>
                <w:color w:val="000000"/>
                <w:szCs w:val="21"/>
              </w:rPr>
            </w:pPr>
          </w:p>
        </w:tc>
        <w:tc>
          <w:tcPr>
            <w:tcW w:w="1486" w:type="dxa"/>
            <w:vMerge w:val="continue"/>
            <w:noWrap w:val="0"/>
            <w:vAlign w:val="center"/>
          </w:tcPr>
          <w:p>
            <w:pPr>
              <w:widowControl/>
              <w:adjustRightInd w:val="0"/>
              <w:snapToGrid w:val="0"/>
              <w:jc w:val="center"/>
              <w:rPr>
                <w:rFonts w:ascii="宋体" w:hAnsi="宋体" w:cs="宋体"/>
                <w:color w:val="000000"/>
                <w:szCs w:val="21"/>
              </w:rPr>
            </w:pPr>
          </w:p>
        </w:tc>
        <w:tc>
          <w:tcPr>
            <w:tcW w:w="6360" w:type="dxa"/>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kern w:val="0"/>
                <w:szCs w:val="21"/>
                <w:lang w:bidi="ar"/>
              </w:rPr>
              <w:t>开展排污许可证单位执行报告提交率审核。对2021年以来新核发、重新申请排污许可证以及重点行业排污许可证进行许可证质量、2023年度执行报告全覆盖审核，审核总数不少于持证单位总数的三分之一。2023年度执行报告按时提交率应达到98%以上。</w:t>
            </w:r>
          </w:p>
        </w:tc>
        <w:tc>
          <w:tcPr>
            <w:tcW w:w="121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长期实施</w:t>
            </w:r>
          </w:p>
        </w:tc>
        <w:tc>
          <w:tcPr>
            <w:tcW w:w="223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区生态环境局</w:t>
            </w:r>
          </w:p>
        </w:tc>
        <w:tc>
          <w:tcPr>
            <w:tcW w:w="2172"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01" w:type="dxa"/>
            <w:vMerge w:val="restart"/>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1486" w:type="dxa"/>
            <w:vMerge w:val="restart"/>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加强入河</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排口监管</w:t>
            </w:r>
          </w:p>
        </w:tc>
        <w:tc>
          <w:tcPr>
            <w:tcW w:w="6360" w:type="dxa"/>
            <w:vMerge w:val="restart"/>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kern w:val="0"/>
                <w:szCs w:val="21"/>
                <w:lang w:bidi="ar"/>
              </w:rPr>
              <w:t>健全入河排口长效监督管理，建立完善全区20条河流（包含在全市425条河长制河流）“受纳水体—排污口—排污通道—排污单位”动态管理台账。</w:t>
            </w:r>
          </w:p>
        </w:tc>
        <w:tc>
          <w:tcPr>
            <w:tcW w:w="1215" w:type="dxa"/>
            <w:vMerge w:val="restart"/>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长期实施</w:t>
            </w:r>
          </w:p>
        </w:tc>
        <w:tc>
          <w:tcPr>
            <w:tcW w:w="2235" w:type="dxa"/>
            <w:vMerge w:val="restart"/>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区生态环境局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区水务局</w:t>
            </w:r>
          </w:p>
        </w:tc>
        <w:tc>
          <w:tcPr>
            <w:tcW w:w="2172" w:type="dxa"/>
            <w:vMerge w:val="restart"/>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区农业农村局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区城市管理委</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区公路分局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各街道办事处</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501" w:type="dxa"/>
            <w:vMerge w:val="continue"/>
            <w:noWrap w:val="0"/>
            <w:vAlign w:val="center"/>
          </w:tcPr>
          <w:p>
            <w:pPr>
              <w:widowControl/>
              <w:adjustRightInd w:val="0"/>
              <w:snapToGrid w:val="0"/>
              <w:jc w:val="center"/>
              <w:textAlignment w:val="center"/>
              <w:rPr>
                <w:rFonts w:ascii="Times New Roman" w:hAnsi="Times New Roman"/>
              </w:rPr>
            </w:pPr>
          </w:p>
        </w:tc>
        <w:tc>
          <w:tcPr>
            <w:tcW w:w="1486" w:type="dxa"/>
            <w:vMerge w:val="continue"/>
            <w:noWrap w:val="0"/>
            <w:vAlign w:val="center"/>
          </w:tcPr>
          <w:p>
            <w:pPr>
              <w:widowControl/>
              <w:adjustRightInd w:val="0"/>
              <w:snapToGrid w:val="0"/>
              <w:jc w:val="center"/>
              <w:textAlignment w:val="center"/>
              <w:rPr>
                <w:rFonts w:ascii="Times New Roman" w:hAnsi="Times New Roman"/>
              </w:rPr>
            </w:pPr>
          </w:p>
        </w:tc>
        <w:tc>
          <w:tcPr>
            <w:tcW w:w="6360" w:type="dxa"/>
            <w:vMerge w:val="continue"/>
            <w:noWrap w:val="0"/>
            <w:vAlign w:val="center"/>
          </w:tcPr>
          <w:p>
            <w:pPr>
              <w:widowControl/>
              <w:adjustRightInd w:val="0"/>
              <w:snapToGrid w:val="0"/>
              <w:jc w:val="center"/>
              <w:textAlignment w:val="center"/>
              <w:rPr>
                <w:rFonts w:ascii="Times New Roman" w:hAnsi="Times New Roman"/>
              </w:rPr>
            </w:pPr>
          </w:p>
        </w:tc>
        <w:tc>
          <w:tcPr>
            <w:tcW w:w="1215" w:type="dxa"/>
            <w:vMerge w:val="continue"/>
            <w:noWrap w:val="0"/>
            <w:vAlign w:val="center"/>
          </w:tcPr>
          <w:p>
            <w:pPr>
              <w:widowControl/>
              <w:adjustRightInd w:val="0"/>
              <w:snapToGrid w:val="0"/>
              <w:jc w:val="center"/>
              <w:textAlignment w:val="center"/>
              <w:rPr>
                <w:rFonts w:ascii="Times New Roman" w:hAnsi="Times New Roman"/>
              </w:rPr>
            </w:pPr>
          </w:p>
        </w:tc>
        <w:tc>
          <w:tcPr>
            <w:tcW w:w="2235" w:type="dxa"/>
            <w:vMerge w:val="continue"/>
            <w:noWrap w:val="0"/>
            <w:vAlign w:val="center"/>
          </w:tcPr>
          <w:p>
            <w:pPr>
              <w:widowControl/>
              <w:adjustRightInd w:val="0"/>
              <w:snapToGrid w:val="0"/>
              <w:jc w:val="center"/>
              <w:textAlignment w:val="center"/>
              <w:rPr>
                <w:rFonts w:ascii="Times New Roman" w:hAnsi="Times New Roman"/>
              </w:rPr>
            </w:pPr>
          </w:p>
        </w:tc>
        <w:tc>
          <w:tcPr>
            <w:tcW w:w="2172" w:type="dxa"/>
            <w:vMerge w:val="continue"/>
            <w:noWrap w:val="0"/>
            <w:vAlign w:val="center"/>
          </w:tcPr>
          <w:p>
            <w:pPr>
              <w:widowControl/>
              <w:adjustRightInd w:val="0"/>
              <w:snapToGrid w:val="0"/>
              <w:jc w:val="center"/>
              <w:textAlignment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noWrap w:val="0"/>
            <w:vAlign w:val="center"/>
          </w:tcPr>
          <w:p>
            <w:pPr>
              <w:widowControl/>
              <w:adjustRightInd w:val="0"/>
              <w:snapToGrid w:val="0"/>
              <w:jc w:val="center"/>
              <w:rPr>
                <w:rFonts w:ascii="宋体" w:hAnsi="宋体" w:cs="宋体"/>
                <w:color w:val="000000"/>
                <w:szCs w:val="21"/>
              </w:rPr>
            </w:pPr>
          </w:p>
        </w:tc>
        <w:tc>
          <w:tcPr>
            <w:tcW w:w="1486" w:type="dxa"/>
            <w:vMerge w:val="continue"/>
            <w:noWrap w:val="0"/>
            <w:vAlign w:val="center"/>
          </w:tcPr>
          <w:p>
            <w:pPr>
              <w:widowControl/>
              <w:adjustRightInd w:val="0"/>
              <w:snapToGrid w:val="0"/>
              <w:jc w:val="center"/>
              <w:rPr>
                <w:rFonts w:ascii="宋体" w:hAnsi="宋体" w:cs="宋体"/>
                <w:color w:val="000000"/>
                <w:szCs w:val="21"/>
              </w:rPr>
            </w:pPr>
          </w:p>
        </w:tc>
        <w:tc>
          <w:tcPr>
            <w:tcW w:w="6360" w:type="dxa"/>
            <w:vMerge w:val="restart"/>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kern w:val="0"/>
                <w:szCs w:val="21"/>
                <w:lang w:bidi="ar"/>
              </w:rPr>
              <w:t>巩固排查整治成效，确保违规排口动态清零。推进常态有水排口在线监测设施全覆盖，实施大兴区重点水体监管服务项目，强化在线监管平台应用。</w:t>
            </w:r>
          </w:p>
        </w:tc>
        <w:tc>
          <w:tcPr>
            <w:tcW w:w="1215" w:type="dxa"/>
            <w:vMerge w:val="restart"/>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长期实施</w:t>
            </w:r>
          </w:p>
        </w:tc>
        <w:tc>
          <w:tcPr>
            <w:tcW w:w="2235" w:type="dxa"/>
            <w:vMerge w:val="restart"/>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区生态环境局</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区水务局</w:t>
            </w:r>
          </w:p>
        </w:tc>
        <w:tc>
          <w:tcPr>
            <w:tcW w:w="2172" w:type="dxa"/>
            <w:vMerge w:val="restart"/>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区农业农村局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区城市管理委</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区公路分局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各街道办事处</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01" w:type="dxa"/>
            <w:vMerge w:val="continue"/>
            <w:noWrap w:val="0"/>
            <w:vAlign w:val="center"/>
          </w:tcPr>
          <w:p>
            <w:pPr>
              <w:widowControl/>
              <w:adjustRightInd w:val="0"/>
              <w:snapToGrid w:val="0"/>
              <w:jc w:val="center"/>
              <w:textAlignment w:val="center"/>
              <w:rPr>
                <w:rFonts w:ascii="Times New Roman" w:hAnsi="Times New Roman"/>
              </w:rPr>
            </w:pPr>
          </w:p>
        </w:tc>
        <w:tc>
          <w:tcPr>
            <w:tcW w:w="1486" w:type="dxa"/>
            <w:vMerge w:val="continue"/>
            <w:noWrap w:val="0"/>
            <w:vAlign w:val="center"/>
          </w:tcPr>
          <w:p>
            <w:pPr>
              <w:widowControl/>
              <w:adjustRightInd w:val="0"/>
              <w:snapToGrid w:val="0"/>
              <w:jc w:val="center"/>
              <w:textAlignment w:val="center"/>
              <w:rPr>
                <w:rFonts w:ascii="Times New Roman" w:hAnsi="Times New Roman"/>
              </w:rPr>
            </w:pPr>
          </w:p>
        </w:tc>
        <w:tc>
          <w:tcPr>
            <w:tcW w:w="6360" w:type="dxa"/>
            <w:vMerge w:val="continue"/>
            <w:noWrap w:val="0"/>
            <w:vAlign w:val="center"/>
          </w:tcPr>
          <w:p>
            <w:pPr>
              <w:widowControl/>
              <w:adjustRightInd w:val="0"/>
              <w:snapToGrid w:val="0"/>
              <w:jc w:val="center"/>
              <w:textAlignment w:val="center"/>
              <w:rPr>
                <w:rFonts w:ascii="宋体" w:hAnsi="宋体" w:cs="宋体"/>
              </w:rPr>
            </w:pPr>
          </w:p>
        </w:tc>
        <w:tc>
          <w:tcPr>
            <w:tcW w:w="1215" w:type="dxa"/>
            <w:vMerge w:val="continue"/>
            <w:noWrap w:val="0"/>
            <w:vAlign w:val="center"/>
          </w:tcPr>
          <w:p>
            <w:pPr>
              <w:widowControl/>
              <w:adjustRightInd w:val="0"/>
              <w:snapToGrid w:val="0"/>
              <w:jc w:val="center"/>
              <w:textAlignment w:val="center"/>
              <w:rPr>
                <w:rFonts w:ascii="宋体" w:hAnsi="宋体" w:cs="宋体"/>
              </w:rPr>
            </w:pPr>
          </w:p>
        </w:tc>
        <w:tc>
          <w:tcPr>
            <w:tcW w:w="2235" w:type="dxa"/>
            <w:vMerge w:val="continue"/>
            <w:noWrap w:val="0"/>
            <w:vAlign w:val="center"/>
          </w:tcPr>
          <w:p>
            <w:pPr>
              <w:widowControl/>
              <w:adjustRightInd w:val="0"/>
              <w:snapToGrid w:val="0"/>
              <w:jc w:val="center"/>
              <w:textAlignment w:val="center"/>
              <w:rPr>
                <w:rFonts w:ascii="宋体" w:hAnsi="宋体" w:cs="宋体"/>
              </w:rPr>
            </w:pPr>
          </w:p>
        </w:tc>
        <w:tc>
          <w:tcPr>
            <w:tcW w:w="2172" w:type="dxa"/>
            <w:vMerge w:val="continue"/>
            <w:noWrap w:val="0"/>
            <w:vAlign w:val="center"/>
          </w:tcPr>
          <w:p>
            <w:pPr>
              <w:widowControl/>
              <w:adjustRightInd w:val="0"/>
              <w:snapToGrid w:val="0"/>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501" w:type="dxa"/>
            <w:vMerge w:val="continue"/>
            <w:noWrap w:val="0"/>
            <w:vAlign w:val="center"/>
          </w:tcPr>
          <w:p>
            <w:pPr>
              <w:widowControl/>
              <w:adjustRightInd w:val="0"/>
              <w:snapToGrid w:val="0"/>
              <w:jc w:val="center"/>
              <w:textAlignment w:val="center"/>
              <w:rPr>
                <w:rFonts w:ascii="Times New Roman" w:hAnsi="Times New Roman"/>
                <w:b/>
                <w:bCs/>
              </w:rPr>
            </w:pPr>
          </w:p>
        </w:tc>
        <w:tc>
          <w:tcPr>
            <w:tcW w:w="1486" w:type="dxa"/>
            <w:vMerge w:val="continue"/>
            <w:noWrap w:val="0"/>
            <w:vAlign w:val="center"/>
          </w:tcPr>
          <w:p>
            <w:pPr>
              <w:widowControl/>
              <w:adjustRightInd w:val="0"/>
              <w:snapToGrid w:val="0"/>
              <w:jc w:val="center"/>
              <w:textAlignment w:val="center"/>
              <w:rPr>
                <w:rFonts w:ascii="Times New Roman" w:hAnsi="Times New Roman"/>
                <w:b/>
                <w:bCs/>
              </w:rPr>
            </w:pPr>
          </w:p>
        </w:tc>
        <w:tc>
          <w:tcPr>
            <w:tcW w:w="6360" w:type="dxa"/>
            <w:vMerge w:val="continue"/>
            <w:noWrap w:val="0"/>
            <w:vAlign w:val="center"/>
          </w:tcPr>
          <w:p>
            <w:pPr>
              <w:widowControl/>
              <w:adjustRightInd w:val="0"/>
              <w:snapToGrid w:val="0"/>
              <w:jc w:val="center"/>
              <w:textAlignment w:val="center"/>
              <w:rPr>
                <w:rFonts w:ascii="宋体" w:hAnsi="宋体" w:cs="宋体"/>
                <w:b/>
                <w:bCs/>
              </w:rPr>
            </w:pPr>
          </w:p>
        </w:tc>
        <w:tc>
          <w:tcPr>
            <w:tcW w:w="1215" w:type="dxa"/>
            <w:vMerge w:val="continue"/>
            <w:noWrap w:val="0"/>
            <w:vAlign w:val="center"/>
          </w:tcPr>
          <w:p>
            <w:pPr>
              <w:widowControl/>
              <w:adjustRightInd w:val="0"/>
              <w:snapToGrid w:val="0"/>
              <w:jc w:val="center"/>
              <w:textAlignment w:val="center"/>
              <w:rPr>
                <w:rFonts w:ascii="宋体" w:hAnsi="宋体" w:cs="宋体"/>
                <w:b/>
                <w:bCs/>
              </w:rPr>
            </w:pPr>
          </w:p>
        </w:tc>
        <w:tc>
          <w:tcPr>
            <w:tcW w:w="2235" w:type="dxa"/>
            <w:vMerge w:val="continue"/>
            <w:noWrap w:val="0"/>
            <w:vAlign w:val="center"/>
          </w:tcPr>
          <w:p>
            <w:pPr>
              <w:widowControl/>
              <w:adjustRightInd w:val="0"/>
              <w:snapToGrid w:val="0"/>
              <w:jc w:val="center"/>
              <w:textAlignment w:val="center"/>
              <w:rPr>
                <w:rFonts w:ascii="宋体" w:hAnsi="宋体" w:cs="宋体"/>
                <w:b/>
                <w:bCs/>
              </w:rPr>
            </w:pPr>
          </w:p>
        </w:tc>
        <w:tc>
          <w:tcPr>
            <w:tcW w:w="2172" w:type="dxa"/>
            <w:vMerge w:val="continue"/>
            <w:noWrap w:val="0"/>
            <w:vAlign w:val="center"/>
          </w:tcPr>
          <w:p>
            <w:pPr>
              <w:widowControl/>
              <w:adjustRightInd w:val="0"/>
              <w:snapToGrid w:val="0"/>
              <w:jc w:val="center"/>
              <w:textAlignment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01" w:type="dxa"/>
            <w:vMerge w:val="continue"/>
            <w:noWrap w:val="0"/>
            <w:vAlign w:val="center"/>
          </w:tcPr>
          <w:p>
            <w:pPr>
              <w:widowControl/>
              <w:adjustRightInd w:val="0"/>
              <w:snapToGrid w:val="0"/>
              <w:jc w:val="center"/>
              <w:rPr>
                <w:rFonts w:ascii="宋体" w:hAnsi="宋体" w:cs="宋体"/>
                <w:color w:val="000000"/>
                <w:szCs w:val="21"/>
              </w:rPr>
            </w:pPr>
          </w:p>
        </w:tc>
        <w:tc>
          <w:tcPr>
            <w:tcW w:w="1486" w:type="dxa"/>
            <w:vMerge w:val="continue"/>
            <w:noWrap w:val="0"/>
            <w:vAlign w:val="center"/>
          </w:tcPr>
          <w:p>
            <w:pPr>
              <w:widowControl/>
              <w:adjustRightInd w:val="0"/>
              <w:snapToGrid w:val="0"/>
              <w:jc w:val="center"/>
              <w:rPr>
                <w:rFonts w:ascii="宋体" w:hAnsi="宋体" w:cs="宋体"/>
                <w:color w:val="000000"/>
                <w:szCs w:val="21"/>
              </w:rPr>
            </w:pPr>
          </w:p>
        </w:tc>
        <w:tc>
          <w:tcPr>
            <w:tcW w:w="6360" w:type="dxa"/>
            <w:vMerge w:val="restart"/>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kern w:val="0"/>
                <w:szCs w:val="21"/>
                <w:lang w:bidi="ar"/>
              </w:rPr>
              <w:t>做好入河排口分级设置审批（备案）工作。区生态环境局负责按照国家及市级要求每季度上报入河排污口监督管理工作进展情况。</w:t>
            </w:r>
          </w:p>
        </w:tc>
        <w:tc>
          <w:tcPr>
            <w:tcW w:w="1215" w:type="dxa"/>
            <w:vMerge w:val="restart"/>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长期实施</w:t>
            </w:r>
          </w:p>
        </w:tc>
        <w:tc>
          <w:tcPr>
            <w:tcW w:w="2235" w:type="dxa"/>
            <w:vMerge w:val="restart"/>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区生态环境局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区水务局</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区农业农村局</w:t>
            </w:r>
          </w:p>
        </w:tc>
        <w:tc>
          <w:tcPr>
            <w:tcW w:w="2172" w:type="dxa"/>
            <w:vMerge w:val="restart"/>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区城市管理委</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区公路分局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各街道办事处</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501" w:type="dxa"/>
            <w:vMerge w:val="continue"/>
            <w:noWrap w:val="0"/>
            <w:vAlign w:val="center"/>
          </w:tcPr>
          <w:p>
            <w:pPr>
              <w:widowControl/>
              <w:adjustRightInd w:val="0"/>
              <w:snapToGrid w:val="0"/>
              <w:jc w:val="center"/>
              <w:textAlignment w:val="center"/>
              <w:rPr>
                <w:rFonts w:ascii="Times New Roman" w:hAnsi="Times New Roman"/>
              </w:rPr>
            </w:pPr>
          </w:p>
        </w:tc>
        <w:tc>
          <w:tcPr>
            <w:tcW w:w="1486" w:type="dxa"/>
            <w:vMerge w:val="continue"/>
            <w:noWrap w:val="0"/>
            <w:vAlign w:val="center"/>
          </w:tcPr>
          <w:p>
            <w:pPr>
              <w:widowControl/>
              <w:adjustRightInd w:val="0"/>
              <w:snapToGrid w:val="0"/>
              <w:jc w:val="center"/>
              <w:textAlignment w:val="center"/>
              <w:rPr>
                <w:rFonts w:ascii="Times New Roman" w:hAnsi="Times New Roman"/>
              </w:rPr>
            </w:pPr>
          </w:p>
        </w:tc>
        <w:tc>
          <w:tcPr>
            <w:tcW w:w="6360" w:type="dxa"/>
            <w:vMerge w:val="continue"/>
            <w:noWrap w:val="0"/>
            <w:vAlign w:val="center"/>
          </w:tcPr>
          <w:p>
            <w:pPr>
              <w:widowControl/>
              <w:adjustRightInd w:val="0"/>
              <w:snapToGrid w:val="0"/>
              <w:jc w:val="center"/>
              <w:textAlignment w:val="center"/>
              <w:rPr>
                <w:rFonts w:ascii="宋体" w:hAnsi="宋体" w:cs="宋体"/>
              </w:rPr>
            </w:pPr>
          </w:p>
        </w:tc>
        <w:tc>
          <w:tcPr>
            <w:tcW w:w="1215" w:type="dxa"/>
            <w:vMerge w:val="continue"/>
            <w:noWrap w:val="0"/>
            <w:vAlign w:val="center"/>
          </w:tcPr>
          <w:p>
            <w:pPr>
              <w:widowControl/>
              <w:adjustRightInd w:val="0"/>
              <w:snapToGrid w:val="0"/>
              <w:jc w:val="center"/>
              <w:textAlignment w:val="center"/>
              <w:rPr>
                <w:rFonts w:ascii="宋体" w:hAnsi="宋体" w:cs="宋体"/>
              </w:rPr>
            </w:pPr>
          </w:p>
        </w:tc>
        <w:tc>
          <w:tcPr>
            <w:tcW w:w="2235" w:type="dxa"/>
            <w:vMerge w:val="continue"/>
            <w:noWrap w:val="0"/>
            <w:vAlign w:val="center"/>
          </w:tcPr>
          <w:p>
            <w:pPr>
              <w:widowControl/>
              <w:adjustRightInd w:val="0"/>
              <w:snapToGrid w:val="0"/>
              <w:jc w:val="center"/>
              <w:textAlignment w:val="center"/>
              <w:rPr>
                <w:rFonts w:ascii="宋体" w:hAnsi="宋体" w:cs="宋体"/>
              </w:rPr>
            </w:pPr>
          </w:p>
        </w:tc>
        <w:tc>
          <w:tcPr>
            <w:tcW w:w="2172" w:type="dxa"/>
            <w:vMerge w:val="continue"/>
            <w:noWrap w:val="0"/>
            <w:vAlign w:val="center"/>
          </w:tcPr>
          <w:p>
            <w:pPr>
              <w:widowControl/>
              <w:adjustRightInd w:val="0"/>
              <w:snapToGrid w:val="0"/>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01" w:type="dxa"/>
            <w:vMerge w:val="restart"/>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1486" w:type="dxa"/>
            <w:vMerge w:val="restart"/>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巩固水体</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整治成效</w:t>
            </w:r>
          </w:p>
        </w:tc>
        <w:tc>
          <w:tcPr>
            <w:tcW w:w="6360" w:type="dxa"/>
            <w:vMerge w:val="restart"/>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kern w:val="0"/>
                <w:szCs w:val="21"/>
                <w:lang w:bidi="ar"/>
              </w:rPr>
              <w:t>发挥“河长制”统筹作用，加强汛期面源污染治理、污水直排混排入河监管、整治后黑臭水体管护、农村小微水体管护等巡查力度，区有关部门加强日常监督检查并做好技术指导工作。</w:t>
            </w:r>
          </w:p>
        </w:tc>
        <w:tc>
          <w:tcPr>
            <w:tcW w:w="1215" w:type="dxa"/>
            <w:vMerge w:val="restart"/>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长期实施</w:t>
            </w:r>
          </w:p>
        </w:tc>
        <w:tc>
          <w:tcPr>
            <w:tcW w:w="2235" w:type="dxa"/>
            <w:vMerge w:val="restart"/>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区水务局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区生态环境局</w:t>
            </w:r>
          </w:p>
        </w:tc>
        <w:tc>
          <w:tcPr>
            <w:tcW w:w="2172" w:type="dxa"/>
            <w:vMerge w:val="restart"/>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区农业农村局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各镇人民政府</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501" w:type="dxa"/>
            <w:vMerge w:val="continue"/>
            <w:noWrap w:val="0"/>
            <w:vAlign w:val="center"/>
          </w:tcPr>
          <w:p>
            <w:pPr>
              <w:widowControl/>
              <w:adjustRightInd w:val="0"/>
              <w:snapToGrid w:val="0"/>
              <w:jc w:val="center"/>
              <w:textAlignment w:val="center"/>
              <w:rPr>
                <w:rFonts w:ascii="宋体" w:hAnsi="宋体" w:cs="宋体"/>
              </w:rPr>
            </w:pPr>
          </w:p>
        </w:tc>
        <w:tc>
          <w:tcPr>
            <w:tcW w:w="1486" w:type="dxa"/>
            <w:vMerge w:val="continue"/>
            <w:noWrap w:val="0"/>
            <w:vAlign w:val="center"/>
          </w:tcPr>
          <w:p>
            <w:pPr>
              <w:widowControl/>
              <w:adjustRightInd w:val="0"/>
              <w:snapToGrid w:val="0"/>
              <w:jc w:val="center"/>
              <w:textAlignment w:val="center"/>
              <w:rPr>
                <w:rFonts w:ascii="宋体" w:hAnsi="宋体" w:cs="宋体"/>
              </w:rPr>
            </w:pPr>
          </w:p>
        </w:tc>
        <w:tc>
          <w:tcPr>
            <w:tcW w:w="6360" w:type="dxa"/>
            <w:vMerge w:val="continue"/>
            <w:noWrap w:val="0"/>
            <w:vAlign w:val="center"/>
          </w:tcPr>
          <w:p>
            <w:pPr>
              <w:widowControl/>
              <w:adjustRightInd w:val="0"/>
              <w:snapToGrid w:val="0"/>
              <w:jc w:val="center"/>
              <w:textAlignment w:val="center"/>
              <w:rPr>
                <w:rFonts w:ascii="宋体" w:hAnsi="宋体" w:cs="宋体"/>
              </w:rPr>
            </w:pPr>
          </w:p>
        </w:tc>
        <w:tc>
          <w:tcPr>
            <w:tcW w:w="1215" w:type="dxa"/>
            <w:vMerge w:val="continue"/>
            <w:noWrap w:val="0"/>
            <w:vAlign w:val="center"/>
          </w:tcPr>
          <w:p>
            <w:pPr>
              <w:widowControl/>
              <w:adjustRightInd w:val="0"/>
              <w:snapToGrid w:val="0"/>
              <w:jc w:val="center"/>
              <w:textAlignment w:val="center"/>
              <w:rPr>
                <w:rFonts w:ascii="宋体" w:hAnsi="宋体" w:cs="宋体"/>
              </w:rPr>
            </w:pPr>
          </w:p>
        </w:tc>
        <w:tc>
          <w:tcPr>
            <w:tcW w:w="2235" w:type="dxa"/>
            <w:vMerge w:val="continue"/>
            <w:noWrap w:val="0"/>
            <w:vAlign w:val="center"/>
          </w:tcPr>
          <w:p>
            <w:pPr>
              <w:widowControl/>
              <w:adjustRightInd w:val="0"/>
              <w:snapToGrid w:val="0"/>
              <w:jc w:val="center"/>
              <w:textAlignment w:val="center"/>
              <w:rPr>
                <w:rFonts w:ascii="宋体" w:hAnsi="宋体" w:cs="宋体"/>
              </w:rPr>
            </w:pPr>
          </w:p>
        </w:tc>
        <w:tc>
          <w:tcPr>
            <w:tcW w:w="2172" w:type="dxa"/>
            <w:vMerge w:val="continue"/>
            <w:noWrap w:val="0"/>
            <w:vAlign w:val="center"/>
          </w:tcPr>
          <w:p>
            <w:pPr>
              <w:widowControl/>
              <w:adjustRightInd w:val="0"/>
              <w:snapToGrid w:val="0"/>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501" w:type="dxa"/>
            <w:vMerge w:val="continue"/>
            <w:noWrap w:val="0"/>
            <w:vAlign w:val="center"/>
          </w:tcPr>
          <w:p>
            <w:pPr>
              <w:widowControl/>
              <w:adjustRightInd w:val="0"/>
              <w:snapToGrid w:val="0"/>
              <w:jc w:val="center"/>
              <w:rPr>
                <w:rFonts w:ascii="宋体" w:hAnsi="宋体" w:cs="宋体"/>
                <w:color w:val="000000"/>
                <w:szCs w:val="21"/>
              </w:rPr>
            </w:pPr>
          </w:p>
        </w:tc>
        <w:tc>
          <w:tcPr>
            <w:tcW w:w="1486" w:type="dxa"/>
            <w:vMerge w:val="continue"/>
            <w:noWrap w:val="0"/>
            <w:vAlign w:val="center"/>
          </w:tcPr>
          <w:p>
            <w:pPr>
              <w:widowControl/>
              <w:adjustRightInd w:val="0"/>
              <w:snapToGrid w:val="0"/>
              <w:jc w:val="center"/>
              <w:rPr>
                <w:rFonts w:ascii="宋体" w:hAnsi="宋体" w:cs="宋体"/>
                <w:color w:val="000000"/>
                <w:szCs w:val="21"/>
              </w:rPr>
            </w:pPr>
          </w:p>
        </w:tc>
        <w:tc>
          <w:tcPr>
            <w:tcW w:w="6360" w:type="dxa"/>
            <w:vMerge w:val="restart"/>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kern w:val="0"/>
                <w:szCs w:val="21"/>
                <w:lang w:bidi="ar"/>
              </w:rPr>
              <w:t>加强对黑臭水体、农村小微水体、劣</w:t>
            </w:r>
            <w:r>
              <w:rPr>
                <w:rStyle w:val="12"/>
                <w:rFonts w:hint="eastAsia" w:ascii="宋体" w:hAnsi="宋体" w:eastAsia="宋体" w:cs="宋体"/>
                <w:sz w:val="21"/>
                <w:szCs w:val="21"/>
                <w:lang w:bidi="ar"/>
              </w:rPr>
              <w:t>Ⅴ</w:t>
            </w:r>
            <w:r>
              <w:rPr>
                <w:rStyle w:val="13"/>
                <w:sz w:val="21"/>
                <w:szCs w:val="21"/>
                <w:lang w:bidi="ar"/>
              </w:rPr>
              <w:t>类水体监测巡查，第二、三季度每月开展黑臭水体水质监测，对发现的黑臭问题，及时开展整改，确保动态清零。</w:t>
            </w:r>
          </w:p>
        </w:tc>
        <w:tc>
          <w:tcPr>
            <w:tcW w:w="1215" w:type="dxa"/>
            <w:vMerge w:val="restart"/>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长期实施</w:t>
            </w:r>
          </w:p>
        </w:tc>
        <w:tc>
          <w:tcPr>
            <w:tcW w:w="2235" w:type="dxa"/>
            <w:vMerge w:val="restart"/>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区生态环境局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区水务局</w:t>
            </w:r>
          </w:p>
        </w:tc>
        <w:tc>
          <w:tcPr>
            <w:tcW w:w="2172" w:type="dxa"/>
            <w:vMerge w:val="restart"/>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区农业农村局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相关镇人民政府</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相关街道办事处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01" w:type="dxa"/>
            <w:vMerge w:val="continue"/>
            <w:noWrap w:val="0"/>
            <w:vAlign w:val="center"/>
          </w:tcPr>
          <w:p>
            <w:pPr>
              <w:widowControl/>
              <w:adjustRightInd w:val="0"/>
              <w:snapToGrid w:val="0"/>
              <w:jc w:val="center"/>
              <w:textAlignment w:val="center"/>
              <w:rPr>
                <w:rFonts w:ascii="宋体" w:hAnsi="宋体" w:cs="宋体"/>
              </w:rPr>
            </w:pPr>
          </w:p>
        </w:tc>
        <w:tc>
          <w:tcPr>
            <w:tcW w:w="1486" w:type="dxa"/>
            <w:vMerge w:val="continue"/>
            <w:noWrap w:val="0"/>
            <w:vAlign w:val="center"/>
          </w:tcPr>
          <w:p>
            <w:pPr>
              <w:widowControl/>
              <w:adjustRightInd w:val="0"/>
              <w:snapToGrid w:val="0"/>
              <w:jc w:val="center"/>
              <w:textAlignment w:val="center"/>
              <w:rPr>
                <w:rFonts w:ascii="宋体" w:hAnsi="宋体" w:cs="宋体"/>
              </w:rPr>
            </w:pPr>
          </w:p>
        </w:tc>
        <w:tc>
          <w:tcPr>
            <w:tcW w:w="6360" w:type="dxa"/>
            <w:vMerge w:val="continue"/>
            <w:noWrap w:val="0"/>
            <w:vAlign w:val="center"/>
          </w:tcPr>
          <w:p>
            <w:pPr>
              <w:widowControl/>
              <w:adjustRightInd w:val="0"/>
              <w:snapToGrid w:val="0"/>
              <w:jc w:val="center"/>
              <w:textAlignment w:val="center"/>
              <w:rPr>
                <w:rFonts w:ascii="宋体" w:hAnsi="宋体" w:cs="宋体"/>
              </w:rPr>
            </w:pPr>
          </w:p>
        </w:tc>
        <w:tc>
          <w:tcPr>
            <w:tcW w:w="1215" w:type="dxa"/>
            <w:vMerge w:val="continue"/>
            <w:noWrap w:val="0"/>
            <w:vAlign w:val="center"/>
          </w:tcPr>
          <w:p>
            <w:pPr>
              <w:widowControl/>
              <w:adjustRightInd w:val="0"/>
              <w:snapToGrid w:val="0"/>
              <w:jc w:val="center"/>
              <w:textAlignment w:val="center"/>
              <w:rPr>
                <w:rFonts w:ascii="宋体" w:hAnsi="宋体" w:cs="宋体"/>
              </w:rPr>
            </w:pPr>
          </w:p>
        </w:tc>
        <w:tc>
          <w:tcPr>
            <w:tcW w:w="2235" w:type="dxa"/>
            <w:vMerge w:val="continue"/>
            <w:noWrap w:val="0"/>
            <w:vAlign w:val="center"/>
          </w:tcPr>
          <w:p>
            <w:pPr>
              <w:widowControl/>
              <w:adjustRightInd w:val="0"/>
              <w:snapToGrid w:val="0"/>
              <w:jc w:val="center"/>
              <w:textAlignment w:val="center"/>
              <w:rPr>
                <w:rFonts w:ascii="宋体" w:hAnsi="宋体" w:cs="宋体"/>
              </w:rPr>
            </w:pPr>
          </w:p>
        </w:tc>
        <w:tc>
          <w:tcPr>
            <w:tcW w:w="2172" w:type="dxa"/>
            <w:vMerge w:val="continue"/>
            <w:noWrap w:val="0"/>
            <w:vAlign w:val="center"/>
          </w:tcPr>
          <w:p>
            <w:pPr>
              <w:widowControl/>
              <w:adjustRightInd w:val="0"/>
              <w:snapToGrid w:val="0"/>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501" w:type="dxa"/>
            <w:vMerge w:val="continue"/>
            <w:noWrap w:val="0"/>
            <w:vAlign w:val="center"/>
          </w:tcPr>
          <w:p>
            <w:pPr>
              <w:widowControl/>
              <w:adjustRightInd w:val="0"/>
              <w:snapToGrid w:val="0"/>
              <w:jc w:val="center"/>
              <w:rPr>
                <w:rFonts w:ascii="宋体" w:hAnsi="宋体" w:cs="宋体"/>
                <w:color w:val="000000"/>
                <w:szCs w:val="21"/>
              </w:rPr>
            </w:pPr>
          </w:p>
        </w:tc>
        <w:tc>
          <w:tcPr>
            <w:tcW w:w="1486" w:type="dxa"/>
            <w:vMerge w:val="continue"/>
            <w:noWrap w:val="0"/>
            <w:vAlign w:val="center"/>
          </w:tcPr>
          <w:p>
            <w:pPr>
              <w:widowControl/>
              <w:adjustRightInd w:val="0"/>
              <w:snapToGrid w:val="0"/>
              <w:jc w:val="center"/>
              <w:rPr>
                <w:rFonts w:ascii="宋体" w:hAnsi="宋体" w:cs="宋体"/>
                <w:color w:val="000000"/>
                <w:szCs w:val="21"/>
              </w:rPr>
            </w:pPr>
          </w:p>
        </w:tc>
        <w:tc>
          <w:tcPr>
            <w:tcW w:w="6360" w:type="dxa"/>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kern w:val="0"/>
                <w:szCs w:val="21"/>
                <w:lang w:bidi="ar"/>
              </w:rPr>
              <w:t>加强污染减排与生态扩容，</w:t>
            </w:r>
            <w:r>
              <w:rPr>
                <w:rStyle w:val="13"/>
                <w:sz w:val="21"/>
                <w:szCs w:val="21"/>
                <w:lang w:bidi="ar"/>
              </w:rPr>
              <w:t>防止已销号的劣Ⅴ类水体反弹，推进消除南大红门、狼各庄镇街级断面不达标情况。</w:t>
            </w:r>
          </w:p>
        </w:tc>
        <w:tc>
          <w:tcPr>
            <w:tcW w:w="121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区水务局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区生态环境局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青云店镇人民政府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黄村镇人民政府</w:t>
            </w:r>
          </w:p>
        </w:tc>
        <w:tc>
          <w:tcPr>
            <w:tcW w:w="2172"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区城市管理委</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区公路分局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区农业农村局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相关镇人民政府</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相关街道办事处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501"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1486"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深化流域</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生态补偿</w:t>
            </w:r>
          </w:p>
        </w:tc>
        <w:tc>
          <w:tcPr>
            <w:tcW w:w="6360" w:type="dxa"/>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kern w:val="0"/>
                <w:szCs w:val="21"/>
                <w:lang w:bidi="ar"/>
              </w:rPr>
              <w:t>配合实施《北京市水生态区域补偿暂行办法》，推进全区水生态环境质量持续改善。</w:t>
            </w:r>
          </w:p>
        </w:tc>
        <w:tc>
          <w:tcPr>
            <w:tcW w:w="121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区水务局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区生态环境局</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区财政局</w:t>
            </w:r>
          </w:p>
        </w:tc>
        <w:tc>
          <w:tcPr>
            <w:tcW w:w="2172"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相关镇人民政府</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相关街道办事处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501" w:type="dxa"/>
            <w:vMerge w:val="restart"/>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1486" w:type="dxa"/>
            <w:vMerge w:val="restart"/>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强化跨部门、跨区域监管执法</w:t>
            </w:r>
          </w:p>
        </w:tc>
        <w:tc>
          <w:tcPr>
            <w:tcW w:w="6360" w:type="dxa"/>
            <w:vMerge w:val="restart"/>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kern w:val="0"/>
                <w:szCs w:val="21"/>
                <w:lang w:bidi="ar"/>
              </w:rPr>
              <w:t>巩固多部门联合执法机制，加大环境执法力度。以水环境问题为导向，开展流域“点穴”执法，重点对饮用水水源地、入河排污口、未纳管企业和农村污水治理设施等开展跨区域专项执法。</w:t>
            </w:r>
          </w:p>
        </w:tc>
        <w:tc>
          <w:tcPr>
            <w:tcW w:w="1215" w:type="dxa"/>
            <w:vMerge w:val="restart"/>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vMerge w:val="restart"/>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区生态环境局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区水务局</w:t>
            </w:r>
          </w:p>
        </w:tc>
        <w:tc>
          <w:tcPr>
            <w:tcW w:w="2172" w:type="dxa"/>
            <w:vMerge w:val="restart"/>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区城管执法局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区农业农村局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各街道办事处</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01" w:type="dxa"/>
            <w:vMerge w:val="continue"/>
            <w:noWrap w:val="0"/>
            <w:vAlign w:val="center"/>
          </w:tcPr>
          <w:p>
            <w:pPr>
              <w:widowControl/>
              <w:adjustRightInd w:val="0"/>
              <w:snapToGrid w:val="0"/>
              <w:jc w:val="center"/>
              <w:textAlignment w:val="center"/>
              <w:rPr>
                <w:rFonts w:ascii="宋体" w:hAnsi="宋体" w:cs="宋体"/>
              </w:rPr>
            </w:pPr>
          </w:p>
        </w:tc>
        <w:tc>
          <w:tcPr>
            <w:tcW w:w="1486" w:type="dxa"/>
            <w:vMerge w:val="continue"/>
            <w:noWrap w:val="0"/>
            <w:vAlign w:val="center"/>
          </w:tcPr>
          <w:p>
            <w:pPr>
              <w:widowControl/>
              <w:adjustRightInd w:val="0"/>
              <w:snapToGrid w:val="0"/>
              <w:jc w:val="center"/>
              <w:textAlignment w:val="center"/>
              <w:rPr>
                <w:rFonts w:ascii="宋体" w:hAnsi="宋体" w:cs="宋体"/>
              </w:rPr>
            </w:pPr>
          </w:p>
        </w:tc>
        <w:tc>
          <w:tcPr>
            <w:tcW w:w="6360" w:type="dxa"/>
            <w:vMerge w:val="continue"/>
            <w:noWrap w:val="0"/>
            <w:vAlign w:val="center"/>
          </w:tcPr>
          <w:p>
            <w:pPr>
              <w:widowControl/>
              <w:adjustRightInd w:val="0"/>
              <w:snapToGrid w:val="0"/>
              <w:jc w:val="center"/>
              <w:textAlignment w:val="center"/>
              <w:rPr>
                <w:rFonts w:ascii="宋体" w:hAnsi="宋体" w:cs="宋体"/>
              </w:rPr>
            </w:pPr>
          </w:p>
        </w:tc>
        <w:tc>
          <w:tcPr>
            <w:tcW w:w="1215" w:type="dxa"/>
            <w:vMerge w:val="continue"/>
            <w:noWrap w:val="0"/>
            <w:vAlign w:val="center"/>
          </w:tcPr>
          <w:p>
            <w:pPr>
              <w:widowControl/>
              <w:adjustRightInd w:val="0"/>
              <w:snapToGrid w:val="0"/>
              <w:jc w:val="center"/>
              <w:textAlignment w:val="center"/>
              <w:rPr>
                <w:rFonts w:ascii="宋体" w:hAnsi="宋体" w:cs="宋体"/>
              </w:rPr>
            </w:pPr>
          </w:p>
        </w:tc>
        <w:tc>
          <w:tcPr>
            <w:tcW w:w="2235" w:type="dxa"/>
            <w:vMerge w:val="continue"/>
            <w:noWrap w:val="0"/>
            <w:vAlign w:val="center"/>
          </w:tcPr>
          <w:p>
            <w:pPr>
              <w:widowControl/>
              <w:adjustRightInd w:val="0"/>
              <w:snapToGrid w:val="0"/>
              <w:jc w:val="center"/>
              <w:textAlignment w:val="center"/>
              <w:rPr>
                <w:rFonts w:ascii="宋体" w:hAnsi="宋体" w:cs="宋体"/>
              </w:rPr>
            </w:pPr>
          </w:p>
        </w:tc>
        <w:tc>
          <w:tcPr>
            <w:tcW w:w="2172" w:type="dxa"/>
            <w:vMerge w:val="continue"/>
            <w:noWrap w:val="0"/>
            <w:vAlign w:val="center"/>
          </w:tcPr>
          <w:p>
            <w:pPr>
              <w:widowControl/>
              <w:adjustRightInd w:val="0"/>
              <w:snapToGrid w:val="0"/>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501" w:type="dxa"/>
            <w:vMerge w:val="continue"/>
            <w:noWrap w:val="0"/>
            <w:vAlign w:val="center"/>
          </w:tcPr>
          <w:p>
            <w:pPr>
              <w:widowControl/>
              <w:adjustRightInd w:val="0"/>
              <w:snapToGrid w:val="0"/>
              <w:jc w:val="center"/>
              <w:rPr>
                <w:rFonts w:ascii="宋体" w:hAnsi="宋体" w:cs="宋体"/>
                <w:color w:val="000000"/>
                <w:szCs w:val="21"/>
              </w:rPr>
            </w:pPr>
          </w:p>
        </w:tc>
        <w:tc>
          <w:tcPr>
            <w:tcW w:w="1486" w:type="dxa"/>
            <w:vMerge w:val="continue"/>
            <w:noWrap w:val="0"/>
            <w:vAlign w:val="center"/>
          </w:tcPr>
          <w:p>
            <w:pPr>
              <w:widowControl/>
              <w:adjustRightInd w:val="0"/>
              <w:snapToGrid w:val="0"/>
              <w:jc w:val="center"/>
              <w:rPr>
                <w:rFonts w:ascii="宋体" w:hAnsi="宋体" w:cs="宋体"/>
                <w:color w:val="000000"/>
                <w:szCs w:val="21"/>
              </w:rPr>
            </w:pPr>
          </w:p>
        </w:tc>
        <w:tc>
          <w:tcPr>
            <w:tcW w:w="6360" w:type="dxa"/>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kern w:val="0"/>
                <w:szCs w:val="21"/>
                <w:lang w:bidi="ar"/>
              </w:rPr>
              <w:t>严厉打击向城市雨水管道排污及倾倒垃圾、向河道倾倒及填埋垃圾等违法行为，切实降低初期雨水污染对河流水质的影响。</w:t>
            </w:r>
          </w:p>
        </w:tc>
        <w:tc>
          <w:tcPr>
            <w:tcW w:w="121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长期实施</w:t>
            </w:r>
          </w:p>
        </w:tc>
        <w:tc>
          <w:tcPr>
            <w:tcW w:w="223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区城管执法局</w:t>
            </w:r>
          </w:p>
        </w:tc>
        <w:tc>
          <w:tcPr>
            <w:tcW w:w="2172"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区水务局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szCs w:val="21"/>
              </w:rPr>
              <w:t>区城市管理委</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各街道办事处</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501"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13</w:t>
            </w:r>
          </w:p>
        </w:tc>
        <w:tc>
          <w:tcPr>
            <w:tcW w:w="1486"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落实监督</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指导</w:t>
            </w:r>
          </w:p>
        </w:tc>
        <w:tc>
          <w:tcPr>
            <w:tcW w:w="6360" w:type="dxa"/>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kern w:val="0"/>
                <w:szCs w:val="21"/>
                <w:lang w:bidi="ar"/>
              </w:rPr>
              <w:t>持续完善水生态环境领域“三监联动”。聚焦饮用水水源地、重点河流、农村污水处理设施、汛期面源等重点区域和问题，加强指导帮扶，推动问题整改，促进各镇（街道）有效保障水环境质量。</w:t>
            </w:r>
          </w:p>
        </w:tc>
        <w:tc>
          <w:tcPr>
            <w:tcW w:w="121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长期实施</w:t>
            </w:r>
          </w:p>
        </w:tc>
        <w:tc>
          <w:tcPr>
            <w:tcW w:w="223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区生态环境局</w:t>
            </w:r>
          </w:p>
        </w:tc>
        <w:tc>
          <w:tcPr>
            <w:tcW w:w="2172"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各街道办事处</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69" w:type="dxa"/>
            <w:gridSpan w:val="6"/>
            <w:noWrap w:val="0"/>
            <w:vAlign w:val="center"/>
          </w:tcPr>
          <w:p>
            <w:pPr>
              <w:widowControl/>
              <w:adjustRightInd w:val="0"/>
              <w:snapToGrid w:val="0"/>
              <w:jc w:val="center"/>
              <w:textAlignment w:val="center"/>
              <w:rPr>
                <w:rFonts w:ascii="黑体" w:hAnsi="宋体" w:eastAsia="黑体" w:cs="黑体"/>
                <w:color w:val="000000"/>
                <w:kern w:val="0"/>
                <w:szCs w:val="21"/>
                <w:lang w:bidi="ar"/>
              </w:rPr>
            </w:pPr>
            <w:r>
              <w:rPr>
                <w:rFonts w:hint="eastAsia" w:ascii="黑体" w:hAnsi="宋体" w:eastAsia="黑体" w:cs="黑体"/>
                <w:color w:val="000000"/>
                <w:kern w:val="0"/>
                <w:szCs w:val="21"/>
                <w:lang w:bidi="ar"/>
              </w:rPr>
              <w:t>四、水生态修复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501" w:type="dxa"/>
            <w:vMerge w:val="restart"/>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14</w:t>
            </w:r>
          </w:p>
        </w:tc>
        <w:tc>
          <w:tcPr>
            <w:tcW w:w="1486" w:type="dxa"/>
            <w:vMerge w:val="restart"/>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保障重点</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河流生态</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流量</w:t>
            </w:r>
          </w:p>
        </w:tc>
        <w:tc>
          <w:tcPr>
            <w:tcW w:w="6360" w:type="dxa"/>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kern w:val="0"/>
                <w:szCs w:val="21"/>
                <w:lang w:bidi="ar"/>
              </w:rPr>
              <w:t>统筹生活、生产、生态用水配置，加强河湖生态用水保障，鼓励再生水用于河湖生态补水。</w:t>
            </w:r>
          </w:p>
        </w:tc>
        <w:tc>
          <w:tcPr>
            <w:tcW w:w="121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区水务局</w:t>
            </w:r>
          </w:p>
        </w:tc>
        <w:tc>
          <w:tcPr>
            <w:tcW w:w="2172"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各街道办事处</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01" w:type="dxa"/>
            <w:vMerge w:val="continue"/>
            <w:noWrap w:val="0"/>
            <w:vAlign w:val="center"/>
          </w:tcPr>
          <w:p>
            <w:pPr>
              <w:widowControl/>
              <w:adjustRightInd w:val="0"/>
              <w:snapToGrid w:val="0"/>
              <w:jc w:val="center"/>
              <w:rPr>
                <w:rFonts w:ascii="宋体" w:hAnsi="宋体" w:cs="宋体"/>
                <w:color w:val="000000"/>
                <w:szCs w:val="21"/>
              </w:rPr>
            </w:pPr>
          </w:p>
        </w:tc>
        <w:tc>
          <w:tcPr>
            <w:tcW w:w="1486" w:type="dxa"/>
            <w:vMerge w:val="continue"/>
            <w:noWrap w:val="0"/>
            <w:vAlign w:val="center"/>
          </w:tcPr>
          <w:p>
            <w:pPr>
              <w:widowControl/>
              <w:adjustRightInd w:val="0"/>
              <w:snapToGrid w:val="0"/>
              <w:jc w:val="center"/>
              <w:rPr>
                <w:rFonts w:ascii="宋体" w:hAnsi="宋体" w:cs="宋体"/>
                <w:color w:val="000000"/>
                <w:szCs w:val="21"/>
              </w:rPr>
            </w:pPr>
          </w:p>
        </w:tc>
        <w:tc>
          <w:tcPr>
            <w:tcW w:w="6360" w:type="dxa"/>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kern w:val="0"/>
                <w:szCs w:val="21"/>
                <w:lang w:bidi="ar"/>
              </w:rPr>
              <w:t>建立河流、湖库生态流量保障清单，并纳入河湖长制统一管理。建立生态流量数据共享机制。</w:t>
            </w:r>
          </w:p>
        </w:tc>
        <w:tc>
          <w:tcPr>
            <w:tcW w:w="121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区水务局</w:t>
            </w:r>
          </w:p>
        </w:tc>
        <w:tc>
          <w:tcPr>
            <w:tcW w:w="2172"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区生态环境局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501" w:type="dxa"/>
            <w:vMerge w:val="continue"/>
            <w:noWrap w:val="0"/>
            <w:vAlign w:val="center"/>
          </w:tcPr>
          <w:p>
            <w:pPr>
              <w:widowControl/>
              <w:adjustRightInd w:val="0"/>
              <w:snapToGrid w:val="0"/>
              <w:jc w:val="center"/>
              <w:rPr>
                <w:rFonts w:ascii="宋体" w:hAnsi="宋体" w:cs="宋体"/>
                <w:color w:val="000000"/>
                <w:szCs w:val="21"/>
              </w:rPr>
            </w:pPr>
          </w:p>
        </w:tc>
        <w:tc>
          <w:tcPr>
            <w:tcW w:w="1486" w:type="dxa"/>
            <w:vMerge w:val="continue"/>
            <w:noWrap w:val="0"/>
            <w:vAlign w:val="center"/>
          </w:tcPr>
          <w:p>
            <w:pPr>
              <w:widowControl/>
              <w:adjustRightInd w:val="0"/>
              <w:snapToGrid w:val="0"/>
              <w:jc w:val="center"/>
              <w:rPr>
                <w:rFonts w:ascii="宋体" w:hAnsi="宋体" w:cs="宋体"/>
                <w:color w:val="000000"/>
                <w:szCs w:val="21"/>
              </w:rPr>
            </w:pPr>
          </w:p>
        </w:tc>
        <w:tc>
          <w:tcPr>
            <w:tcW w:w="6360" w:type="dxa"/>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kern w:val="0"/>
                <w:szCs w:val="21"/>
                <w:lang w:bidi="ar"/>
              </w:rPr>
              <w:t>配合市级部门落实永定河流域生态补水，持续复苏永定河流域生态环境有关工作。</w:t>
            </w:r>
          </w:p>
        </w:tc>
        <w:tc>
          <w:tcPr>
            <w:tcW w:w="121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区水务局</w:t>
            </w:r>
          </w:p>
        </w:tc>
        <w:tc>
          <w:tcPr>
            <w:tcW w:w="2172"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区生态环境局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相关镇人民政府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1" w:type="dxa"/>
            <w:vMerge w:val="restart"/>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1486" w:type="dxa"/>
            <w:vMerge w:val="restart"/>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提升水生态</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系统健康</w:t>
            </w:r>
          </w:p>
        </w:tc>
        <w:tc>
          <w:tcPr>
            <w:tcW w:w="6360" w:type="dxa"/>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szCs w:val="21"/>
              </w:rPr>
              <w:t>完成大兴区大龙河安定段水生态修复项目（第一阶段）实施，建设生态缓冲带，提升水体自净能力。</w:t>
            </w:r>
            <w:r>
              <w:rPr>
                <w:rFonts w:hint="eastAsia" w:ascii="宋体" w:hAnsi="宋体" w:cs="宋体"/>
                <w:color w:val="000000"/>
                <w:kern w:val="0"/>
                <w:szCs w:val="21"/>
                <w:lang w:bidi="ar"/>
              </w:rPr>
              <w:t>加强生态修复效果监测评价。</w:t>
            </w:r>
          </w:p>
        </w:tc>
        <w:tc>
          <w:tcPr>
            <w:tcW w:w="121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szCs w:val="21"/>
              </w:rPr>
              <w:t>年底前</w:t>
            </w:r>
          </w:p>
        </w:tc>
        <w:tc>
          <w:tcPr>
            <w:tcW w:w="223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szCs w:val="21"/>
              </w:rPr>
              <w:t>安定镇人民政府</w:t>
            </w:r>
          </w:p>
        </w:tc>
        <w:tc>
          <w:tcPr>
            <w:tcW w:w="2172"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szCs w:val="21"/>
              </w:rPr>
              <w:t>区生态环境局</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szCs w:val="21"/>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501" w:type="dxa"/>
            <w:vMerge w:val="continue"/>
            <w:noWrap w:val="0"/>
            <w:vAlign w:val="center"/>
          </w:tcPr>
          <w:p>
            <w:pPr>
              <w:widowControl/>
              <w:adjustRightInd w:val="0"/>
              <w:snapToGrid w:val="0"/>
              <w:jc w:val="center"/>
              <w:rPr>
                <w:rFonts w:ascii="宋体" w:hAnsi="宋体" w:cs="宋体"/>
                <w:color w:val="000000"/>
                <w:szCs w:val="21"/>
              </w:rPr>
            </w:pPr>
          </w:p>
        </w:tc>
        <w:tc>
          <w:tcPr>
            <w:tcW w:w="1486" w:type="dxa"/>
            <w:vMerge w:val="continue"/>
            <w:noWrap w:val="0"/>
            <w:vAlign w:val="center"/>
          </w:tcPr>
          <w:p>
            <w:pPr>
              <w:widowControl/>
              <w:adjustRightInd w:val="0"/>
              <w:snapToGrid w:val="0"/>
              <w:jc w:val="center"/>
              <w:rPr>
                <w:rFonts w:ascii="宋体" w:hAnsi="宋体" w:cs="宋体"/>
                <w:color w:val="000000"/>
                <w:szCs w:val="21"/>
              </w:rPr>
            </w:pPr>
          </w:p>
        </w:tc>
        <w:tc>
          <w:tcPr>
            <w:tcW w:w="6360" w:type="dxa"/>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kern w:val="0"/>
                <w:szCs w:val="21"/>
                <w:lang w:bidi="ar"/>
              </w:rPr>
              <w:t>配合市级部门推进永定河平原段河道生态修复工作。</w:t>
            </w:r>
          </w:p>
        </w:tc>
        <w:tc>
          <w:tcPr>
            <w:tcW w:w="121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区水务局</w:t>
            </w:r>
          </w:p>
        </w:tc>
        <w:tc>
          <w:tcPr>
            <w:tcW w:w="2172"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区园林绿化局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相关镇人民政府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501" w:type="dxa"/>
            <w:vMerge w:val="restart"/>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1486" w:type="dxa"/>
            <w:vMerge w:val="restart"/>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szCs w:val="21"/>
              </w:rPr>
              <w:t>加强生态环境监测</w:t>
            </w:r>
          </w:p>
        </w:tc>
        <w:tc>
          <w:tcPr>
            <w:tcW w:w="6360" w:type="dxa"/>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kern w:val="0"/>
                <w:szCs w:val="21"/>
                <w:lang w:bidi="ar"/>
              </w:rPr>
              <w:t>开展区级水生态环境状况监测评价。</w:t>
            </w:r>
          </w:p>
        </w:tc>
        <w:tc>
          <w:tcPr>
            <w:tcW w:w="121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长期实施</w:t>
            </w:r>
          </w:p>
        </w:tc>
        <w:tc>
          <w:tcPr>
            <w:tcW w:w="2235"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区生态环境局</w:t>
            </w:r>
          </w:p>
        </w:tc>
        <w:tc>
          <w:tcPr>
            <w:tcW w:w="2172"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501" w:type="dxa"/>
            <w:vMerge w:val="continue"/>
            <w:noWrap w:val="0"/>
            <w:vAlign w:val="center"/>
          </w:tcPr>
          <w:p>
            <w:pPr>
              <w:widowControl/>
              <w:adjustRightInd w:val="0"/>
              <w:snapToGrid w:val="0"/>
              <w:jc w:val="center"/>
              <w:rPr>
                <w:rFonts w:ascii="宋体" w:hAnsi="宋体" w:cs="宋体"/>
                <w:color w:val="000000"/>
                <w:szCs w:val="21"/>
              </w:rPr>
            </w:pPr>
          </w:p>
        </w:tc>
        <w:tc>
          <w:tcPr>
            <w:tcW w:w="1486" w:type="dxa"/>
            <w:vMerge w:val="continue"/>
            <w:noWrap w:val="0"/>
            <w:vAlign w:val="center"/>
          </w:tcPr>
          <w:p>
            <w:pPr>
              <w:widowControl/>
              <w:adjustRightInd w:val="0"/>
              <w:snapToGrid w:val="0"/>
              <w:jc w:val="center"/>
              <w:textAlignment w:val="center"/>
              <w:rPr>
                <w:rFonts w:ascii="宋体" w:hAnsi="宋体" w:cs="宋体"/>
                <w:color w:val="000000"/>
                <w:szCs w:val="21"/>
              </w:rPr>
            </w:pPr>
          </w:p>
        </w:tc>
        <w:tc>
          <w:tcPr>
            <w:tcW w:w="6360" w:type="dxa"/>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kern w:val="0"/>
                <w:szCs w:val="21"/>
                <w:lang w:bidi="ar"/>
              </w:rPr>
              <w:t>大力推进区级生态环境监测机构基础站、特色站监测能力建设，开展基础站达标评估，提高监测数据支撑能力。</w:t>
            </w:r>
          </w:p>
        </w:tc>
        <w:tc>
          <w:tcPr>
            <w:tcW w:w="121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区生态环境局</w:t>
            </w:r>
          </w:p>
        </w:tc>
        <w:tc>
          <w:tcPr>
            <w:tcW w:w="2172"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区财政局</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69" w:type="dxa"/>
            <w:gridSpan w:val="6"/>
            <w:noWrap w:val="0"/>
            <w:vAlign w:val="center"/>
          </w:tcPr>
          <w:p>
            <w:pPr>
              <w:widowControl/>
              <w:adjustRightInd w:val="0"/>
              <w:snapToGrid w:val="0"/>
              <w:jc w:val="center"/>
              <w:textAlignment w:val="center"/>
              <w:rPr>
                <w:rFonts w:ascii="黑体" w:hAnsi="宋体" w:eastAsia="黑体" w:cs="黑体"/>
                <w:color w:val="000000"/>
                <w:kern w:val="0"/>
                <w:szCs w:val="21"/>
                <w:lang w:bidi="ar"/>
              </w:rPr>
            </w:pPr>
            <w:r>
              <w:rPr>
                <w:rFonts w:hint="eastAsia" w:ascii="黑体" w:hAnsi="宋体" w:eastAsia="黑体" w:cs="黑体"/>
                <w:color w:val="000000"/>
                <w:kern w:val="0"/>
                <w:szCs w:val="21"/>
                <w:lang w:bidi="ar"/>
              </w:rPr>
              <w:t>五、龙河流域综合提升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501" w:type="dxa"/>
            <w:vMerge w:val="restart"/>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17</w:t>
            </w:r>
          </w:p>
        </w:tc>
        <w:tc>
          <w:tcPr>
            <w:tcW w:w="1486" w:type="dxa"/>
            <w:vMerge w:val="restart"/>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大兴区水环境精细化治理提升</w:t>
            </w:r>
          </w:p>
        </w:tc>
        <w:tc>
          <w:tcPr>
            <w:tcW w:w="6360" w:type="dxa"/>
            <w:noWrap w:val="0"/>
            <w:vAlign w:val="center"/>
          </w:tcPr>
          <w:p>
            <w:pPr>
              <w:widowControl/>
              <w:adjustRightInd w:val="0"/>
              <w:snapToGrid w:val="0"/>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大龙河三小营国考断面年底前水质达到Ⅲ类。</w:t>
            </w:r>
          </w:p>
        </w:tc>
        <w:tc>
          <w:tcPr>
            <w:tcW w:w="1215"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年底前</w:t>
            </w:r>
          </w:p>
        </w:tc>
        <w:tc>
          <w:tcPr>
            <w:tcW w:w="2235"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区生态环境局</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区水务局</w:t>
            </w:r>
          </w:p>
        </w:tc>
        <w:tc>
          <w:tcPr>
            <w:tcW w:w="2172"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szCs w:val="21"/>
              </w:rPr>
              <w:t>安定镇人民政府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501" w:type="dxa"/>
            <w:vMerge w:val="continue"/>
            <w:noWrap w:val="0"/>
            <w:vAlign w:val="center"/>
          </w:tcPr>
          <w:p>
            <w:pPr>
              <w:widowControl/>
              <w:adjustRightInd w:val="0"/>
              <w:snapToGrid w:val="0"/>
              <w:jc w:val="center"/>
              <w:textAlignment w:val="center"/>
              <w:rPr>
                <w:rFonts w:ascii="宋体" w:hAnsi="宋体" w:cs="宋体"/>
                <w:color w:val="000000"/>
                <w:szCs w:val="21"/>
              </w:rPr>
            </w:pPr>
          </w:p>
        </w:tc>
        <w:tc>
          <w:tcPr>
            <w:tcW w:w="1486" w:type="dxa"/>
            <w:vMerge w:val="continue"/>
            <w:noWrap w:val="0"/>
            <w:vAlign w:val="center"/>
          </w:tcPr>
          <w:p>
            <w:pPr>
              <w:widowControl/>
              <w:adjustRightInd w:val="0"/>
              <w:snapToGrid w:val="0"/>
              <w:jc w:val="center"/>
              <w:textAlignment w:val="center"/>
              <w:rPr>
                <w:rFonts w:ascii="宋体" w:hAnsi="宋体" w:cs="宋体"/>
                <w:color w:val="000000"/>
                <w:szCs w:val="21"/>
              </w:rPr>
            </w:pPr>
          </w:p>
        </w:tc>
        <w:tc>
          <w:tcPr>
            <w:tcW w:w="6360" w:type="dxa"/>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kern w:val="0"/>
                <w:szCs w:val="21"/>
                <w:lang w:bidi="ar"/>
              </w:rPr>
              <w:t>加强大龙河生态用水保障。</w:t>
            </w:r>
          </w:p>
        </w:tc>
        <w:tc>
          <w:tcPr>
            <w:tcW w:w="121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区水务局</w:t>
            </w:r>
          </w:p>
        </w:tc>
        <w:tc>
          <w:tcPr>
            <w:tcW w:w="2172" w:type="dxa"/>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szCs w:val="21"/>
              </w:rPr>
              <w:t>黄村镇人民政府</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魏善庄</w:t>
            </w:r>
            <w:r>
              <w:rPr>
                <w:rFonts w:hint="eastAsia" w:ascii="宋体" w:hAnsi="宋体" w:cs="宋体"/>
                <w:color w:val="000000"/>
                <w:szCs w:val="21"/>
              </w:rPr>
              <w:t>镇人民政府</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szCs w:val="21"/>
              </w:rPr>
              <w:t>安定镇人民政府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501" w:type="dxa"/>
            <w:vMerge w:val="continue"/>
            <w:noWrap w:val="0"/>
            <w:vAlign w:val="center"/>
          </w:tcPr>
          <w:p>
            <w:pPr>
              <w:widowControl/>
              <w:adjustRightInd w:val="0"/>
              <w:snapToGrid w:val="0"/>
              <w:jc w:val="center"/>
              <w:rPr>
                <w:rFonts w:ascii="宋体" w:hAnsi="宋体" w:cs="宋体"/>
                <w:color w:val="000000"/>
                <w:szCs w:val="21"/>
              </w:rPr>
            </w:pPr>
          </w:p>
        </w:tc>
        <w:tc>
          <w:tcPr>
            <w:tcW w:w="1486" w:type="dxa"/>
            <w:vMerge w:val="continue"/>
            <w:noWrap w:val="0"/>
            <w:vAlign w:val="center"/>
          </w:tcPr>
          <w:p>
            <w:pPr>
              <w:widowControl/>
              <w:adjustRightInd w:val="0"/>
              <w:snapToGrid w:val="0"/>
              <w:jc w:val="center"/>
              <w:rPr>
                <w:rFonts w:ascii="宋体" w:hAnsi="宋体" w:cs="宋体"/>
                <w:color w:val="000000"/>
                <w:szCs w:val="21"/>
              </w:rPr>
            </w:pPr>
          </w:p>
        </w:tc>
        <w:tc>
          <w:tcPr>
            <w:tcW w:w="6360" w:type="dxa"/>
            <w:noWrap w:val="0"/>
            <w:vAlign w:val="center"/>
          </w:tcPr>
          <w:p>
            <w:pPr>
              <w:widowControl/>
              <w:adjustRightInd w:val="0"/>
              <w:snapToGrid w:val="0"/>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加强魏善庄污水处理厂、安定镇污水处理厂等龙河流域污水处理设施运行监管，确保出水水质稳定达标。</w:t>
            </w:r>
          </w:p>
        </w:tc>
        <w:tc>
          <w:tcPr>
            <w:tcW w:w="1215"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年底前</w:t>
            </w:r>
          </w:p>
        </w:tc>
        <w:tc>
          <w:tcPr>
            <w:tcW w:w="2235"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区生态环境局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区水务局</w:t>
            </w:r>
          </w:p>
        </w:tc>
        <w:tc>
          <w:tcPr>
            <w:tcW w:w="2172"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魏善庄镇人民政府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安定镇人民政府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501" w:type="dxa"/>
            <w:vMerge w:val="continue"/>
            <w:noWrap w:val="0"/>
            <w:vAlign w:val="center"/>
          </w:tcPr>
          <w:p>
            <w:pPr>
              <w:widowControl/>
              <w:adjustRightInd w:val="0"/>
              <w:snapToGrid w:val="0"/>
              <w:jc w:val="center"/>
              <w:rPr>
                <w:rFonts w:ascii="宋体" w:hAnsi="宋体" w:cs="宋体"/>
                <w:color w:val="000000"/>
                <w:szCs w:val="21"/>
              </w:rPr>
            </w:pPr>
          </w:p>
        </w:tc>
        <w:tc>
          <w:tcPr>
            <w:tcW w:w="1486" w:type="dxa"/>
            <w:vMerge w:val="continue"/>
            <w:noWrap w:val="0"/>
            <w:vAlign w:val="center"/>
          </w:tcPr>
          <w:p>
            <w:pPr>
              <w:widowControl/>
              <w:adjustRightInd w:val="0"/>
              <w:snapToGrid w:val="0"/>
              <w:jc w:val="center"/>
              <w:rPr>
                <w:rFonts w:ascii="宋体" w:hAnsi="宋体" w:cs="宋体"/>
                <w:color w:val="000000"/>
                <w:szCs w:val="21"/>
              </w:rPr>
            </w:pPr>
          </w:p>
        </w:tc>
        <w:tc>
          <w:tcPr>
            <w:tcW w:w="6360" w:type="dxa"/>
            <w:noWrap w:val="0"/>
            <w:vAlign w:val="center"/>
          </w:tcPr>
          <w:p>
            <w:pPr>
              <w:widowControl/>
              <w:adjustRightInd w:val="0"/>
              <w:snapToGrid w:val="0"/>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做好龙河流域河道日常巡查管护，强化沿线入河排口监督管理。</w:t>
            </w:r>
          </w:p>
        </w:tc>
        <w:tc>
          <w:tcPr>
            <w:tcW w:w="1215"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年底前</w:t>
            </w:r>
          </w:p>
        </w:tc>
        <w:tc>
          <w:tcPr>
            <w:tcW w:w="2235"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区水务局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区生态环境局</w:t>
            </w:r>
          </w:p>
        </w:tc>
        <w:tc>
          <w:tcPr>
            <w:tcW w:w="2172" w:type="dxa"/>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区农业农村局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相关镇人民政府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相关街道办事处</w:t>
            </w:r>
          </w:p>
        </w:tc>
      </w:tr>
    </w:tbl>
    <w:p>
      <w:pPr>
        <w:pStyle w:val="2"/>
        <w:ind w:firstLine="0" w:firstLineChars="0"/>
        <w:sectPr>
          <w:headerReference r:id="rId3" w:type="default"/>
          <w:footerReference r:id="rId5" w:type="default"/>
          <w:headerReference r:id="rId4" w:type="even"/>
          <w:footerReference r:id="rId6" w:type="even"/>
          <w:pgSz w:w="16838" w:h="11906" w:orient="landscape"/>
          <w:pgMar w:top="1417" w:right="1474" w:bottom="1417" w:left="1474" w:header="851" w:footer="850" w:gutter="0"/>
          <w:pgNumType w:fmt="numberInDash" w:start="3"/>
          <w:cols w:space="720" w:num="1"/>
          <w:rtlGutter w:val="0"/>
          <w:docGrid w:type="lines" w:linePitch="312" w:charSpace="0"/>
        </w:sectPr>
      </w:pPr>
    </w:p>
    <w:p>
      <w:bookmarkStart w:id="1" w:name="_GoBack"/>
    </w:p>
    <w:bookmarkEnd w:id="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-377825</wp:posOffset>
              </wp:positionH>
              <wp:positionV relativeFrom="paragraph">
                <wp:posOffset>-782320</wp:posOffset>
              </wp:positionV>
              <wp:extent cx="229870" cy="5740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29870" cy="57404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vert="eaVert" lIns="0" tIns="0" rIns="0" bIns="0" upright="0"/>
                  </wps:wsp>
                </a:graphicData>
              </a:graphic>
            </wp:anchor>
          </w:drawing>
        </mc:Choice>
        <mc:Fallback>
          <w:pict>
            <v:shape id="_x0000_s1026" o:spid="_x0000_s1026" o:spt="202" type="#_x0000_t202" style="position:absolute;left:0pt;margin-left:-29.75pt;margin-top:-61.6pt;height:45.2pt;width:18.1pt;mso-position-horizontal-relative:margin;z-index:251659264;mso-width-relative:page;mso-height-relative:page;" filled="f" stroked="f" coordsize="21600,21600" o:gfxdata="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8Gp1dgAAAAMAQAADwAAAAAAAAABACAAAAAiAAAAZHJzL2Rvd25y&#10;ZXYueG1sUEsBAhQAFAAAAAgAh07iQAZZY4/FAQAAfwMAAA4AAAAAAAAAAQAgAAAAJwEAAGRycy9l&#10;Mm9Eb2MueG1sUEsFBgAAAAAGAAYAWQEAAF4FAAAAAA==&#10;">
              <v:path/>
              <v:fill on="f" focussize="0,0"/>
              <v:stroke on="f"/>
              <v:imagedata o:title=""/>
              <o:lock v:ext="edit" aspectratio="f"/>
              <v:textbox inset="0mm,0mm,0mm,0mm" style="layout-flow:vertical-ideographic;">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6"/>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7"/>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gJmo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vgJmo5AgAAcQQAAA4AAAAAAAAAAQAgAAAAHwEAAGRycy9lMm9Eb2Mu&#10;eG1sUEsFBgAAAAAGAAYAWQEAAMoFAAAAAA==&#10;">
              <v:path/>
              <v:fill on="f" focussize="0,0"/>
              <v:stroke on="f" weight="0.5pt" joinstyle="miter"/>
              <v:imagedata o:title=""/>
              <o:lock v:ext="edit"/>
              <v:textbox inset="0mm,0mm,0mm,0mm" style="mso-fit-shape-to-text:t;">
                <w:txbxContent>
                  <w:p>
                    <w:pPr>
                      <w:pStyle w:val="7"/>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r>
      <w:rPr>
        <w:sz w:val="18"/>
      </w:rPr>
      <mc:AlternateContent>
        <mc:Choice Requires="wps">
          <w:drawing>
            <wp:anchor distT="0" distB="0" distL="114300" distR="114300" simplePos="0" relativeHeight="251662336" behindDoc="0" locked="0" layoutInCell="1" allowOverlap="1">
              <wp:simplePos x="0" y="0"/>
              <wp:positionH relativeFrom="margin">
                <wp:posOffset>-419100</wp:posOffset>
              </wp:positionH>
              <wp:positionV relativeFrom="paragraph">
                <wp:posOffset>414020</wp:posOffset>
              </wp:positionV>
              <wp:extent cx="300990" cy="6629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00990" cy="662940"/>
                      </a:xfrm>
                      <a:prstGeom prst="rect">
                        <a:avLst/>
                      </a:prstGeom>
                      <a:noFill/>
                      <a:ln>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vert="eaVert" lIns="0" tIns="0" rIns="0" bIns="0" upright="0"/>
                  </wps:wsp>
                </a:graphicData>
              </a:graphic>
            </wp:anchor>
          </w:drawing>
        </mc:Choice>
        <mc:Fallback>
          <w:pict>
            <v:shape id="_x0000_s1026" o:spid="_x0000_s1026" o:spt="202" type="#_x0000_t202" style="position:absolute;left:0pt;margin-left:-33pt;margin-top:32.6pt;height:52.2pt;width:23.7pt;mso-position-horizontal-relative:margin;z-index:251662336;mso-width-relative:page;mso-height-relative:page;" filled="f" stroked="f" coordsize="21600,21600" o:gfxdata="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SZuEtcAAAAKAQAADwAAAAAAAAABACAAAAAiAAAAZHJzL2Rvd25yZXYu&#10;eG1sUEsBAhQAFAAAAAgAh07iQDaw8yHDAQAAfwMAAA4AAAAAAAAAAQAgAAAAJgEAAGRycy9lMm9E&#10;b2MueG1sUEsFBgAAAAAGAAYAWQEAAFsFAAAAAA==&#10;">
              <v:path/>
              <v:fill on="f" focussize="0,0"/>
              <v:stroke on="f"/>
              <v:imagedata o:title=""/>
              <o:lock v:ext="edit" aspectratio="f"/>
              <v:textbox inset="0mm,0mm,0mm,0mm" style="layout-flow:vertical-ideographic;">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MTU2NjRhYzJkYWM1YTQ1NzQyMGEzZTA4ZmU4NWIifQ=="/>
  </w:docVars>
  <w:rsids>
    <w:rsidRoot w:val="702126E7"/>
    <w:rsid w:val="39BE02CB"/>
    <w:rsid w:val="70212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widowControl w:val="0"/>
      <w:spacing w:after="120" w:line="560" w:lineRule="exact"/>
      <w:ind w:firstLine="420" w:firstLineChars="200"/>
      <w:jc w:val="both"/>
    </w:pPr>
    <w:rPr>
      <w:rFonts w:ascii="Times New Roman" w:hAnsi="Times New Roman" w:eastAsia="宋体" w:cs="Times New Roman"/>
      <w:kern w:val="2"/>
      <w:sz w:val="21"/>
      <w:szCs w:val="32"/>
      <w:lang w:val="en-US" w:eastAsia="zh-CN" w:bidi="ar-SA"/>
    </w:rPr>
  </w:style>
  <w:style w:type="paragraph" w:styleId="3">
    <w:name w:val="Body Text Indent"/>
    <w:basedOn w:val="1"/>
    <w:unhideWhenUsed/>
    <w:qFormat/>
    <w:uiPriority w:val="99"/>
    <w:pPr>
      <w:spacing w:after="120"/>
      <w:ind w:left="420" w:leftChars="200"/>
    </w:pPr>
  </w:style>
  <w:style w:type="paragraph" w:styleId="4">
    <w:name w:val="Body Text"/>
    <w:basedOn w:val="1"/>
    <w:next w:val="5"/>
    <w:qFormat/>
    <w:uiPriority w:val="0"/>
    <w:pPr>
      <w:widowControl w:val="0"/>
      <w:spacing w:line="300" w:lineRule="atLeast"/>
      <w:jc w:val="center"/>
    </w:pPr>
    <w:rPr>
      <w:rFonts w:ascii="Times New Roman" w:hAnsi="Times New Roman" w:eastAsia="宋体" w:cs="Times New Roman"/>
      <w:color w:val="000000"/>
      <w:kern w:val="2"/>
      <w:sz w:val="44"/>
      <w:lang w:val="en-US" w:eastAsia="zh-CN" w:bidi="ar-SA"/>
    </w:rPr>
  </w:style>
  <w:style w:type="paragraph" w:customStyle="1" w:styleId="5">
    <w:name w:val="目录 11"/>
    <w:next w:val="1"/>
    <w:qFormat/>
    <w:uiPriority w:val="0"/>
    <w:pPr>
      <w:wordWrap w:val="0"/>
      <w:jc w:val="both"/>
    </w:pPr>
    <w:rPr>
      <w:rFonts w:ascii="Calibri" w:hAnsi="Calibri" w:eastAsia="宋体" w:cs="Times New Roman"/>
      <w:sz w:val="21"/>
      <w:szCs w:val="22"/>
      <w:lang w:val="en-US" w:eastAsia="zh-CN" w:bidi="ar-SA"/>
    </w:rPr>
  </w:style>
  <w:style w:type="paragraph" w:styleId="6">
    <w:name w:val="footer"/>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7">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imes New Roman" w:hAnsi="Times New Roman" w:eastAsia="宋体" w:cs="Times New Roman"/>
      <w:kern w:val="2"/>
      <w:sz w:val="18"/>
      <w:szCs w:val="22"/>
      <w:lang w:val="en-US" w:eastAsia="zh-CN" w:bidi="ar-SA"/>
    </w:rPr>
  </w:style>
  <w:style w:type="character" w:customStyle="1" w:styleId="10">
    <w:name w:val="font11"/>
    <w:qFormat/>
    <w:uiPriority w:val="0"/>
    <w:rPr>
      <w:rFonts w:hint="default" w:ascii="仿宋_GB2312" w:eastAsia="仿宋_GB2312" w:cs="仿宋_GB2312"/>
      <w:color w:val="FF0000"/>
      <w:sz w:val="28"/>
      <w:szCs w:val="28"/>
      <w:u w:val="none"/>
    </w:rPr>
  </w:style>
  <w:style w:type="character" w:customStyle="1" w:styleId="11">
    <w:name w:val="font21"/>
    <w:qFormat/>
    <w:uiPriority w:val="0"/>
    <w:rPr>
      <w:rFonts w:hint="eastAsia" w:ascii="仿宋_GB2312" w:eastAsia="仿宋_GB2312" w:cs="仿宋_GB2312"/>
      <w:color w:val="FF0000"/>
      <w:sz w:val="24"/>
      <w:szCs w:val="24"/>
      <w:u w:val="none"/>
    </w:rPr>
  </w:style>
  <w:style w:type="character" w:customStyle="1" w:styleId="12">
    <w:name w:val="font01"/>
    <w:qFormat/>
    <w:uiPriority w:val="0"/>
    <w:rPr>
      <w:rFonts w:ascii="仿宋_GB2312" w:eastAsia="仿宋_GB2312" w:cs="仿宋_GB2312"/>
      <w:color w:val="000000"/>
      <w:sz w:val="28"/>
      <w:szCs w:val="28"/>
      <w:u w:val="none"/>
    </w:rPr>
  </w:style>
  <w:style w:type="character" w:customStyle="1" w:styleId="13">
    <w:name w:val="font91"/>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2024-04-08T06:18:00Z</dcterms:created>
  <dc:creator>米露</dc:creator>
  <cp:lastModifiedBy>米露</cp:lastModifiedBy>
  <dcterms:modified xsi:type="dcterms:W3CDTF">2024-04-08T06:19:40Z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C426C480051643199D1FE6AB753C4711_13</vt:lpwstr>
  </property>
</Properties>
</file>