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pStyle w:val="2"/>
        <w:spacing w:before="0" w:after="0"/>
        <w:jc w:val="center"/>
        <w:rPr>
          <w:rFonts w:ascii="方正小标宋简体" w:eastAsia="方正小标宋简体"/>
          <w:b w:val="0"/>
        </w:rPr>
      </w:pPr>
      <w:bookmarkStart w:id="0" w:name="_Toc479866806"/>
      <w:r>
        <w:rPr>
          <w:rFonts w:hint="eastAsia" w:ascii="方正小标宋简体" w:eastAsia="方正小标宋简体"/>
          <w:b w:val="0"/>
        </w:rPr>
        <w:t xml:space="preserve">电力业务行政许可 </w:t>
      </w:r>
      <w:r>
        <w:rPr>
          <w:rFonts w:ascii="方正小标宋简体" w:eastAsia="方正小标宋简体"/>
          <w:b w:val="0"/>
        </w:rPr>
        <w:t xml:space="preserve"> </w:t>
      </w:r>
      <w:r>
        <w:rPr>
          <w:rFonts w:hint="eastAsia" w:ascii="方正小标宋简体" w:eastAsia="方正小标宋简体"/>
          <w:b w:val="0"/>
        </w:rPr>
        <w:t>承装（修、试）电力设施行政许可流程规范</w:t>
      </w:r>
      <w:bookmarkEnd w:id="0"/>
    </w:p>
    <w:p/>
    <w:p>
      <w:pPr>
        <w:ind w:firstLine="648"/>
        <w:rPr>
          <w:rFonts w:ascii="仿宋_GB2312" w:eastAsia="仿宋_GB2312"/>
          <w:sz w:val="32"/>
          <w:szCs w:val="32"/>
        </w:rPr>
      </w:pPr>
      <w:r>
        <w:rPr>
          <w:rFonts w:hint="eastAsia" w:ascii="仿宋_GB2312" w:eastAsia="仿宋_GB2312"/>
          <w:sz w:val="32"/>
          <w:szCs w:val="32"/>
        </w:rPr>
        <w:t>为规范电力业务行政许可及承装（修、试）电力设施行政许可工作流程和职责分工，促进许可行为规范、流程统一、便捷高效，根据《中华人民共和国行政许可法》、《电力监管条例》、《电力业务许可证管理规定》、</w:t>
      </w:r>
      <w:r>
        <w:rPr>
          <w:rFonts w:hint="eastAsia" w:eastAsia="仿宋_GB2312" w:cs="宋体"/>
          <w:sz w:val="32"/>
          <w:szCs w:val="32"/>
        </w:rPr>
        <w:t>《承装（修、试）电力设施许可证管理办法》、</w:t>
      </w:r>
      <w:r>
        <w:rPr>
          <w:rFonts w:hint="eastAsia" w:ascii="仿宋_GB2312" w:eastAsia="仿宋_GB2312"/>
          <w:sz w:val="32"/>
          <w:szCs w:val="32"/>
        </w:rPr>
        <w:t>《国务院审改办</w:t>
      </w:r>
      <w:r>
        <w:rPr>
          <w:rFonts w:ascii="仿宋_GB2312" w:eastAsia="仿宋_GB2312"/>
          <w:sz w:val="32"/>
          <w:szCs w:val="32"/>
        </w:rPr>
        <w:t xml:space="preserve"> </w:t>
      </w:r>
      <w:r>
        <w:rPr>
          <w:rFonts w:hint="eastAsia" w:ascii="仿宋_GB2312" w:eastAsia="仿宋_GB2312"/>
          <w:sz w:val="32"/>
          <w:szCs w:val="32"/>
        </w:rPr>
        <w:t>国家标准委关于推进行政许可标准化的通知》等法律法规及有关规定要求，结合工作实际，制定本规范。</w:t>
      </w:r>
    </w:p>
    <w:p>
      <w:pPr>
        <w:ind w:firstLine="648"/>
        <w:rPr>
          <w:rFonts w:ascii="仿宋_GB2312" w:eastAsia="仿宋_GB2312"/>
          <w:sz w:val="32"/>
          <w:szCs w:val="32"/>
        </w:rPr>
      </w:pPr>
      <w:r>
        <w:rPr>
          <w:rFonts w:ascii="仿宋_GB2312" w:eastAsia="仿宋_GB2312"/>
          <w:sz w:val="32"/>
          <w:szCs w:val="32"/>
        </w:rPr>
        <w:t>本规范适用于电力业务许可证</w:t>
      </w:r>
      <w:r>
        <w:rPr>
          <w:rFonts w:hint="eastAsia" w:ascii="仿宋_GB2312" w:eastAsia="仿宋_GB2312"/>
          <w:sz w:val="32"/>
          <w:szCs w:val="32"/>
        </w:rPr>
        <w:t>（发电类、输电类、供电类）</w:t>
      </w:r>
      <w:r>
        <w:rPr>
          <w:rFonts w:ascii="仿宋_GB2312" w:eastAsia="仿宋_GB2312"/>
          <w:sz w:val="32"/>
          <w:szCs w:val="32"/>
        </w:rPr>
        <w:t>及</w:t>
      </w:r>
      <w:r>
        <w:rPr>
          <w:rFonts w:hint="eastAsia" w:ascii="仿宋_GB2312" w:eastAsia="仿宋_GB2312"/>
          <w:sz w:val="32"/>
          <w:szCs w:val="32"/>
        </w:rPr>
        <w:t>承装（修、试）电力设施许可证申请、变更、延续等行政许可事项的办理。</w:t>
      </w:r>
    </w:p>
    <w:p>
      <w:pPr>
        <w:ind w:firstLine="648"/>
        <w:rPr>
          <w:rFonts w:ascii="黑体" w:hAnsi="黑体" w:eastAsia="黑体"/>
          <w:sz w:val="32"/>
          <w:szCs w:val="32"/>
        </w:rPr>
      </w:pPr>
      <w:r>
        <w:rPr>
          <w:rFonts w:hint="eastAsia" w:ascii="黑体" w:hAnsi="黑体" w:eastAsia="黑体"/>
          <w:sz w:val="32"/>
          <w:szCs w:val="32"/>
        </w:rPr>
        <w:t>一、申请与受理</w:t>
      </w:r>
    </w:p>
    <w:p>
      <w:pPr>
        <w:ind w:firstLine="648"/>
        <w:rPr>
          <w:rFonts w:ascii="楷体_GB2312" w:eastAsia="楷体_GB2312"/>
          <w:sz w:val="32"/>
          <w:szCs w:val="32"/>
        </w:rPr>
      </w:pPr>
      <w:r>
        <w:rPr>
          <w:rFonts w:hint="eastAsia" w:ascii="楷体_GB2312" w:eastAsia="楷体_GB2312"/>
          <w:sz w:val="32"/>
          <w:szCs w:val="32"/>
        </w:rPr>
        <w:t>（一）办理流程与责任分工</w:t>
      </w:r>
    </w:p>
    <w:p>
      <w:pPr>
        <w:ind w:firstLine="648"/>
        <w:rPr>
          <w:rFonts w:ascii="仿宋_GB2312" w:eastAsia="仿宋_GB2312"/>
          <w:sz w:val="32"/>
          <w:szCs w:val="32"/>
        </w:rPr>
      </w:pPr>
      <w:r>
        <w:rPr>
          <w:rFonts w:hint="eastAsia" w:ascii="仿宋_GB2312" w:hAnsi="宋体" w:eastAsia="仿宋_GB2312"/>
          <w:spacing w:val="2"/>
          <w:kern w:val="0"/>
          <w:sz w:val="32"/>
          <w:szCs w:val="32"/>
        </w:rPr>
        <w:t>申请人确定所</w:t>
      </w:r>
      <w:r>
        <w:rPr>
          <w:rFonts w:hint="eastAsia" w:ascii="仿宋_GB2312" w:eastAsia="仿宋_GB2312"/>
          <w:sz w:val="32"/>
          <w:szCs w:val="32"/>
        </w:rPr>
        <w:t>申请电力业务行政许可或承装（修、试）电力设施行政许可具体事项</w:t>
      </w:r>
      <w:r>
        <w:rPr>
          <w:rFonts w:hint="eastAsia" w:ascii="仿宋_GB2312" w:hAnsi="宋体" w:eastAsia="仿宋_GB2312"/>
          <w:spacing w:val="2"/>
          <w:kern w:val="0"/>
          <w:sz w:val="32"/>
          <w:szCs w:val="32"/>
        </w:rPr>
        <w:t>，准备并提交申请材料；国家能源局派出机构（以下简称派出机构）接收申请材料并作出是否受理的决定。</w:t>
      </w:r>
      <w:r>
        <w:rPr>
          <w:rFonts w:hint="eastAsia" w:ascii="仿宋_GB2312" w:eastAsia="仿宋_GB2312"/>
          <w:sz w:val="32"/>
          <w:szCs w:val="32"/>
        </w:rPr>
        <w:t>责任人为受理岗位工作人员，应履行以下具体职责：</w:t>
      </w:r>
    </w:p>
    <w:p>
      <w:pPr>
        <w:ind w:firstLine="648"/>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答复申请人的咨询；</w:t>
      </w:r>
    </w:p>
    <w:p>
      <w:pPr>
        <w:ind w:firstLine="648"/>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接收申请人的申请材料；</w:t>
      </w:r>
    </w:p>
    <w:p>
      <w:pPr>
        <w:ind w:firstLine="648"/>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 xml:space="preserve">确定申请事项是否属于派出机构负责的电力业务或承装（修、试）电力设施行政许可事项、申请材料是否齐全、是否符合法定形式，作出受理、不予受理或补正决定。 </w:t>
      </w:r>
    </w:p>
    <w:p>
      <w:pPr>
        <w:ind w:firstLine="648"/>
        <w:rPr>
          <w:rFonts w:ascii="仿宋_GB2312" w:eastAsia="仿宋_GB2312"/>
          <w:sz w:val="32"/>
          <w:szCs w:val="32"/>
        </w:rPr>
      </w:pPr>
      <w:r>
        <w:rPr>
          <w:rFonts w:hint="eastAsia" w:ascii="仿宋_GB2312" w:eastAsia="仿宋_GB2312"/>
          <w:sz w:val="32"/>
          <w:szCs w:val="32"/>
        </w:rPr>
        <w:t>在受理过程中，派出机构有权要求申请人就申请事项作出解释或者说明。但是，要求申请人作出解释或者说明以必要为限，不得以解释或者说明为由要求申请人提交与许可申请事项无关的材料。</w:t>
      </w:r>
    </w:p>
    <w:p>
      <w:pPr>
        <w:ind w:firstLine="648"/>
        <w:rPr>
          <w:rFonts w:ascii="楷体_GB2312" w:eastAsia="楷体_GB2312"/>
          <w:sz w:val="32"/>
          <w:szCs w:val="32"/>
        </w:rPr>
      </w:pPr>
      <w:r>
        <w:rPr>
          <w:rFonts w:hint="eastAsia" w:ascii="楷体_GB2312" w:eastAsia="楷体_GB2312"/>
          <w:sz w:val="32"/>
          <w:szCs w:val="32"/>
        </w:rPr>
        <w:t>（二）审查结论</w:t>
      </w:r>
    </w:p>
    <w:p>
      <w:pPr>
        <w:ind w:firstLine="648"/>
        <w:rPr>
          <w:rFonts w:ascii="仿宋_GB2312" w:eastAsia="仿宋_GB2312"/>
          <w:sz w:val="32"/>
          <w:szCs w:val="32"/>
        </w:rPr>
      </w:pPr>
      <w:r>
        <w:rPr>
          <w:rFonts w:hint="eastAsia" w:ascii="仿宋_GB2312" w:eastAsia="仿宋_GB2312"/>
          <w:sz w:val="32"/>
          <w:szCs w:val="32"/>
        </w:rPr>
        <w:t xml:space="preserve">本环节审查结论及处理方式包括： </w:t>
      </w:r>
    </w:p>
    <w:p>
      <w:pPr>
        <w:ind w:firstLine="648"/>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申请事项依法不需要取得电力业务行政许可或承装（修、试）电力设施行政许可的，即时告知申请人不需要申请；</w:t>
      </w:r>
    </w:p>
    <w:p>
      <w:pPr>
        <w:ind w:firstLine="648"/>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申请事项依法不属于派出机构职权范围的，即时作出不予受理的决定并出具不予受理决定书；</w:t>
      </w:r>
    </w:p>
    <w:p>
      <w:pPr>
        <w:ind w:firstLine="648"/>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申请材料存在可以当场更正的错误的，允许申请人当场更正；</w:t>
      </w:r>
    </w:p>
    <w:p>
      <w:pPr>
        <w:ind w:firstLine="648"/>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申请材料不齐全或不符合法定形式的，当场或在5日内一次性告知申请人需要补正的全部内容并出具材料补正告知书，逾期不告知的，自收到申请材料之日起即视为受理；</w:t>
      </w:r>
    </w:p>
    <w:p>
      <w:pPr>
        <w:ind w:firstLine="648"/>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rPr>
        <w:t xml:space="preserve"> </w:t>
      </w:r>
      <w:r>
        <w:rPr>
          <w:rFonts w:hint="eastAsia" w:ascii="仿宋_GB2312" w:eastAsia="仿宋_GB2312"/>
          <w:sz w:val="32"/>
          <w:szCs w:val="32"/>
        </w:rPr>
        <w:t>申请事项属于派出机构职权范围，申请材料齐全、符合法定形式，或者申请人按要求提交全部补正材料的，作出受理决定并出具受理单。</w:t>
      </w:r>
    </w:p>
    <w:p>
      <w:pPr>
        <w:ind w:firstLine="648"/>
        <w:rPr>
          <w:rFonts w:ascii="楷体_GB2312" w:eastAsia="楷体_GB2312"/>
          <w:sz w:val="32"/>
          <w:szCs w:val="32"/>
        </w:rPr>
      </w:pPr>
      <w:r>
        <w:rPr>
          <w:rFonts w:hint="eastAsia" w:ascii="楷体_GB2312" w:eastAsia="楷体_GB2312"/>
          <w:sz w:val="32"/>
          <w:szCs w:val="32"/>
        </w:rPr>
        <w:t>（三）时限</w:t>
      </w:r>
    </w:p>
    <w:p>
      <w:pPr>
        <w:ind w:firstLine="648"/>
        <w:rPr>
          <w:rFonts w:ascii="仿宋_GB2312" w:eastAsia="仿宋_GB2312"/>
          <w:b/>
          <w:sz w:val="32"/>
          <w:szCs w:val="32"/>
        </w:rPr>
      </w:pPr>
      <w:r>
        <w:rPr>
          <w:rFonts w:hint="eastAsia" w:ascii="仿宋_GB2312" w:eastAsia="仿宋_GB2312"/>
          <w:sz w:val="32"/>
          <w:szCs w:val="32"/>
        </w:rPr>
        <w:t>自申请人提出申请并提交申请材料之日起5日内完成。</w:t>
      </w:r>
    </w:p>
    <w:p>
      <w:pPr>
        <w:ind w:firstLine="648"/>
        <w:rPr>
          <w:rFonts w:ascii="楷体_GB2312" w:eastAsia="楷体_GB2312"/>
          <w:sz w:val="32"/>
          <w:szCs w:val="32"/>
        </w:rPr>
      </w:pPr>
      <w:r>
        <w:rPr>
          <w:rFonts w:hint="eastAsia" w:ascii="楷体_GB2312" w:eastAsia="楷体_GB2312"/>
          <w:sz w:val="32"/>
          <w:szCs w:val="32"/>
        </w:rPr>
        <w:t>（四）相关文书</w:t>
      </w:r>
    </w:p>
    <w:p>
      <w:pPr>
        <w:ind w:firstLine="648"/>
        <w:rPr>
          <w:rFonts w:ascii="仿宋_GB2312" w:eastAsia="仿宋_GB2312"/>
          <w:sz w:val="32"/>
          <w:szCs w:val="32"/>
        </w:rPr>
      </w:pPr>
      <w:r>
        <w:rPr>
          <w:rFonts w:hint="eastAsia" w:ascii="仿宋_GB2312" w:eastAsia="仿宋_GB2312"/>
          <w:sz w:val="32"/>
          <w:szCs w:val="32"/>
        </w:rPr>
        <w:t>本环节文书包括受理单、材料补正告知书、不予受理决定书，出具时应加盖派出机构行政许可专用印章，网上受理的可通过电子回执单等方式予以确认。</w:t>
      </w:r>
    </w:p>
    <w:p>
      <w:pPr>
        <w:ind w:firstLine="648"/>
        <w:rPr>
          <w:rFonts w:ascii="黑体" w:hAnsi="黑体" w:eastAsia="黑体"/>
          <w:sz w:val="32"/>
          <w:szCs w:val="32"/>
        </w:rPr>
      </w:pPr>
      <w:r>
        <w:rPr>
          <w:rFonts w:hint="eastAsia" w:ascii="黑体" w:hAnsi="黑体" w:eastAsia="黑体"/>
          <w:sz w:val="32"/>
          <w:szCs w:val="32"/>
        </w:rPr>
        <w:t>二、审查与决定</w:t>
      </w:r>
    </w:p>
    <w:p>
      <w:pPr>
        <w:ind w:firstLine="648"/>
        <w:rPr>
          <w:rFonts w:ascii="楷体_GB2312" w:eastAsia="楷体_GB2312"/>
          <w:sz w:val="32"/>
          <w:szCs w:val="32"/>
        </w:rPr>
      </w:pPr>
      <w:r>
        <w:rPr>
          <w:rFonts w:hint="eastAsia" w:ascii="楷体_GB2312" w:eastAsia="楷体_GB2312"/>
          <w:sz w:val="32"/>
          <w:szCs w:val="32"/>
        </w:rPr>
        <w:t>（一）办理流程与责任分工</w:t>
      </w:r>
    </w:p>
    <w:p>
      <w:pPr>
        <w:ind w:firstLine="648"/>
        <w:rPr>
          <w:rFonts w:ascii="仿宋_GB2312" w:eastAsia="仿宋_GB2312"/>
          <w:sz w:val="32"/>
          <w:szCs w:val="32"/>
        </w:rPr>
      </w:pPr>
      <w:r>
        <w:rPr>
          <w:rFonts w:hint="eastAsia" w:ascii="仿宋_GB2312" w:eastAsia="仿宋_GB2312"/>
          <w:sz w:val="32"/>
          <w:szCs w:val="32"/>
        </w:rPr>
        <w:t>核发电力业务许可证及承装（修、试）电力设施许可证包括申请材料审查、作出许可决定、签发许可决定书三个环节。</w:t>
      </w:r>
    </w:p>
    <w:p>
      <w:pPr>
        <w:ind w:firstLine="648"/>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申请材料审查</w:t>
      </w:r>
    </w:p>
    <w:p>
      <w:pPr>
        <w:ind w:firstLine="648"/>
        <w:rPr>
          <w:rFonts w:ascii="仿宋_GB2312" w:eastAsia="仿宋_GB2312"/>
          <w:sz w:val="32"/>
          <w:szCs w:val="32"/>
        </w:rPr>
      </w:pPr>
      <w:r>
        <w:rPr>
          <w:rFonts w:hint="eastAsia" w:ascii="仿宋_GB2312" w:eastAsia="仿宋_GB2312"/>
          <w:sz w:val="32"/>
          <w:szCs w:val="32"/>
        </w:rPr>
        <w:t>确定申请人是否符合法定的电力业务行政许可或承装（修、试）电力设施行政许可条件和标准，提出是否准予许可的建议，必要时可进行现场核查。责任人包括审查岗位工作人员、现场核查人员及资质管理处负责人。</w:t>
      </w:r>
    </w:p>
    <w:p>
      <w:pPr>
        <w:ind w:firstLine="648"/>
        <w:rPr>
          <w:rFonts w:ascii="仿宋_GB2312" w:eastAsia="仿宋_GB2312"/>
          <w:sz w:val="32"/>
          <w:szCs w:val="32"/>
        </w:rPr>
      </w:pPr>
      <w:r>
        <w:rPr>
          <w:rFonts w:hint="eastAsia" w:ascii="仿宋_GB2312" w:eastAsia="仿宋_GB2312"/>
          <w:sz w:val="32"/>
          <w:szCs w:val="32"/>
        </w:rPr>
        <w:t>（1）审查岗位工作人员应履行以下职责：</w:t>
      </w:r>
    </w:p>
    <w:p>
      <w:pPr>
        <w:ind w:firstLine="648"/>
        <w:rPr>
          <w:rFonts w:ascii="仿宋_GB2312" w:eastAsia="仿宋_GB2312"/>
          <w:sz w:val="32"/>
          <w:szCs w:val="32"/>
        </w:rPr>
      </w:pPr>
      <w:r>
        <w:rPr>
          <w:rFonts w:hint="eastAsia" w:ascii="仿宋_GB2312" w:eastAsia="仿宋_GB2312"/>
          <w:sz w:val="32"/>
          <w:szCs w:val="32"/>
        </w:rPr>
        <w:t>①对申请材料进行审查；</w:t>
      </w:r>
    </w:p>
    <w:p>
      <w:pPr>
        <w:ind w:firstLine="648"/>
        <w:rPr>
          <w:rFonts w:ascii="仿宋_GB2312" w:eastAsia="仿宋_GB2312"/>
          <w:sz w:val="32"/>
          <w:szCs w:val="32"/>
        </w:rPr>
      </w:pPr>
      <w:r>
        <w:rPr>
          <w:rFonts w:hint="eastAsia" w:ascii="仿宋_GB2312" w:eastAsia="仿宋_GB2312"/>
          <w:sz w:val="32"/>
          <w:szCs w:val="32"/>
        </w:rPr>
        <w:t>②根据申请材料审查情况，提出是否开展现场核查的建议；</w:t>
      </w:r>
    </w:p>
    <w:p>
      <w:pPr>
        <w:ind w:firstLine="648"/>
        <w:rPr>
          <w:rFonts w:ascii="仿宋_GB2312" w:eastAsia="仿宋_GB2312"/>
          <w:sz w:val="32"/>
          <w:szCs w:val="32"/>
        </w:rPr>
      </w:pPr>
      <w:r>
        <w:rPr>
          <w:rFonts w:hint="eastAsia" w:ascii="仿宋_GB2312" w:eastAsia="仿宋_GB2312"/>
          <w:sz w:val="32"/>
          <w:szCs w:val="32"/>
        </w:rPr>
        <w:t>③根据申请材料审查和现场核查情况，提出是否符合</w:t>
      </w:r>
      <w:r>
        <w:rPr>
          <w:rFonts w:ascii="仿宋_GB2312" w:eastAsia="仿宋_GB2312"/>
          <w:sz w:val="32"/>
          <w:szCs w:val="32"/>
        </w:rPr>
        <w:t>许可条件的意见。</w:t>
      </w:r>
    </w:p>
    <w:p>
      <w:pPr>
        <w:ind w:firstLine="648"/>
        <w:rPr>
          <w:rFonts w:ascii="仿宋_GB2312" w:eastAsia="仿宋_GB2312"/>
          <w:sz w:val="32"/>
          <w:szCs w:val="32"/>
        </w:rPr>
      </w:pPr>
      <w:r>
        <w:rPr>
          <w:rFonts w:hint="eastAsia" w:ascii="仿宋_GB2312" w:eastAsia="仿宋_GB2312"/>
          <w:sz w:val="32"/>
          <w:szCs w:val="32"/>
        </w:rPr>
        <w:t>（2）现场核查人员应履行以下职责：</w:t>
      </w:r>
    </w:p>
    <w:p>
      <w:pPr>
        <w:ind w:firstLine="648"/>
        <w:rPr>
          <w:rFonts w:ascii="仿宋_GB2312" w:eastAsia="仿宋_GB2312"/>
          <w:sz w:val="32"/>
          <w:szCs w:val="32"/>
        </w:rPr>
      </w:pPr>
      <w:r>
        <w:rPr>
          <w:rFonts w:hint="eastAsia" w:ascii="仿宋_GB2312" w:eastAsia="仿宋_GB2312"/>
          <w:sz w:val="32"/>
          <w:szCs w:val="32"/>
        </w:rPr>
        <w:t>①依据</w:t>
      </w:r>
      <w:r>
        <w:rPr>
          <w:rFonts w:ascii="仿宋_GB2312" w:eastAsia="仿宋_GB2312"/>
          <w:sz w:val="32"/>
          <w:szCs w:val="32"/>
        </w:rPr>
        <w:t>现场核查通知书</w:t>
      </w:r>
      <w:r>
        <w:rPr>
          <w:rFonts w:hint="eastAsia" w:ascii="仿宋_GB2312" w:eastAsia="仿宋_GB2312"/>
          <w:sz w:val="32"/>
          <w:szCs w:val="32"/>
        </w:rPr>
        <w:t>相关</w:t>
      </w:r>
      <w:r>
        <w:rPr>
          <w:rFonts w:ascii="仿宋_GB2312" w:eastAsia="仿宋_GB2312"/>
          <w:sz w:val="32"/>
          <w:szCs w:val="32"/>
        </w:rPr>
        <w:t>要求</w:t>
      </w:r>
      <w:r>
        <w:rPr>
          <w:rFonts w:hint="eastAsia" w:ascii="仿宋_GB2312" w:eastAsia="仿宋_GB2312"/>
          <w:sz w:val="32"/>
          <w:szCs w:val="32"/>
        </w:rPr>
        <w:t>进行现场核查；</w:t>
      </w:r>
    </w:p>
    <w:p>
      <w:pPr>
        <w:ind w:firstLine="648"/>
        <w:rPr>
          <w:rFonts w:ascii="仿宋_GB2312" w:eastAsia="仿宋_GB2312"/>
          <w:sz w:val="32"/>
          <w:szCs w:val="32"/>
        </w:rPr>
      </w:pPr>
      <w:r>
        <w:rPr>
          <w:rFonts w:hint="eastAsia" w:ascii="仿宋_GB2312" w:eastAsia="仿宋_GB2312"/>
          <w:sz w:val="32"/>
          <w:szCs w:val="32"/>
        </w:rPr>
        <w:t>②记录现场核查情况并向被核查人反馈</w:t>
      </w:r>
      <w:r>
        <w:rPr>
          <w:rFonts w:ascii="仿宋_GB2312" w:eastAsia="仿宋_GB2312"/>
          <w:sz w:val="32"/>
          <w:szCs w:val="32"/>
        </w:rPr>
        <w:t>。</w:t>
      </w:r>
    </w:p>
    <w:p>
      <w:pPr>
        <w:ind w:firstLine="648"/>
        <w:rPr>
          <w:rFonts w:ascii="仿宋_GB2312" w:eastAsia="仿宋_GB2312"/>
          <w:sz w:val="32"/>
          <w:szCs w:val="32"/>
        </w:rPr>
      </w:pPr>
      <w:r>
        <w:rPr>
          <w:rFonts w:hint="eastAsia" w:ascii="仿宋_GB2312" w:eastAsia="仿宋_GB2312"/>
          <w:sz w:val="32"/>
          <w:szCs w:val="32"/>
        </w:rPr>
        <w:t>（3）资质管理处负责人应履行以下职责：</w:t>
      </w:r>
    </w:p>
    <w:p>
      <w:pPr>
        <w:ind w:firstLine="648"/>
        <w:rPr>
          <w:rFonts w:ascii="仿宋_GB2312" w:eastAsia="仿宋_GB2312"/>
          <w:sz w:val="32"/>
          <w:szCs w:val="32"/>
        </w:rPr>
      </w:pPr>
      <w:r>
        <w:rPr>
          <w:rFonts w:hint="eastAsia" w:ascii="仿宋_GB2312" w:eastAsia="仿宋_GB2312"/>
          <w:sz w:val="32"/>
          <w:szCs w:val="32"/>
        </w:rPr>
        <w:t>①作出是否开展现场核查的决定；</w:t>
      </w:r>
    </w:p>
    <w:p>
      <w:pPr>
        <w:ind w:firstLine="648"/>
        <w:rPr>
          <w:rFonts w:ascii="仿宋_GB2312" w:eastAsia="仿宋_GB2312"/>
          <w:sz w:val="32"/>
          <w:szCs w:val="32"/>
        </w:rPr>
      </w:pPr>
      <w:r>
        <w:rPr>
          <w:rFonts w:hint="eastAsia" w:ascii="仿宋_GB2312" w:eastAsia="仿宋_GB2312"/>
          <w:sz w:val="32"/>
          <w:szCs w:val="32"/>
        </w:rPr>
        <w:t>②根据申请材料审查、现场核查情况及审查岗位工作人员的审查</w:t>
      </w:r>
      <w:r>
        <w:rPr>
          <w:rFonts w:ascii="仿宋_GB2312" w:eastAsia="仿宋_GB2312"/>
          <w:sz w:val="32"/>
          <w:szCs w:val="32"/>
        </w:rPr>
        <w:t>意见</w:t>
      </w:r>
      <w:r>
        <w:rPr>
          <w:rFonts w:hint="eastAsia" w:ascii="仿宋_GB2312" w:eastAsia="仿宋_GB2312"/>
          <w:sz w:val="32"/>
          <w:szCs w:val="32"/>
        </w:rPr>
        <w:t>，提出是否准予许可的建议。</w:t>
      </w:r>
    </w:p>
    <w:p>
      <w:pPr>
        <w:ind w:firstLine="648"/>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.作出</w:t>
      </w:r>
      <w:r>
        <w:rPr>
          <w:rFonts w:hint="eastAsia" w:ascii="仿宋_GB2312" w:eastAsia="仿宋_GB2312"/>
          <w:sz w:val="32"/>
          <w:szCs w:val="32"/>
        </w:rPr>
        <w:t>许可决定</w:t>
      </w:r>
    </w:p>
    <w:p>
      <w:pPr>
        <w:ind w:firstLine="648"/>
        <w:rPr>
          <w:rFonts w:ascii="仿宋_GB2312" w:eastAsia="仿宋_GB2312"/>
          <w:sz w:val="32"/>
          <w:szCs w:val="32"/>
        </w:rPr>
      </w:pPr>
      <w:r>
        <w:rPr>
          <w:rFonts w:hint="eastAsia" w:ascii="仿宋_GB2312" w:eastAsia="仿宋_GB2312"/>
          <w:sz w:val="32"/>
          <w:szCs w:val="32"/>
        </w:rPr>
        <w:t>派出机构负责人或者行政许可委员会根据申请材料审查情况，作出准予许可或者不予许可的决定。</w:t>
      </w:r>
    </w:p>
    <w:p>
      <w:pPr>
        <w:ind w:firstLine="64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签发许可决定书</w:t>
      </w:r>
    </w:p>
    <w:p>
      <w:pPr>
        <w:ind w:firstLine="648"/>
        <w:rPr>
          <w:rFonts w:ascii="仿宋_GB2312" w:eastAsia="仿宋_GB2312"/>
          <w:sz w:val="32"/>
          <w:szCs w:val="32"/>
        </w:rPr>
      </w:pPr>
      <w:r>
        <w:rPr>
          <w:rFonts w:hint="eastAsia" w:ascii="仿宋_GB2312" w:eastAsia="仿宋_GB2312"/>
          <w:sz w:val="32"/>
          <w:szCs w:val="32"/>
        </w:rPr>
        <w:t>派出机构主要负责人签发许可决定书。</w:t>
      </w:r>
    </w:p>
    <w:p>
      <w:pPr>
        <w:ind w:firstLine="648"/>
        <w:rPr>
          <w:rFonts w:ascii="楷体_GB2312" w:eastAsia="楷体_GB2312"/>
          <w:sz w:val="32"/>
          <w:szCs w:val="32"/>
        </w:rPr>
      </w:pPr>
      <w:r>
        <w:rPr>
          <w:rFonts w:hint="eastAsia" w:ascii="楷体_GB2312" w:eastAsia="楷体_GB2312"/>
          <w:sz w:val="32"/>
          <w:szCs w:val="32"/>
        </w:rPr>
        <w:t>（二）现场核查</w:t>
      </w:r>
    </w:p>
    <w:p>
      <w:pPr>
        <w:ind w:firstLine="648"/>
        <w:rPr>
          <w:rFonts w:ascii="仿宋_GB2312" w:eastAsia="仿宋_GB2312"/>
          <w:sz w:val="32"/>
          <w:szCs w:val="32"/>
        </w:rPr>
      </w:pPr>
      <w:r>
        <w:rPr>
          <w:rFonts w:hint="eastAsia" w:ascii="仿宋_GB2312" w:eastAsia="仿宋_GB2312"/>
          <w:sz w:val="32"/>
          <w:szCs w:val="32"/>
        </w:rPr>
        <w:t>1.适用范围</w:t>
      </w:r>
    </w:p>
    <w:p>
      <w:pPr>
        <w:ind w:firstLine="648"/>
        <w:rPr>
          <w:rFonts w:ascii="仿宋_GB2312" w:eastAsia="仿宋_GB2312"/>
          <w:sz w:val="32"/>
          <w:szCs w:val="32"/>
        </w:rPr>
      </w:pPr>
      <w:r>
        <w:rPr>
          <w:rFonts w:hint="eastAsia" w:ascii="仿宋_GB2312" w:eastAsia="仿宋_GB2312"/>
          <w:sz w:val="32"/>
          <w:szCs w:val="32"/>
        </w:rPr>
        <w:t>电力业务行政许可及承装（修、试）电力设施行政许可现场核查适用范围包括：</w:t>
      </w:r>
    </w:p>
    <w:p>
      <w:pPr>
        <w:ind w:firstLine="648"/>
        <w:rPr>
          <w:rFonts w:ascii="仿宋_GB2312" w:eastAsia="仿宋_GB2312"/>
          <w:sz w:val="32"/>
          <w:szCs w:val="32"/>
        </w:rPr>
      </w:pPr>
      <w:r>
        <w:rPr>
          <w:rFonts w:hint="eastAsia" w:ascii="仿宋_GB2312" w:eastAsia="仿宋_GB2312"/>
          <w:sz w:val="32"/>
          <w:szCs w:val="32"/>
        </w:rPr>
        <w:t>（1）不能确认申请资料的真实性与完整性的；</w:t>
      </w:r>
    </w:p>
    <w:p>
      <w:pPr>
        <w:ind w:firstLine="648"/>
        <w:rPr>
          <w:rFonts w:ascii="仿宋_GB2312" w:eastAsia="仿宋_GB2312"/>
          <w:sz w:val="32"/>
          <w:szCs w:val="32"/>
        </w:rPr>
      </w:pPr>
      <w:r>
        <w:rPr>
          <w:rFonts w:hint="eastAsia" w:ascii="仿宋_GB2312" w:eastAsia="仿宋_GB2312"/>
          <w:sz w:val="32"/>
          <w:szCs w:val="32"/>
        </w:rPr>
        <w:t>（2）有必要进行现场核查的其他情形。</w:t>
      </w:r>
    </w:p>
    <w:p>
      <w:pPr>
        <w:ind w:firstLine="648"/>
        <w:rPr>
          <w:rFonts w:ascii="仿宋_GB2312" w:eastAsia="仿宋_GB2312"/>
          <w:sz w:val="32"/>
          <w:szCs w:val="32"/>
        </w:rPr>
      </w:pPr>
      <w:r>
        <w:rPr>
          <w:rFonts w:hint="eastAsia" w:ascii="仿宋_GB2312" w:eastAsia="仿宋_GB2312"/>
          <w:sz w:val="32"/>
          <w:szCs w:val="32"/>
        </w:rPr>
        <w:t>2.核查内容</w:t>
      </w:r>
    </w:p>
    <w:p>
      <w:pPr>
        <w:ind w:firstLine="648"/>
        <w:rPr>
          <w:rFonts w:ascii="仿宋_GB2312" w:eastAsia="仿宋_GB2312"/>
          <w:sz w:val="32"/>
          <w:szCs w:val="32"/>
        </w:rPr>
      </w:pPr>
      <w:r>
        <w:rPr>
          <w:rFonts w:hint="eastAsia" w:ascii="仿宋_GB2312" w:eastAsia="仿宋_GB2312"/>
          <w:sz w:val="32"/>
          <w:szCs w:val="32"/>
        </w:rPr>
        <w:t>电力业务行政许可及承装（修、试）电力设施行政许可现场核查内容包括：</w:t>
      </w:r>
    </w:p>
    <w:p>
      <w:pPr>
        <w:ind w:firstLine="648"/>
        <w:rPr>
          <w:rFonts w:ascii="仿宋_GB2312" w:eastAsia="仿宋_GB2312"/>
          <w:sz w:val="32"/>
          <w:szCs w:val="32"/>
        </w:rPr>
      </w:pPr>
      <w:r>
        <w:rPr>
          <w:rFonts w:hint="eastAsia" w:ascii="仿宋_GB2312" w:eastAsia="仿宋_GB2312"/>
          <w:sz w:val="32"/>
          <w:szCs w:val="32"/>
        </w:rPr>
        <w:t>（1）各类申请材料原件；</w:t>
      </w:r>
    </w:p>
    <w:p>
      <w:pPr>
        <w:ind w:firstLine="648"/>
        <w:rPr>
          <w:rFonts w:ascii="仿宋_GB2312" w:eastAsia="仿宋_GB2312"/>
          <w:sz w:val="32"/>
          <w:szCs w:val="32"/>
        </w:rPr>
      </w:pPr>
      <w:r>
        <w:rPr>
          <w:rFonts w:hint="eastAsia" w:ascii="仿宋_GB2312" w:eastAsia="仿宋_GB2312"/>
          <w:sz w:val="32"/>
          <w:szCs w:val="32"/>
        </w:rPr>
        <w:t>（2）申请事项现场实际状况；</w:t>
      </w:r>
    </w:p>
    <w:p>
      <w:pPr>
        <w:ind w:firstLine="648"/>
        <w:rPr>
          <w:rFonts w:ascii="仿宋_GB2312" w:eastAsia="仿宋_GB2312"/>
          <w:sz w:val="32"/>
          <w:szCs w:val="32"/>
        </w:rPr>
      </w:pPr>
      <w:r>
        <w:rPr>
          <w:rFonts w:hint="eastAsia" w:ascii="仿宋_GB2312" w:eastAsia="仿宋_GB2312"/>
          <w:sz w:val="32"/>
          <w:szCs w:val="32"/>
        </w:rPr>
        <w:t>（3）其他需要现场核实的内容。</w:t>
      </w:r>
    </w:p>
    <w:p>
      <w:pPr>
        <w:ind w:firstLine="648"/>
        <w:rPr>
          <w:rFonts w:ascii="仿宋_GB2312" w:eastAsia="仿宋_GB2312"/>
          <w:sz w:val="32"/>
          <w:szCs w:val="32"/>
        </w:rPr>
      </w:pPr>
      <w:r>
        <w:rPr>
          <w:rFonts w:hint="eastAsia" w:ascii="仿宋_GB2312" w:eastAsia="仿宋_GB2312"/>
          <w:sz w:val="32"/>
          <w:szCs w:val="32"/>
        </w:rPr>
        <w:t>3．核查组织与流程</w:t>
      </w:r>
    </w:p>
    <w:p>
      <w:pPr>
        <w:ind w:firstLine="648"/>
        <w:rPr>
          <w:rFonts w:ascii="仿宋_GB2312" w:eastAsia="仿宋_GB2312"/>
          <w:sz w:val="32"/>
          <w:szCs w:val="32"/>
        </w:rPr>
      </w:pPr>
      <w:r>
        <w:rPr>
          <w:rFonts w:hint="eastAsia" w:ascii="仿宋_GB2312" w:eastAsia="仿宋_GB2312"/>
          <w:sz w:val="32"/>
          <w:szCs w:val="32"/>
        </w:rPr>
        <w:t>应至少提前1个工作日向被核查人下达现场核查通知，包括核查依据、时间安排、核查内容、被核查人需配合和协助的事项等内容。应指派两名以上工作人员开展现场核查，与许可申请事项或申请人有利害关系的工作人员应主动回避。</w:t>
      </w:r>
    </w:p>
    <w:p>
      <w:pPr>
        <w:ind w:firstLine="648"/>
        <w:rPr>
          <w:rFonts w:ascii="仿宋_GB2312" w:eastAsia="仿宋_GB2312"/>
          <w:sz w:val="32"/>
          <w:szCs w:val="32"/>
        </w:rPr>
      </w:pPr>
      <w:r>
        <w:rPr>
          <w:rFonts w:hint="eastAsia" w:ascii="仿宋_GB2312" w:eastAsia="仿宋_GB2312"/>
          <w:sz w:val="32"/>
          <w:szCs w:val="32"/>
        </w:rPr>
        <w:t>现场核查开始前应向被核查人出示现场核查通知书、执法证和廉政纪律告知书。现场核查结束后，及时向被核查人反馈核查情况，并要求其法定代表人或委托人在反馈材料上签字。</w:t>
      </w:r>
    </w:p>
    <w:p>
      <w:pPr>
        <w:ind w:firstLine="648"/>
        <w:rPr>
          <w:rFonts w:ascii="楷体_GB2312" w:eastAsia="楷体_GB2312"/>
          <w:sz w:val="32"/>
          <w:szCs w:val="32"/>
        </w:rPr>
      </w:pPr>
      <w:r>
        <w:rPr>
          <w:rFonts w:hint="eastAsia" w:ascii="楷体_GB2312" w:eastAsia="楷体_GB2312"/>
          <w:sz w:val="32"/>
          <w:szCs w:val="32"/>
        </w:rPr>
        <w:t>（三）</w:t>
      </w:r>
      <w:r>
        <w:rPr>
          <w:rFonts w:ascii="楷体_GB2312" w:eastAsia="楷体_GB2312"/>
          <w:sz w:val="32"/>
          <w:szCs w:val="32"/>
        </w:rPr>
        <w:t xml:space="preserve"> </w:t>
      </w:r>
      <w:r>
        <w:rPr>
          <w:rFonts w:hint="eastAsia" w:ascii="楷体_GB2312" w:eastAsia="楷体_GB2312"/>
          <w:sz w:val="32"/>
          <w:szCs w:val="32"/>
        </w:rPr>
        <w:t>听证</w:t>
      </w:r>
    </w:p>
    <w:p>
      <w:pPr>
        <w:ind w:firstLine="648"/>
        <w:rPr>
          <w:rFonts w:ascii="仿宋_GB2312" w:eastAsia="仿宋_GB2312"/>
          <w:sz w:val="32"/>
          <w:szCs w:val="32"/>
        </w:rPr>
      </w:pPr>
      <w:r>
        <w:rPr>
          <w:rFonts w:hint="eastAsia" w:ascii="仿宋_GB2312" w:eastAsia="仿宋_GB2312"/>
          <w:sz w:val="32"/>
          <w:szCs w:val="32"/>
        </w:rPr>
        <w:t>派出机构作出电力业务行政许可或承装（修、试）电力设施行政许可决定及许可证变更、有效期延续决定，依法需要听证的，按照有关规定举行听证。</w:t>
      </w:r>
    </w:p>
    <w:p>
      <w:pPr>
        <w:ind w:firstLine="648"/>
        <w:rPr>
          <w:rFonts w:ascii="楷体_GB2312" w:eastAsia="楷体_GB2312"/>
          <w:sz w:val="32"/>
          <w:szCs w:val="32"/>
        </w:rPr>
      </w:pPr>
      <w:r>
        <w:rPr>
          <w:rFonts w:hint="eastAsia" w:ascii="楷体_GB2312" w:eastAsia="楷体_GB2312"/>
          <w:sz w:val="32"/>
          <w:szCs w:val="32"/>
        </w:rPr>
        <w:t>（四）审查结论</w:t>
      </w:r>
    </w:p>
    <w:p>
      <w:pPr>
        <w:ind w:firstLine="648"/>
        <w:rPr>
          <w:rFonts w:ascii="仿宋_GB2312" w:eastAsia="仿宋_GB2312"/>
          <w:sz w:val="32"/>
          <w:szCs w:val="32"/>
        </w:rPr>
      </w:pPr>
      <w:r>
        <w:rPr>
          <w:rFonts w:hint="eastAsia" w:ascii="仿宋_GB2312" w:eastAsia="仿宋_GB2312"/>
          <w:sz w:val="32"/>
          <w:szCs w:val="32"/>
        </w:rPr>
        <w:t xml:space="preserve">本环节审查结论及处理方式包括： </w:t>
      </w:r>
    </w:p>
    <w:p>
      <w:pPr>
        <w:ind w:firstLine="648"/>
        <w:rPr>
          <w:rFonts w:ascii="仿宋_GB2312" w:eastAsia="仿宋_GB2312"/>
          <w:sz w:val="32"/>
          <w:szCs w:val="32"/>
        </w:rPr>
      </w:pPr>
      <w:r>
        <w:rPr>
          <w:rFonts w:hint="eastAsia" w:ascii="仿宋_GB2312" w:eastAsia="仿宋_GB2312"/>
          <w:sz w:val="32"/>
          <w:szCs w:val="32"/>
        </w:rPr>
        <w:t>1.经审查，申请人符合法定条件、标准的，依法作出准予许可决定并出具准予行政许可决定书；</w:t>
      </w:r>
    </w:p>
    <w:p>
      <w:pPr>
        <w:ind w:firstLine="648"/>
        <w:rPr>
          <w:rFonts w:ascii="仿宋_GB2312" w:eastAsia="仿宋_GB2312"/>
          <w:sz w:val="32"/>
          <w:szCs w:val="32"/>
        </w:rPr>
      </w:pPr>
      <w:r>
        <w:rPr>
          <w:rFonts w:hint="eastAsia" w:ascii="仿宋_GB2312" w:eastAsia="仿宋_GB2312"/>
          <w:sz w:val="32"/>
          <w:szCs w:val="32"/>
        </w:rPr>
        <w:t>2.经审查，申请人不符合法定条件、标准的，依法作出不予许可决定并出具不予行政许可决定书。</w:t>
      </w:r>
    </w:p>
    <w:p>
      <w:pPr>
        <w:ind w:firstLine="648"/>
        <w:rPr>
          <w:rFonts w:ascii="楷体_GB2312" w:eastAsia="楷体_GB2312"/>
          <w:sz w:val="32"/>
          <w:szCs w:val="32"/>
        </w:rPr>
      </w:pPr>
      <w:r>
        <w:rPr>
          <w:rFonts w:hint="eastAsia" w:ascii="楷体_GB2312" w:eastAsia="楷体_GB2312"/>
          <w:sz w:val="32"/>
          <w:szCs w:val="32"/>
        </w:rPr>
        <w:t>（五）时限</w:t>
      </w:r>
    </w:p>
    <w:p>
      <w:pPr>
        <w:ind w:firstLine="648"/>
        <w:rPr>
          <w:rFonts w:ascii="仿宋_GB2312" w:eastAsia="仿宋_GB2312"/>
          <w:sz w:val="32"/>
          <w:szCs w:val="32"/>
        </w:rPr>
      </w:pPr>
      <w:r>
        <w:rPr>
          <w:rFonts w:hint="eastAsia" w:ascii="仿宋_GB2312" w:eastAsia="仿宋_GB2312"/>
          <w:sz w:val="32"/>
          <w:szCs w:val="32"/>
        </w:rPr>
        <w:t>对电力业务许可证及承装（修、试）电力设施许可证申领及变更申请，应在受理之日起2</w:t>
      </w:r>
      <w:r>
        <w:rPr>
          <w:rFonts w:ascii="仿宋_GB2312" w:eastAsia="仿宋_GB2312"/>
          <w:sz w:val="32"/>
          <w:szCs w:val="32"/>
        </w:rPr>
        <w:t>0</w:t>
      </w:r>
      <w:r>
        <w:rPr>
          <w:rFonts w:hint="eastAsia" w:ascii="仿宋_GB2312" w:eastAsia="仿宋_GB2312"/>
          <w:sz w:val="32"/>
          <w:szCs w:val="32"/>
        </w:rPr>
        <w:t>日内完成审查并作出许可决定。2</w:t>
      </w:r>
      <w:r>
        <w:rPr>
          <w:rFonts w:ascii="仿宋_GB2312" w:eastAsia="仿宋_GB2312"/>
          <w:sz w:val="32"/>
          <w:szCs w:val="32"/>
        </w:rPr>
        <w:t>0</w:t>
      </w:r>
      <w:r>
        <w:rPr>
          <w:rFonts w:hint="eastAsia" w:ascii="仿宋_GB2312" w:eastAsia="仿宋_GB2312"/>
          <w:sz w:val="32"/>
          <w:szCs w:val="32"/>
        </w:rPr>
        <w:t>日之内不能作出决定的，经派出机构负责人批准，可以延长1</w:t>
      </w:r>
      <w:r>
        <w:rPr>
          <w:rFonts w:ascii="仿宋_GB2312" w:eastAsia="仿宋_GB2312"/>
          <w:sz w:val="32"/>
          <w:szCs w:val="32"/>
        </w:rPr>
        <w:t>0</w:t>
      </w:r>
      <w:r>
        <w:rPr>
          <w:rFonts w:hint="eastAsia" w:ascii="仿宋_GB2312" w:eastAsia="仿宋_GB2312"/>
          <w:sz w:val="32"/>
          <w:szCs w:val="32"/>
        </w:rPr>
        <w:t>日。</w:t>
      </w:r>
    </w:p>
    <w:p>
      <w:pPr>
        <w:ind w:firstLine="648"/>
        <w:rPr>
          <w:rFonts w:ascii="仿宋_GB2312" w:eastAsia="仿宋_GB2312"/>
          <w:sz w:val="32"/>
          <w:szCs w:val="32"/>
        </w:rPr>
      </w:pPr>
      <w:r>
        <w:rPr>
          <w:rFonts w:hint="eastAsia" w:ascii="仿宋_GB2312" w:eastAsia="仿宋_GB2312"/>
          <w:sz w:val="32"/>
          <w:szCs w:val="32"/>
        </w:rPr>
        <w:t>被许可人在许可证有效期届满</w:t>
      </w:r>
      <w:r>
        <w:rPr>
          <w:rFonts w:ascii="仿宋_GB2312" w:eastAsia="仿宋_GB2312"/>
          <w:sz w:val="32"/>
          <w:szCs w:val="32"/>
        </w:rPr>
        <w:t>30</w:t>
      </w:r>
      <w:r>
        <w:rPr>
          <w:rFonts w:hint="eastAsia" w:ascii="仿宋_GB2312" w:eastAsia="仿宋_GB2312"/>
          <w:sz w:val="32"/>
          <w:szCs w:val="32"/>
        </w:rPr>
        <w:t>日前提交延续申请的，除执行上述时限外，还应在有效期届满前作出是否准予延续的决定。逾期未作出决定的，视为同意延续并补办相应手续。</w:t>
      </w:r>
    </w:p>
    <w:p>
      <w:pPr>
        <w:ind w:firstLine="648"/>
        <w:rPr>
          <w:rFonts w:ascii="楷体_GB2312" w:eastAsia="楷体_GB2312"/>
          <w:sz w:val="32"/>
          <w:szCs w:val="32"/>
        </w:rPr>
      </w:pPr>
      <w:r>
        <w:rPr>
          <w:rFonts w:hint="eastAsia" w:ascii="楷体_GB2312" w:eastAsia="楷体_GB2312"/>
          <w:sz w:val="32"/>
          <w:szCs w:val="32"/>
        </w:rPr>
        <w:t>（六）相关文书</w:t>
      </w:r>
    </w:p>
    <w:p>
      <w:pPr>
        <w:ind w:firstLine="648"/>
        <w:rPr>
          <w:rFonts w:ascii="仿宋_GB2312" w:eastAsia="仿宋_GB2312"/>
          <w:sz w:val="32"/>
          <w:szCs w:val="32"/>
        </w:rPr>
      </w:pPr>
      <w:r>
        <w:rPr>
          <w:rFonts w:hint="eastAsia" w:ascii="仿宋_GB2312" w:eastAsia="仿宋_GB2312"/>
          <w:sz w:val="32"/>
          <w:szCs w:val="32"/>
        </w:rPr>
        <w:t>本环节文书包括现场核查通知书，廉政纪律告知书，准予或不予许可、变更、延续决定书。出具现场核查通知书应加盖派出机构行政许可专用印章；出具许可决定书应加盖派出机构印章。</w:t>
      </w:r>
    </w:p>
    <w:p>
      <w:pPr>
        <w:ind w:firstLine="648"/>
        <w:rPr>
          <w:rFonts w:ascii="楷体_GB2312" w:eastAsia="楷体_GB2312"/>
          <w:sz w:val="32"/>
          <w:szCs w:val="32"/>
        </w:rPr>
      </w:pPr>
      <w:r>
        <w:rPr>
          <w:rFonts w:hint="eastAsia" w:ascii="黑体" w:hAnsi="黑体" w:eastAsia="黑体"/>
          <w:sz w:val="32"/>
          <w:szCs w:val="32"/>
        </w:rPr>
        <w:t>三、许可证颁发与归档</w:t>
      </w:r>
    </w:p>
    <w:p>
      <w:pPr>
        <w:ind w:firstLine="648"/>
        <w:rPr>
          <w:rFonts w:ascii="楷体_GB2312" w:eastAsia="楷体_GB2312"/>
          <w:sz w:val="32"/>
          <w:szCs w:val="32"/>
        </w:rPr>
      </w:pPr>
      <w:r>
        <w:rPr>
          <w:rFonts w:hint="eastAsia" w:ascii="楷体_GB2312" w:eastAsia="楷体_GB2312"/>
          <w:sz w:val="32"/>
          <w:szCs w:val="32"/>
        </w:rPr>
        <w:t>（一）办理流程与责任分工</w:t>
      </w:r>
    </w:p>
    <w:p>
      <w:pPr>
        <w:ind w:firstLine="648"/>
        <w:rPr>
          <w:rFonts w:ascii="仿宋_GB2312" w:eastAsia="仿宋_GB2312"/>
          <w:sz w:val="32"/>
          <w:szCs w:val="32"/>
        </w:rPr>
      </w:pPr>
      <w:r>
        <w:rPr>
          <w:rFonts w:hint="eastAsia" w:ascii="仿宋_GB2312" w:eastAsia="仿宋_GB2312"/>
          <w:sz w:val="32"/>
          <w:szCs w:val="32"/>
        </w:rPr>
        <w:t>根据行政许可决定书制作许可证，许可证应加盖派出机构印章；根据申请人意愿，采取现场发放、邮寄等方式向申请人颁发、送达许可证；按照国家能源局有关规定对申请、审查材料及相关文书进行归档。责任人为许可证颁发、归档岗位工作人员。</w:t>
      </w:r>
    </w:p>
    <w:p>
      <w:pPr>
        <w:ind w:firstLine="648"/>
        <w:rPr>
          <w:rFonts w:ascii="楷体_GB2312" w:eastAsia="楷体_GB2312"/>
          <w:sz w:val="32"/>
          <w:szCs w:val="32"/>
        </w:rPr>
      </w:pPr>
      <w:r>
        <w:rPr>
          <w:rFonts w:hint="eastAsia" w:ascii="楷体_GB2312" w:eastAsia="楷体_GB2312"/>
          <w:sz w:val="32"/>
          <w:szCs w:val="32"/>
        </w:rPr>
        <w:t>（二）信息公开</w:t>
      </w:r>
    </w:p>
    <w:p>
      <w:pPr>
        <w:ind w:firstLine="648"/>
        <w:rPr>
          <w:rFonts w:ascii="仿宋_GB2312" w:eastAsia="仿宋_GB2312"/>
          <w:sz w:val="32"/>
          <w:szCs w:val="32"/>
        </w:rPr>
      </w:pPr>
      <w:r>
        <w:rPr>
          <w:rFonts w:hint="eastAsia" w:ascii="仿宋_GB2312" w:eastAsia="仿宋_GB2312"/>
          <w:sz w:val="32"/>
          <w:szCs w:val="32"/>
        </w:rPr>
        <w:t>派出机构作出的准予或不予许可决定，可通过现场、网络、媒体等途径予以公开，供公众查阅。</w:t>
      </w:r>
    </w:p>
    <w:p>
      <w:pPr>
        <w:ind w:firstLine="648"/>
        <w:rPr>
          <w:rFonts w:ascii="楷体_GB2312" w:eastAsia="楷体_GB2312"/>
          <w:sz w:val="32"/>
          <w:szCs w:val="32"/>
        </w:rPr>
      </w:pPr>
      <w:r>
        <w:rPr>
          <w:rFonts w:hint="eastAsia" w:ascii="楷体_GB2312" w:eastAsia="楷体_GB2312"/>
          <w:sz w:val="32"/>
          <w:szCs w:val="32"/>
        </w:rPr>
        <w:t>（三）时限</w:t>
      </w:r>
    </w:p>
    <w:p>
      <w:pPr>
        <w:ind w:firstLine="648"/>
        <w:rPr>
          <w:rFonts w:ascii="仿宋_GB2312" w:eastAsia="仿宋_GB2312"/>
          <w:sz w:val="32"/>
          <w:szCs w:val="32"/>
        </w:rPr>
      </w:pPr>
      <w:r>
        <w:rPr>
          <w:rFonts w:hint="eastAsia" w:ascii="仿宋_GB2312" w:eastAsia="仿宋_GB2312"/>
          <w:sz w:val="32"/>
          <w:szCs w:val="32"/>
        </w:rPr>
        <w:t>颁发、送达许可证时限为作出许可决定之日起1</w:t>
      </w:r>
      <w:r>
        <w:rPr>
          <w:rFonts w:ascii="仿宋_GB2312" w:eastAsia="仿宋_GB2312"/>
          <w:sz w:val="32"/>
          <w:szCs w:val="32"/>
        </w:rPr>
        <w:t>0</w:t>
      </w:r>
      <w:r>
        <w:rPr>
          <w:rFonts w:hint="eastAsia" w:ascii="仿宋_GB2312" w:eastAsia="仿宋_GB2312"/>
          <w:sz w:val="32"/>
          <w:szCs w:val="32"/>
        </w:rPr>
        <w:t>日内。</w:t>
      </w:r>
    </w:p>
    <w:p>
      <w:pPr>
        <w:ind w:firstLine="648"/>
        <w:rPr>
          <w:rFonts w:ascii="黑体" w:hAnsi="黑体" w:eastAsia="黑体"/>
          <w:sz w:val="32"/>
          <w:szCs w:val="32"/>
        </w:rPr>
      </w:pPr>
      <w:r>
        <w:rPr>
          <w:rFonts w:hint="eastAsia" w:ascii="黑体" w:hAnsi="黑体" w:eastAsia="黑体"/>
          <w:sz w:val="32"/>
          <w:szCs w:val="32"/>
        </w:rPr>
        <w:t>四、附则</w:t>
      </w:r>
    </w:p>
    <w:p>
      <w:pPr>
        <w:ind w:firstLine="648"/>
        <w:rPr>
          <w:rFonts w:ascii="仿宋_GB2312" w:eastAsia="仿宋_GB2312"/>
          <w:sz w:val="32"/>
          <w:szCs w:val="32"/>
        </w:rPr>
      </w:pPr>
      <w:r>
        <w:rPr>
          <w:rFonts w:hint="eastAsia" w:ascii="仿宋_GB2312" w:eastAsia="仿宋_GB2312"/>
          <w:sz w:val="32"/>
          <w:szCs w:val="32"/>
        </w:rPr>
        <w:t>（一）派出机构办理电力业务行政许可及承装（修、试）电力设施行政许可不收取费用。</w:t>
      </w:r>
    </w:p>
    <w:p>
      <w:pPr>
        <w:ind w:firstLine="648"/>
        <w:rPr>
          <w:rFonts w:ascii="仿宋_GB2312" w:eastAsia="仿宋_GB2312"/>
          <w:sz w:val="32"/>
          <w:szCs w:val="32"/>
        </w:rPr>
      </w:pPr>
      <w:r>
        <w:rPr>
          <w:rFonts w:hint="eastAsia" w:ascii="仿宋_GB2312" w:eastAsia="仿宋_GB2312"/>
          <w:sz w:val="32"/>
          <w:szCs w:val="32"/>
        </w:rPr>
        <w:t>（二）本规范规定的行政许可期限以工作日计算，不含法定节假日。</w:t>
      </w:r>
    </w:p>
    <w:p>
      <w:pPr>
        <w:ind w:firstLine="648"/>
        <w:rPr>
          <w:rFonts w:ascii="仿宋_GB2312" w:eastAsia="仿宋_GB2312"/>
          <w:sz w:val="32"/>
          <w:szCs w:val="32"/>
        </w:rPr>
      </w:pPr>
      <w:r>
        <w:rPr>
          <w:rFonts w:hint="eastAsia" w:ascii="仿宋_GB2312" w:eastAsia="仿宋_GB2312"/>
          <w:sz w:val="32"/>
          <w:szCs w:val="32"/>
        </w:rPr>
        <w:t>（三）本规范由国家能源局负责解释。</w:t>
      </w:r>
    </w:p>
    <w:p>
      <w:pPr>
        <w:ind w:firstLine="648"/>
        <w:rPr>
          <w:rFonts w:ascii="仿宋_GB2312" w:eastAsia="仿宋_GB2312"/>
          <w:sz w:val="32"/>
          <w:szCs w:val="32"/>
        </w:rPr>
      </w:pPr>
      <w:r>
        <w:rPr>
          <w:rFonts w:hint="eastAsia" w:ascii="仿宋_GB2312" w:eastAsia="仿宋_GB2312"/>
          <w:sz w:val="32"/>
          <w:szCs w:val="32"/>
        </w:rPr>
        <w:t>（四）本规范自</w:t>
      </w:r>
      <w:r>
        <w:rPr>
          <w:rFonts w:ascii="仿宋_GB2312" w:eastAsia="仿宋_GB2312"/>
          <w:sz w:val="32"/>
          <w:szCs w:val="32"/>
        </w:rPr>
        <w:t>2017</w:t>
      </w:r>
      <w:r>
        <w:rPr>
          <w:rFonts w:hint="eastAsia" w:ascii="仿宋_GB2312" w:eastAsia="仿宋_GB2312"/>
          <w:sz w:val="32"/>
          <w:szCs w:val="32"/>
        </w:rPr>
        <w:t>年5月3日起施行。</w:t>
      </w:r>
    </w:p>
    <w:p>
      <w:pPr>
        <w:ind w:firstLine="648"/>
        <w:rPr>
          <w:rFonts w:ascii="仿宋_GB2312" w:eastAsia="仿宋_GB2312"/>
          <w:sz w:val="32"/>
          <w:szCs w:val="32"/>
        </w:rPr>
      </w:pPr>
    </w:p>
    <w:p>
      <w:pPr>
        <w:ind w:firstLine="640" w:firstLineChars="200"/>
        <w:rPr>
          <w:rFonts w:ascii="仿宋_GB2312" w:eastAsia="仿宋_GB2312"/>
          <w:sz w:val="32"/>
          <w:szCs w:val="32"/>
        </w:rPr>
      </w:pPr>
      <w:r>
        <w:rPr>
          <w:rFonts w:ascii="仿宋_GB2312" w:eastAsia="仿宋_GB2312"/>
          <w:sz w:val="32"/>
          <w:szCs w:val="32"/>
        </w:rPr>
        <w:t>附</w:t>
      </w:r>
      <w:r>
        <w:rPr>
          <w:rFonts w:hint="eastAsia" w:ascii="仿宋_GB2312" w:eastAsia="仿宋_GB2312"/>
          <w:sz w:val="32"/>
          <w:szCs w:val="32"/>
        </w:rPr>
        <w:t>录：</w:t>
      </w:r>
      <w:r>
        <w:rPr>
          <w:rFonts w:hint="eastAsia" w:ascii="仿宋_GB2312" w:eastAsia="仿宋_GB2312"/>
          <w:sz w:val="32"/>
          <w:szCs w:val="32"/>
        </w:rPr>
        <w:tab/>
      </w:r>
      <w:r>
        <w:rPr>
          <w:rFonts w:hint="eastAsia" w:ascii="仿宋_GB2312" w:eastAsia="仿宋_GB2312"/>
          <w:sz w:val="32"/>
          <w:szCs w:val="32"/>
        </w:rPr>
        <w:t>1.行政许可受理单</w:t>
      </w:r>
    </w:p>
    <w:p>
      <w:pPr>
        <w:ind w:left="1040" w:firstLine="640" w:firstLineChars="200"/>
        <w:rPr>
          <w:rFonts w:ascii="仿宋_GB2312" w:eastAsia="仿宋_GB2312"/>
          <w:sz w:val="32"/>
          <w:szCs w:val="32"/>
        </w:rPr>
      </w:pPr>
      <w:r>
        <w:rPr>
          <w:rFonts w:hint="eastAsia" w:ascii="仿宋_GB2312" w:eastAsia="仿宋_GB2312"/>
          <w:sz w:val="32"/>
          <w:szCs w:val="32"/>
        </w:rPr>
        <w:t>2.行政许可材料补正告知书</w:t>
      </w:r>
    </w:p>
    <w:p>
      <w:pPr>
        <w:ind w:left="1260" w:firstLine="420"/>
        <w:rPr>
          <w:rFonts w:ascii="仿宋_GB2312" w:eastAsia="仿宋_GB2312"/>
          <w:sz w:val="32"/>
          <w:szCs w:val="32"/>
        </w:rPr>
      </w:pPr>
      <w:r>
        <w:rPr>
          <w:rFonts w:hint="eastAsia" w:ascii="仿宋_GB2312" w:eastAsia="仿宋_GB2312"/>
          <w:sz w:val="32"/>
          <w:szCs w:val="32"/>
        </w:rPr>
        <w:t>3.不予受理行政许可决定书</w:t>
      </w:r>
    </w:p>
    <w:p>
      <w:pPr>
        <w:ind w:left="1260" w:firstLine="420"/>
        <w:rPr>
          <w:rFonts w:ascii="仿宋_GB2312" w:eastAsia="仿宋_GB2312"/>
          <w:sz w:val="32"/>
          <w:szCs w:val="32"/>
        </w:rPr>
      </w:pPr>
      <w:r>
        <w:rPr>
          <w:rFonts w:hint="eastAsia" w:ascii="仿宋_GB2312" w:eastAsia="仿宋_GB2312"/>
          <w:sz w:val="32"/>
          <w:szCs w:val="32"/>
        </w:rPr>
        <w:t>4.现场核查通知书</w:t>
      </w:r>
    </w:p>
    <w:p>
      <w:pPr>
        <w:ind w:left="1260" w:firstLine="420"/>
        <w:rPr>
          <w:rFonts w:ascii="仿宋_GB2312" w:eastAsia="仿宋_GB2312"/>
          <w:sz w:val="32"/>
          <w:szCs w:val="32"/>
        </w:rPr>
      </w:pPr>
      <w:r>
        <w:rPr>
          <w:rFonts w:hint="eastAsia" w:ascii="仿宋_GB2312" w:eastAsia="仿宋_GB2312"/>
          <w:sz w:val="32"/>
          <w:szCs w:val="32"/>
        </w:rPr>
        <w:t>5.廉洁纪律告知书</w:t>
      </w:r>
    </w:p>
    <w:p>
      <w:pPr>
        <w:ind w:left="1260" w:firstLine="42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.准予行政许可决定书</w:t>
      </w:r>
    </w:p>
    <w:p>
      <w:pPr>
        <w:ind w:left="1260" w:firstLine="42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.不予行政许可决定书</w:t>
      </w:r>
    </w:p>
    <w:p>
      <w:pPr>
        <w:ind w:left="1260" w:firstLine="42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.准予变更行政许可决定书</w:t>
      </w:r>
    </w:p>
    <w:p>
      <w:pPr>
        <w:ind w:left="1260" w:firstLine="42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.不予变更行政许可决定书</w:t>
      </w:r>
    </w:p>
    <w:p>
      <w:pPr>
        <w:ind w:left="1260" w:firstLine="42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.准予延续行政许可决定书</w:t>
      </w:r>
    </w:p>
    <w:p>
      <w:pPr>
        <w:ind w:left="1260" w:firstLine="42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.不予延续行政许可决定书</w:t>
      </w:r>
    </w:p>
    <w:p>
      <w:pPr>
        <w:jc w:val="left"/>
        <w:rPr>
          <w:rFonts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附录1</w:t>
      </w:r>
      <w:r>
        <w:rPr>
          <w:rFonts w:ascii="黑体" w:hAnsi="黑体" w:eastAsia="黑体"/>
          <w:sz w:val="32"/>
          <w:szCs w:val="32"/>
        </w:rPr>
        <w:t xml:space="preserve"> </w:t>
      </w:r>
    </w:p>
    <w:p>
      <w:pPr>
        <w:adjustRightInd w:val="0"/>
        <w:snapToGrid w:val="0"/>
        <w:spacing w:before="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行政许可受理单</w:t>
      </w:r>
    </w:p>
    <w:p>
      <w:pPr>
        <w:adjustRightInd w:val="0"/>
        <w:snapToGrid w:val="0"/>
        <w:spacing w:before="240" w:line="600" w:lineRule="exact"/>
        <w:ind w:right="1123"/>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受理单号：</w:t>
      </w:r>
    </w:p>
    <w:p>
      <w:pPr>
        <w:rPr>
          <w:rFonts w:ascii="仿宋_GB2312" w:eastAsia="仿宋_GB2312"/>
          <w:sz w:val="32"/>
          <w:szCs w:val="32"/>
        </w:rPr>
      </w:pPr>
      <w:r>
        <w:rPr>
          <w:rFonts w:hint="eastAsia" w:ascii="仿宋_GB2312" w:eastAsia="仿宋_GB2312"/>
          <w:sz w:val="32"/>
          <w:szCs w:val="32"/>
        </w:rPr>
        <w:t>×××（公司）：</w:t>
      </w:r>
    </w:p>
    <w:p>
      <w:pPr>
        <w:ind w:firstLine="648"/>
        <w:rPr>
          <w:rFonts w:ascii="仿宋_GB2312" w:eastAsia="仿宋_GB2312"/>
          <w:sz w:val="32"/>
          <w:szCs w:val="32"/>
        </w:rPr>
      </w:pPr>
      <w:r>
        <w:rPr>
          <w:rFonts w:hint="eastAsia" w:ascii="仿宋_GB2312" w:hAnsi="仿宋" w:eastAsia="仿宋_GB2312"/>
          <w:sz w:val="32"/>
          <w:szCs w:val="32"/>
        </w:rPr>
        <w:t>你（单位）向本机构提出的××××××××××××××××行政许可申请，经审查，所提交申请材料</w:t>
      </w:r>
      <w:r>
        <w:rPr>
          <w:rFonts w:hint="eastAsia" w:ascii="仿宋_GB2312" w:eastAsia="仿宋_GB2312"/>
          <w:sz w:val="32"/>
          <w:szCs w:val="32"/>
        </w:rPr>
        <w:t>齐全，符合法定形式，根据《××××》第×条的规定，决定受理。</w:t>
      </w:r>
    </w:p>
    <w:p>
      <w:pPr>
        <w:adjustRightInd w:val="0"/>
        <w:snapToGrid w:val="0"/>
        <w:spacing w:line="240" w:lineRule="atLeast"/>
        <w:jc w:val="left"/>
        <w:rPr>
          <w:rFonts w:ascii="方正仿宋简体" w:hAnsi="宋体" w:eastAsia="方正仿宋简体" w:cs="方正仿宋简体"/>
          <w:sz w:val="24"/>
        </w:rPr>
      </w:pPr>
      <w:r>
        <w:rPr>
          <w:rFonts w:hint="eastAsia" w:ascii="方正仿宋简体" w:hAnsi="宋体" w:eastAsia="方正仿宋简体" w:cs="方正仿宋简体"/>
          <w:sz w:val="24"/>
        </w:rPr>
        <w:t xml:space="preserve">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adjustRightInd w:val="0"/>
        <w:snapToGrid w:val="0"/>
        <w:spacing w:line="600" w:lineRule="exact"/>
        <w:jc w:val="left"/>
        <w:rPr>
          <w:rFonts w:ascii="仿宋_GB2312" w:hAnsi="仿宋" w:eastAsia="仿宋_GB2312" w:cs="方正仿宋简体"/>
          <w:sz w:val="32"/>
          <w:szCs w:val="32"/>
        </w:rPr>
      </w:pPr>
    </w:p>
    <w:p>
      <w:pPr>
        <w:adjustRightInd w:val="0"/>
        <w:snapToGrid w:val="0"/>
        <w:spacing w:line="600" w:lineRule="exact"/>
        <w:jc w:val="left"/>
        <w:rPr>
          <w:rFonts w:ascii="仿宋_GB2312" w:hAnsi="仿宋" w:eastAsia="仿宋_GB2312" w:cs="方正仿宋简体"/>
          <w:sz w:val="32"/>
          <w:szCs w:val="32"/>
        </w:rPr>
      </w:pPr>
    </w:p>
    <w:p>
      <w:pPr>
        <w:adjustRightInd w:val="0"/>
        <w:snapToGrid w:val="0"/>
        <w:spacing w:line="600" w:lineRule="exact"/>
        <w:jc w:val="left"/>
        <w:rPr>
          <w:rFonts w:ascii="仿宋_GB2312" w:hAnsi="仿宋" w:eastAsia="仿宋_GB2312" w:cs="方正仿宋简体"/>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×××（派出机构名称）行政许可专用印章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p>
    <w:p>
      <w:pPr>
        <w:spacing w:line="600" w:lineRule="exact"/>
        <w:ind w:firstLine="640" w:firstLineChars="200"/>
        <w:rPr>
          <w:rFonts w:ascii="仿宋_GB2312" w:hAnsi="仿宋" w:eastAsia="仿宋_GB2312" w:cs="方正仿宋简体"/>
          <w:sz w:val="32"/>
          <w:szCs w:val="32"/>
        </w:rPr>
      </w:pPr>
    </w:p>
    <w:p>
      <w:pPr>
        <w:jc w:val="left"/>
        <w:rPr>
          <w:rFonts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附录</w:t>
      </w:r>
      <w:r>
        <w:rPr>
          <w:rFonts w:ascii="黑体" w:hAnsi="黑体" w:eastAsia="黑体"/>
          <w:sz w:val="32"/>
          <w:szCs w:val="32"/>
        </w:rPr>
        <w:t xml:space="preserve">2 </w:t>
      </w:r>
    </w:p>
    <w:p>
      <w:pPr>
        <w:spacing w:before="240"/>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行政许可材料补正告知书</w:t>
      </w:r>
    </w:p>
    <w:p>
      <w:pPr>
        <w:adjustRightInd w:val="0"/>
        <w:snapToGrid w:val="0"/>
        <w:spacing w:beforeLines="100" w:afterLines="100" w:line="600" w:lineRule="exact"/>
        <w:ind w:right="1120"/>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p>
      <w:pPr>
        <w:rPr>
          <w:rFonts w:ascii="仿宋_GB2312" w:eastAsia="仿宋_GB2312"/>
          <w:sz w:val="32"/>
          <w:szCs w:val="32"/>
        </w:rPr>
      </w:pPr>
      <w:r>
        <w:rPr>
          <w:rFonts w:hint="eastAsia" w:ascii="仿宋_GB2312" w:eastAsia="仿宋_GB2312"/>
          <w:sz w:val="32"/>
          <w:szCs w:val="32"/>
        </w:rPr>
        <w:t>×××（公司）：</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你（单位）向本机构提出的××××××××××××××××行政许可申请，经审查，所提交申请材料不</w:t>
      </w:r>
      <w:r>
        <w:rPr>
          <w:rFonts w:hint="eastAsia" w:ascii="仿宋_GB2312" w:eastAsia="仿宋_GB2312"/>
          <w:sz w:val="32"/>
          <w:szCs w:val="32"/>
        </w:rPr>
        <w:t>齐全</w:t>
      </w:r>
      <w:r>
        <w:rPr>
          <w:rFonts w:hint="eastAsia" w:ascii="仿宋_GB2312" w:hAnsi="仿宋" w:eastAsia="仿宋_GB2312"/>
          <w:sz w:val="32"/>
          <w:szCs w:val="32"/>
        </w:rPr>
        <w:t>（或不符合法定形式要求），暂不能受理。根据《×××××》第×条的规定，现告知你（单位）向本机构提交下列补正材料：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1.××××××××××××××××××××××××××××××（原件/复印件，一式×份）；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2.××××××××××××××××××××××××××××××（原件/复印件，一式×份）；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 ××××××××××××××××××××××××××××××（原件/复印件，一式×份）；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p>
    <w:p>
      <w:pPr>
        <w:spacing w:line="600" w:lineRule="exact"/>
        <w:rPr>
          <w:rFonts w:ascii="仿宋_GB2312" w:hAnsi="仿宋" w:eastAsia="仿宋_GB2312"/>
          <w:sz w:val="32"/>
          <w:szCs w:val="32"/>
        </w:rPr>
      </w:pPr>
      <w:r>
        <w:rPr>
          <w:rFonts w:hint="eastAsia" w:ascii="仿宋_GB2312" w:hAnsi="仿宋" w:eastAsia="仿宋_GB2312"/>
          <w:sz w:val="32"/>
          <w:szCs w:val="32"/>
        </w:rPr>
        <w:t xml:space="preserve">   请你（单位）按要求补充齐全或者更正上述材料后，及时向我机构提交。</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×××（派出机构名称）行政许可专用印章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spacing w:line="600" w:lineRule="exact"/>
        <w:ind w:firstLine="4960" w:firstLineChars="1550"/>
        <w:rPr>
          <w:rFonts w:ascii="仿宋_GB2312" w:eastAsia="仿宋_GB2312"/>
          <w:sz w:val="32"/>
          <w:szCs w:val="32"/>
        </w:rPr>
      </w:pPr>
    </w:p>
    <w:p>
      <w:pPr>
        <w:jc w:val="left"/>
        <w:rPr>
          <w:rFonts w:ascii="黑体" w:hAnsi="黑体" w:eastAsia="黑体"/>
          <w:sz w:val="32"/>
          <w:szCs w:val="32"/>
        </w:rPr>
      </w:pPr>
      <w:r>
        <w:br w:type="page"/>
      </w:r>
      <w:r>
        <w:rPr>
          <w:rFonts w:hint="eastAsia" w:ascii="黑体" w:hAnsi="黑体" w:eastAsia="黑体"/>
          <w:sz w:val="32"/>
          <w:szCs w:val="32"/>
        </w:rPr>
        <w:t>附录</w:t>
      </w:r>
      <w:r>
        <w:rPr>
          <w:rFonts w:ascii="黑体" w:hAnsi="黑体" w:eastAsia="黑体"/>
          <w:sz w:val="32"/>
          <w:szCs w:val="32"/>
        </w:rPr>
        <w:t xml:space="preserve">3 </w:t>
      </w:r>
    </w:p>
    <w:p>
      <w:pPr>
        <w:spacing w:before="240"/>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after="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不予受理行政许可决定书</w:t>
      </w:r>
    </w:p>
    <w:p>
      <w:pPr>
        <w:adjustRightInd w:val="0"/>
        <w:snapToGrid w:val="0"/>
        <w:spacing w:beforeLines="100" w:afterLines="100" w:line="600" w:lineRule="exact"/>
        <w:ind w:right="1120"/>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p>
      <w:pPr>
        <w:pStyle w:val="7"/>
        <w:spacing w:line="600" w:lineRule="exact"/>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MERGEFIELD "单位名称" </w:instrText>
      </w:r>
      <w:r>
        <w:rPr>
          <w:rFonts w:hint="eastAsia" w:ascii="仿宋_GB2312" w:hAnsi="仿宋" w:eastAsia="仿宋_GB2312"/>
          <w:sz w:val="32"/>
          <w:szCs w:val="32"/>
        </w:rPr>
        <w:fldChar w:fldCharType="separate"/>
      </w:r>
      <w:r>
        <w:rPr>
          <w:rFonts w:hint="eastAsia" w:ascii="仿宋_GB2312" w:hAnsi="仿宋" w:eastAsia="仿宋_GB2312" w:cs="方正仿宋简体"/>
          <w:sz w:val="32"/>
          <w:szCs w:val="32"/>
        </w:rPr>
        <w:t>×××（</w:t>
      </w:r>
      <w:r>
        <w:rPr>
          <w:rFonts w:hint="eastAsia" w:ascii="仿宋_GB2312" w:hAnsi="仿宋" w:eastAsia="仿宋_GB2312"/>
          <w:sz w:val="32"/>
          <w:szCs w:val="32"/>
        </w:rPr>
        <w:t>公司</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你（单位）向本机构提出的××××××××××××××××行政许可申请，经审查，该申请事项依法不属于本机构的职权范围，根据《中华人民共和国行政许可法》第三十二条的规定，决定不予受理。</w:t>
      </w:r>
    </w:p>
    <w:p>
      <w:pPr>
        <w:spacing w:line="600" w:lineRule="exact"/>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ind w:firstLine="1600" w:firstLineChars="500"/>
        <w:jc w:val="right"/>
        <w:rPr>
          <w:rFonts w:ascii="仿宋_GB2312" w:hAnsi="仿宋" w:eastAsia="仿宋_GB2312"/>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×××（派出机构名称）行政许可专用印章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jc w:val="left"/>
        <w:rPr>
          <w:rFonts w:ascii="黑体" w:hAnsi="黑体" w:eastAsia="黑体"/>
          <w:sz w:val="32"/>
          <w:szCs w:val="32"/>
        </w:rPr>
      </w:pP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r>
        <w:rPr>
          <w:rFonts w:ascii="仿宋_GB2312" w:eastAsia="仿宋_GB2312"/>
          <w:sz w:val="32"/>
          <w:szCs w:val="32"/>
        </w:rPr>
        <w:br w:type="page"/>
      </w:r>
      <w:r>
        <w:rPr>
          <w:rFonts w:hint="eastAsia" w:ascii="黑体" w:hAnsi="黑体" w:eastAsia="黑体"/>
          <w:sz w:val="32"/>
          <w:szCs w:val="32"/>
        </w:rPr>
        <w:t>附录4</w:t>
      </w:r>
    </w:p>
    <w:p>
      <w:pPr>
        <w:adjustRightInd w:val="0"/>
        <w:snapToGrid w:val="0"/>
        <w:spacing w:before="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现场核查通知书</w:t>
      </w:r>
    </w:p>
    <w:p>
      <w:pPr>
        <w:adjustRightInd w:val="0"/>
        <w:snapToGrid w:val="0"/>
        <w:spacing w:beforeLines="100" w:afterLines="100" w:line="600" w:lineRule="exact"/>
        <w:ind w:right="1120"/>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p>
      <w:pPr>
        <w:pStyle w:val="7"/>
        <w:spacing w:line="600" w:lineRule="exact"/>
        <w:rPr>
          <w:rFonts w:ascii="仿宋_GB2312" w:hAnsi="仿宋" w:eastAsia="仿宋_GB2312"/>
          <w:sz w:val="32"/>
          <w:szCs w:val="32"/>
        </w:rPr>
      </w:pPr>
      <w:r>
        <w:rPr>
          <w:rFonts w:hint="eastAsia" w:ascii="仿宋_GB2312" w:hAnsi="仿宋" w:eastAsia="仿宋_GB2312"/>
          <w:sz w:val="32"/>
          <w:szCs w:val="32"/>
        </w:rPr>
        <w:fldChar w:fldCharType="begin"/>
      </w:r>
      <w:r>
        <w:rPr>
          <w:rFonts w:ascii="仿宋_GB2312" w:hAnsi="仿宋" w:eastAsia="仿宋_GB2312"/>
          <w:sz w:val="32"/>
          <w:szCs w:val="32"/>
        </w:rPr>
        <w:instrText xml:space="preserve"> MERGEFIELD "单位名称" </w:instrText>
      </w:r>
      <w:r>
        <w:rPr>
          <w:rFonts w:hint="eastAsia" w:ascii="仿宋_GB2312" w:hAnsi="仿宋" w:eastAsia="仿宋_GB2312"/>
          <w:sz w:val="32"/>
          <w:szCs w:val="32"/>
        </w:rPr>
        <w:fldChar w:fldCharType="separate"/>
      </w:r>
      <w:r>
        <w:rPr>
          <w:rFonts w:hint="eastAsia" w:ascii="仿宋_GB2312" w:hAnsi="仿宋" w:eastAsia="仿宋_GB2312" w:cs="方正仿宋简体"/>
          <w:sz w:val="32"/>
          <w:szCs w:val="32"/>
        </w:rPr>
        <w:t>×××（</w:t>
      </w:r>
      <w:r>
        <w:rPr>
          <w:rFonts w:hint="eastAsia" w:ascii="仿宋_GB2312" w:hAnsi="仿宋" w:eastAsia="仿宋_GB2312"/>
          <w:sz w:val="32"/>
          <w:szCs w:val="32"/>
        </w:rPr>
        <w:t>公司</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pStyle w:val="37"/>
        <w:widowControl w:val="0"/>
        <w:ind w:firstLine="600"/>
        <w:rPr>
          <w:rFonts w:ascii="仿宋_GB2312" w:hAnsi="仿宋" w:eastAsia="仿宋_GB2312"/>
          <w:sz w:val="32"/>
          <w:szCs w:val="32"/>
        </w:rPr>
      </w:pPr>
      <w:r>
        <w:rPr>
          <w:rFonts w:hint="eastAsia" w:ascii="仿宋_GB2312" w:hAnsi="仿宋" w:eastAsia="仿宋_GB2312"/>
          <w:sz w:val="32"/>
          <w:szCs w:val="32"/>
        </w:rPr>
        <w:t>你（单位）向本机构提出的××××××××××××××××行政许可申请，经审查，认为需要对申请材料的有关内容进行核实。根据《×××××》第×条的规定，决定于××年×月×日起对你单位进行现场核查，核查内容包括：</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p>
    <w:p>
      <w:pPr>
        <w:pStyle w:val="37"/>
        <w:widowControl w:val="0"/>
        <w:ind w:firstLine="600"/>
        <w:rPr>
          <w:rFonts w:ascii="仿宋_GB2312" w:hAnsi="仿宋" w:eastAsia="仿宋_GB2312"/>
          <w:sz w:val="32"/>
          <w:szCs w:val="32"/>
        </w:rPr>
      </w:pPr>
      <w:r>
        <w:rPr>
          <w:rFonts w:hint="eastAsia" w:ascii="仿宋_GB2312" w:hAnsi="仿宋" w:eastAsia="仿宋_GB2312"/>
          <w:sz w:val="32"/>
          <w:szCs w:val="32"/>
        </w:rPr>
        <w:t>请你单位指定联系人，准备相关材料，协助和配合开展核查工作。核查期间，应严格执行中央“八项规定”和廉政建设的要求，依法依规，实事求是，完成各项核查任务。</w:t>
      </w:r>
    </w:p>
    <w:p>
      <w:pPr>
        <w:pStyle w:val="37"/>
        <w:widowControl w:val="0"/>
        <w:ind w:firstLine="6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pStyle w:val="37"/>
        <w:widowControl w:val="0"/>
        <w:ind w:firstLine="600"/>
        <w:rPr>
          <w:rFonts w:ascii="仿宋_GB2312" w:hAnsi="仿宋" w:eastAsia="仿宋_GB2312"/>
          <w:sz w:val="32"/>
          <w:szCs w:val="32"/>
        </w:rPr>
      </w:pPr>
    </w:p>
    <w:p>
      <w:pPr>
        <w:pStyle w:val="37"/>
        <w:widowControl w:val="0"/>
        <w:ind w:firstLine="600"/>
        <w:rPr>
          <w:rFonts w:ascii="仿宋_GB2312" w:hAnsi="仿宋" w:eastAsia="仿宋_GB2312"/>
          <w:sz w:val="32"/>
          <w:szCs w:val="32"/>
        </w:rPr>
      </w:pPr>
    </w:p>
    <w:p>
      <w:pPr>
        <w:adjustRightInd w:val="0"/>
        <w:snapToGrid w:val="0"/>
        <w:spacing w:line="600" w:lineRule="exact"/>
        <w:jc w:val="right"/>
        <w:rPr>
          <w:rFonts w:ascii="仿宋_GB2312" w:eastAsia="仿宋_GB2312"/>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×××（派出机构名称）行政许可专用印章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方正小标宋简体" w:hAnsi="宋体" w:eastAsia="方正小标宋简体" w:cs="方正黑体简体"/>
          <w:sz w:val="36"/>
          <w:szCs w:val="32"/>
        </w:rPr>
      </w:pP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jc w:val="left"/>
        <w:rPr>
          <w:rFonts w:ascii="黑体" w:hAnsi="黑体" w:eastAsia="黑体"/>
          <w:sz w:val="32"/>
          <w:szCs w:val="32"/>
        </w:rPr>
      </w:pPr>
      <w:r>
        <w:rPr>
          <w:rFonts w:ascii="方正小标宋简体" w:hAnsi="宋体" w:eastAsia="方正小标宋简体" w:cs="方正黑体简体"/>
          <w:sz w:val="36"/>
          <w:szCs w:val="32"/>
        </w:rPr>
        <w:br w:type="page"/>
      </w:r>
      <w:r>
        <w:rPr>
          <w:rFonts w:hint="eastAsia" w:ascii="黑体" w:hAnsi="黑体" w:eastAsia="黑体"/>
          <w:sz w:val="32"/>
          <w:szCs w:val="32"/>
        </w:rPr>
        <w:t>附录</w:t>
      </w:r>
      <w:r>
        <w:rPr>
          <w:rFonts w:ascii="黑体" w:hAnsi="黑体" w:eastAsia="黑体"/>
          <w:sz w:val="32"/>
          <w:szCs w:val="32"/>
        </w:rPr>
        <w:t>5</w:t>
      </w:r>
    </w:p>
    <w:p>
      <w:pPr>
        <w:adjustRightInd w:val="0"/>
        <w:snapToGrid w:val="0"/>
        <w:spacing w:before="240" w:after="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廉洁纪律告知书</w:t>
      </w:r>
    </w:p>
    <w:p>
      <w:pPr>
        <w:pStyle w:val="7"/>
        <w:spacing w:line="600" w:lineRule="exact"/>
        <w:rPr>
          <w:rFonts w:ascii="仿宋_GB2312" w:hAnsi="仿宋" w:eastAsia="仿宋_GB2312"/>
          <w:sz w:val="32"/>
          <w:szCs w:val="32"/>
        </w:rPr>
      </w:pPr>
      <w:r>
        <w:rPr>
          <w:rFonts w:hint="eastAsia" w:ascii="仿宋_GB2312" w:hAnsi="仿宋" w:eastAsia="仿宋_GB2312"/>
          <w:sz w:val="32"/>
          <w:szCs w:val="32"/>
        </w:rPr>
        <w:fldChar w:fldCharType="begin"/>
      </w:r>
      <w:r>
        <w:rPr>
          <w:rFonts w:ascii="仿宋_GB2312" w:hAnsi="仿宋" w:eastAsia="仿宋_GB2312"/>
          <w:sz w:val="32"/>
          <w:szCs w:val="32"/>
        </w:rPr>
        <w:instrText xml:space="preserve"> MERGEFIELD "单位名称" </w:instrText>
      </w:r>
      <w:r>
        <w:rPr>
          <w:rFonts w:hint="eastAsia" w:ascii="仿宋_GB2312" w:hAnsi="仿宋" w:eastAsia="仿宋_GB2312"/>
          <w:sz w:val="32"/>
          <w:szCs w:val="32"/>
        </w:rPr>
        <w:fldChar w:fldCharType="separate"/>
      </w:r>
      <w:r>
        <w:rPr>
          <w:rFonts w:hint="eastAsia" w:ascii="仿宋_GB2312" w:hAnsi="仿宋" w:eastAsia="仿宋_GB2312" w:cs="方正仿宋简体"/>
          <w:sz w:val="32"/>
          <w:szCs w:val="32"/>
        </w:rPr>
        <w:t>×××（</w:t>
      </w:r>
      <w:r>
        <w:rPr>
          <w:rFonts w:hint="eastAsia" w:ascii="仿宋_GB2312" w:hAnsi="仿宋" w:eastAsia="仿宋_GB2312"/>
          <w:sz w:val="32"/>
          <w:szCs w:val="32"/>
        </w:rPr>
        <w:t>公司</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pStyle w:val="7"/>
        <w:spacing w:line="600" w:lineRule="exact"/>
        <w:ind w:firstLine="640"/>
        <w:rPr>
          <w:rFonts w:ascii="仿宋_GB2312" w:eastAsia="仿宋_GB2312"/>
          <w:sz w:val="32"/>
          <w:szCs w:val="32"/>
        </w:rPr>
      </w:pPr>
      <w:r>
        <w:rPr>
          <w:rFonts w:hint="eastAsia" w:ascii="仿宋_GB2312" w:hAnsi="仿宋" w:eastAsia="仿宋_GB2312" w:cs="方正仿宋简体"/>
          <w:sz w:val="32"/>
          <w:szCs w:val="32"/>
        </w:rPr>
        <w:t>为加强国家能源局</w:t>
      </w:r>
      <w:r>
        <w:rPr>
          <w:rFonts w:hint="eastAsia" w:ascii="仿宋_GB2312" w:eastAsia="仿宋_GB2312"/>
          <w:sz w:val="32"/>
          <w:szCs w:val="32"/>
        </w:rPr>
        <w:t>×××（派出机构名称）</w:t>
      </w:r>
      <w:r>
        <w:rPr>
          <w:rFonts w:hint="eastAsia" w:ascii="仿宋_GB2312" w:hAnsi="仿宋" w:eastAsia="仿宋_GB2312" w:cs="方正仿宋简体"/>
          <w:sz w:val="32"/>
          <w:szCs w:val="32"/>
        </w:rPr>
        <w:t>廉政作风建设，进一步提高依法行政能力和管理服务水平，现将现场核查人员</w:t>
      </w:r>
      <w:r>
        <w:rPr>
          <w:rFonts w:hint="eastAsia" w:ascii="仿宋_GB2312" w:eastAsia="仿宋_GB2312"/>
          <w:sz w:val="32"/>
          <w:szCs w:val="32"/>
        </w:rPr>
        <w:t>廉政纪律告知如下，请监督执行。</w:t>
      </w:r>
    </w:p>
    <w:p>
      <w:pPr>
        <w:pStyle w:val="7"/>
        <w:spacing w:line="600" w:lineRule="exact"/>
        <w:ind w:firstLine="640"/>
        <w:rPr>
          <w:rFonts w:ascii="仿宋_GB2312" w:eastAsia="仿宋_GB2312"/>
          <w:sz w:val="32"/>
          <w:szCs w:val="32"/>
        </w:rPr>
      </w:pPr>
      <w:r>
        <w:rPr>
          <w:rFonts w:hint="eastAsia" w:ascii="仿宋_GB2312" w:eastAsia="仿宋_GB2312"/>
          <w:sz w:val="32"/>
          <w:szCs w:val="32"/>
        </w:rPr>
        <w:t>1.不准接受监管对象的礼金、礼品和各种有价证券、支付凭证等。</w:t>
      </w:r>
    </w:p>
    <w:p>
      <w:pPr>
        <w:pStyle w:val="7"/>
        <w:spacing w:line="600" w:lineRule="exact"/>
        <w:ind w:firstLine="640"/>
        <w:rPr>
          <w:rFonts w:ascii="仿宋_GB2312" w:eastAsia="仿宋_GB2312"/>
          <w:sz w:val="32"/>
          <w:szCs w:val="32"/>
        </w:rPr>
      </w:pPr>
      <w:r>
        <w:rPr>
          <w:rFonts w:hint="eastAsia" w:ascii="仿宋_GB2312" w:eastAsia="仿宋_GB2312"/>
          <w:sz w:val="32"/>
          <w:szCs w:val="32"/>
        </w:rPr>
        <w:t>2.不准利用职务之便，为个人、亲属及其他相关人员谋取利益。</w:t>
      </w:r>
    </w:p>
    <w:p>
      <w:pPr>
        <w:pStyle w:val="7"/>
        <w:spacing w:line="60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.不准用公款报销或由监管对象支付应由个人支付的费用。</w:t>
      </w:r>
    </w:p>
    <w:p>
      <w:pPr>
        <w:pStyle w:val="7"/>
        <w:spacing w:line="600" w:lineRule="exact"/>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.不准接受监管对象的宴请，出入营业性歌舞厅、夜总会等娱乐场所。</w:t>
      </w:r>
    </w:p>
    <w:p>
      <w:pPr>
        <w:pStyle w:val="7"/>
        <w:spacing w:line="600" w:lineRule="exact"/>
        <w:ind w:firstLine="64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.不准违规受理各类业务申请或设置审批障碍。</w:t>
      </w:r>
    </w:p>
    <w:p>
      <w:pPr>
        <w:pStyle w:val="7"/>
        <w:spacing w:line="600" w:lineRule="exact"/>
        <w:ind w:firstLine="64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.不准出于私利迟报、漏报、瞒报或弱化监管对象存在的问题。</w:t>
      </w:r>
    </w:p>
    <w:p>
      <w:pPr>
        <w:pStyle w:val="7"/>
        <w:spacing w:line="600" w:lineRule="exact"/>
        <w:ind w:firstLine="64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不准在实施各类监管过程中故意夸大或缩小案情，跑风漏气、泄露案情。</w:t>
      </w:r>
    </w:p>
    <w:p>
      <w:pPr>
        <w:pStyle w:val="7"/>
        <w:spacing w:line="600" w:lineRule="exact"/>
        <w:ind w:firstLine="64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.不准违规泄露监管对象的商业秘密。</w:t>
      </w:r>
    </w:p>
    <w:p>
      <w:pPr>
        <w:pStyle w:val="7"/>
        <w:spacing w:line="600" w:lineRule="exact"/>
        <w:ind w:firstLine="640"/>
        <w:rPr>
          <w:rFonts w:ascii="仿宋_GB2312" w:hAnsi="仿宋" w:eastAsia="仿宋_GB2312" w:cs="方正仿宋简体"/>
          <w:sz w:val="32"/>
          <w:szCs w:val="32"/>
        </w:rPr>
      </w:pPr>
      <w:r>
        <w:rPr>
          <w:rFonts w:ascii="仿宋_GB2312" w:eastAsia="仿宋_GB2312"/>
          <w:sz w:val="32"/>
          <w:szCs w:val="32"/>
        </w:rPr>
        <w:t>9</w:t>
      </w:r>
      <w:r>
        <w:rPr>
          <w:rFonts w:hint="eastAsia" w:ascii="仿宋_GB2312" w:eastAsia="仿宋_GB2312"/>
          <w:sz w:val="32"/>
          <w:szCs w:val="32"/>
        </w:rPr>
        <w:t>.不准干预监管对象正常的生产经营活动。</w:t>
      </w:r>
    </w:p>
    <w:p>
      <w:pPr>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附录</w:t>
      </w:r>
      <w:r>
        <w:rPr>
          <w:rFonts w:ascii="黑体" w:hAnsi="黑体" w:eastAsia="黑体"/>
          <w:sz w:val="32"/>
          <w:szCs w:val="32"/>
        </w:rPr>
        <w:t>6</w:t>
      </w:r>
    </w:p>
    <w:p>
      <w:pPr>
        <w:adjustRightInd w:val="0"/>
        <w:snapToGrid w:val="0"/>
        <w:spacing w:before="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after="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准予行政许可决定书（1）</w:t>
      </w:r>
      <w:r>
        <w:rPr>
          <w:rStyle w:val="20"/>
          <w:rFonts w:ascii="方正小标宋简体" w:hAnsi="宋体" w:eastAsia="方正小标宋简体" w:cs="方正黑体简体"/>
          <w:sz w:val="36"/>
        </w:rPr>
        <w:footnoteReference w:id="0"/>
      </w:r>
    </w:p>
    <w:p>
      <w:pPr>
        <w:adjustRightInd w:val="0"/>
        <w:snapToGrid w:val="0"/>
        <w:spacing w:beforeLines="100" w:afterLines="100" w:line="600" w:lineRule="exact"/>
        <w:ind w:right="1120"/>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tbl>
      <w:tblPr>
        <w:tblStyle w:val="21"/>
        <w:tblW w:w="8822" w:type="dxa"/>
        <w:tblInd w:w="108" w:type="dxa"/>
        <w:tblLayout w:type="fixed"/>
        <w:tblCellMar>
          <w:top w:w="0" w:type="dxa"/>
          <w:left w:w="0" w:type="dxa"/>
          <w:bottom w:w="0" w:type="dxa"/>
          <w:right w:w="0" w:type="dxa"/>
        </w:tblCellMar>
      </w:tblPr>
      <w:tblGrid>
        <w:gridCol w:w="8822"/>
      </w:tblGrid>
      <w:tr>
        <w:tblPrEx>
          <w:tblLayout w:type="fixed"/>
          <w:tblCellMar>
            <w:top w:w="0" w:type="dxa"/>
            <w:left w:w="0" w:type="dxa"/>
            <w:bottom w:w="0" w:type="dxa"/>
            <w:right w:w="0" w:type="dxa"/>
          </w:tblCellMar>
        </w:tblPrEx>
        <w:tc>
          <w:tcPr>
            <w:tcW w:w="8822" w:type="dxa"/>
          </w:tcPr>
          <w:p>
            <w:pPr>
              <w:autoSpaceDN w:val="0"/>
              <w:spacing w:line="620" w:lineRule="atLeast"/>
              <w:rPr>
                <w:rFonts w:ascii="仿宋_GB2312" w:hAnsi="Times New Roman" w:eastAsia="仿宋_GB2312" w:cs="Times New Roman"/>
                <w:spacing w:val="-6"/>
                <w:kern w:val="0"/>
                <w:sz w:val="44"/>
                <w:szCs w:val="44"/>
              </w:rPr>
            </w:pPr>
            <w:r>
              <w:rPr>
                <w:rFonts w:hint="eastAsia" w:ascii="仿宋_GB2312" w:hAnsi="Times New Roman" w:eastAsia="仿宋_GB2312" w:cs="Times New Roman"/>
                <w:spacing w:val="-6"/>
                <w:kern w:val="0"/>
                <w:sz w:val="32"/>
                <w:szCs w:val="32"/>
              </w:rPr>
              <w:t>各</w:t>
            </w:r>
            <w:r>
              <w:rPr>
                <w:rFonts w:hint="eastAsia" w:ascii="仿宋_GB2312" w:hAnsi="仿宋" w:eastAsia="仿宋_GB2312"/>
                <w:sz w:val="32"/>
                <w:szCs w:val="32"/>
              </w:rPr>
              <w:t>×××</w:t>
            </w:r>
            <w:r>
              <w:rPr>
                <w:rFonts w:hint="eastAsia" w:ascii="仿宋_GB2312" w:hAnsi="Times New Roman" w:eastAsia="仿宋_GB2312" w:cs="Times New Roman"/>
                <w:spacing w:val="-6"/>
                <w:kern w:val="0"/>
                <w:sz w:val="32"/>
                <w:szCs w:val="32"/>
              </w:rPr>
              <w:t>行政许可申请人：</w:t>
            </w:r>
          </w:p>
        </w:tc>
      </w:tr>
    </w:tbl>
    <w:p>
      <w:pPr>
        <w:autoSpaceDN w:val="0"/>
        <w:spacing w:line="620" w:lineRule="atLeast"/>
        <w:ind w:left="1" w:firstLine="640" w:firstLineChars="200"/>
        <w:rPr>
          <w:rFonts w:ascii="仿宋_GB2312" w:hAnsi="Times New Roman" w:eastAsia="仿宋_GB2312" w:cs="Times New Roman"/>
          <w:spacing w:val="-6"/>
          <w:kern w:val="0"/>
          <w:sz w:val="32"/>
          <w:szCs w:val="32"/>
        </w:rPr>
      </w:pPr>
      <w:r>
        <w:rPr>
          <w:rFonts w:hint="eastAsia" w:ascii="仿宋_GB2312" w:hAnsi="仿宋" w:eastAsia="仿宋_GB2312"/>
          <w:sz w:val="32"/>
          <w:szCs w:val="32"/>
        </w:rPr>
        <w:t>×××××等×家企业（单位）向本机构提出的××××××行政许可申请，经审查，符合法定的条件、标准，决定准予许可。企业（单位）名称及许可事项如下</w:t>
      </w:r>
      <w:r>
        <w:rPr>
          <w:rFonts w:hint="eastAsia" w:ascii="仿宋_GB2312" w:hAnsi="Times New Roman" w:eastAsia="仿宋_GB2312" w:cs="Times New Roman"/>
          <w:spacing w:val="-6"/>
          <w:kern w:val="0"/>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1.×××××企业，××××××××行政许可；</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.×××××企业，××××××××行政许可；</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.×××××企业，××××××××行政许可；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（发电类电力业务许可附表注明登记机组情况）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本决定将依法予以公开，公众有权查阅。本机构将自作出本决定之日起10日内向各企业（单位）颁发、送达许可证。</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spacing w:line="600" w:lineRule="exact"/>
        <w:ind w:firstLine="640" w:firstLineChars="200"/>
        <w:rPr>
          <w:rFonts w:ascii="仿宋_GB2312" w:hAnsi="仿宋" w:eastAsia="仿宋_GB2312"/>
          <w:sz w:val="32"/>
          <w:szCs w:val="32"/>
        </w:rPr>
      </w:pPr>
    </w:p>
    <w:p>
      <w:pPr>
        <w:autoSpaceDN w:val="0"/>
        <w:spacing w:line="620" w:lineRule="atLeast"/>
        <w:ind w:left="1" w:firstLine="616" w:firstLineChars="200"/>
        <w:rPr>
          <w:rFonts w:ascii="仿宋_GB2312" w:hAnsi="Times New Roman" w:eastAsia="仿宋_GB2312" w:cs="Times New Roman"/>
          <w:spacing w:val="-6"/>
          <w:kern w:val="0"/>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widowControl/>
        <w:jc w:val="left"/>
        <w:rPr>
          <w:rFonts w:ascii="仿宋_GB2312" w:hAnsi="仿宋" w:eastAsia="仿宋_GB2312" w:cs="方正仿宋简体"/>
          <w:sz w:val="32"/>
          <w:szCs w:val="32"/>
        </w:rPr>
      </w:pPr>
      <w:r>
        <w:rPr>
          <w:rFonts w:ascii="仿宋_GB2312" w:hAnsi="仿宋" w:eastAsia="仿宋_GB2312" w:cs="方正仿宋简体"/>
          <w:sz w:val="32"/>
          <w:szCs w:val="32"/>
        </w:rPr>
        <w:br w:type="page"/>
      </w:r>
    </w:p>
    <w:p>
      <w:pPr>
        <w:adjustRightInd w:val="0"/>
        <w:snapToGrid w:val="0"/>
        <w:spacing w:before="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after="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准予行政许可决定书（2）</w:t>
      </w:r>
      <w:r>
        <w:rPr>
          <w:rStyle w:val="20"/>
          <w:rFonts w:ascii="方正小标宋简体" w:hAnsi="宋体" w:eastAsia="方正小标宋简体" w:cs="方正黑体简体"/>
          <w:sz w:val="36"/>
        </w:rPr>
        <w:footnoteReference w:id="1"/>
      </w:r>
    </w:p>
    <w:p>
      <w:pPr>
        <w:adjustRightInd w:val="0"/>
        <w:snapToGrid w:val="0"/>
        <w:spacing w:beforeLines="100" w:afterLines="100" w:line="600" w:lineRule="exact"/>
        <w:ind w:right="1120"/>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p>
      <w:pPr>
        <w:pStyle w:val="7"/>
        <w:spacing w:line="600" w:lineRule="exact"/>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MERGEFIELD "单位名称"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×××（公司</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你（单位）向本机构提出的××××××××××××××××行政许可申请，经审查，符合法定的条件、标准，决定准予许可。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本决定将依法予以公开，公众有权查阅。本机构将自作出本决定之日起10日内向你（单位）颁发、送达许可证。</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spacing w:line="600" w:lineRule="exact"/>
        <w:ind w:firstLine="640" w:firstLineChars="200"/>
        <w:rPr>
          <w:rFonts w:ascii="仿宋_GB2312" w:hAnsi="仿宋"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widowControl/>
        <w:jc w:val="left"/>
        <w:rPr>
          <w:rFonts w:ascii="仿宋_GB2312" w:hAnsi="仿宋" w:eastAsia="仿宋_GB2312" w:cs="方正仿宋简体"/>
          <w:sz w:val="32"/>
          <w:szCs w:val="32"/>
        </w:rPr>
      </w:pPr>
      <w:r>
        <w:rPr>
          <w:rFonts w:ascii="仿宋_GB2312" w:hAnsi="仿宋" w:eastAsia="仿宋_GB2312" w:cs="方正仿宋简体"/>
          <w:sz w:val="32"/>
          <w:szCs w:val="32"/>
        </w:rPr>
        <w:br w:type="page"/>
      </w:r>
    </w:p>
    <w:p>
      <w:pPr>
        <w:rPr>
          <w:rFonts w:ascii="黑体" w:hAnsi="黑体" w:eastAsia="黑体"/>
          <w:sz w:val="32"/>
          <w:szCs w:val="32"/>
        </w:rPr>
      </w:pPr>
      <w:r>
        <w:rPr>
          <w:rFonts w:hint="eastAsia" w:ascii="黑体" w:hAnsi="黑体" w:eastAsia="黑体"/>
          <w:sz w:val="32"/>
          <w:szCs w:val="32"/>
        </w:rPr>
        <w:t>附录</w:t>
      </w:r>
      <w:r>
        <w:rPr>
          <w:rFonts w:ascii="黑体" w:hAnsi="黑体" w:eastAsia="黑体"/>
          <w:sz w:val="32"/>
          <w:szCs w:val="32"/>
        </w:rPr>
        <w:t>7</w:t>
      </w:r>
    </w:p>
    <w:p>
      <w:pPr>
        <w:adjustRightInd w:val="0"/>
        <w:snapToGrid w:val="0"/>
        <w:spacing w:before="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after="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不予行政许可决定书</w:t>
      </w:r>
    </w:p>
    <w:p>
      <w:pPr>
        <w:jc w:val="left"/>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p>
      <w:pPr>
        <w:pStyle w:val="7"/>
        <w:spacing w:line="600" w:lineRule="exact"/>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MERGEFIELD "单位名称"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×××（公司</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你（单位）向本机构提出的××××××××××××××××行政许可申请，经审查，不符合法定的条件和标准，根据《×××××》第×条的规定，决定不予许可。</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不予许可具体理由如下：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你（单位）如对本决定不服，可在收到决定书之日起60日内向国家能源局申请行政复议，或在收到决定书之日起6个月内向××××人民法院提起行政诉讼。</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spacing w:line="600" w:lineRule="exact"/>
        <w:ind w:firstLine="640" w:firstLineChars="200"/>
        <w:rPr>
          <w:rFonts w:ascii="仿宋_GB2312" w:hAnsi="仿宋"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widowControl/>
        <w:jc w:val="left"/>
        <w:rPr>
          <w:rFonts w:ascii="仿宋_GB2312" w:hAnsi="仿宋" w:eastAsia="仿宋_GB2312" w:cs="方正仿宋简体"/>
          <w:sz w:val="32"/>
          <w:szCs w:val="32"/>
        </w:rPr>
      </w:pPr>
      <w:r>
        <w:rPr>
          <w:rFonts w:ascii="仿宋_GB2312" w:hAnsi="仿宋" w:eastAsia="仿宋_GB2312" w:cs="方正仿宋简体"/>
          <w:sz w:val="32"/>
          <w:szCs w:val="32"/>
        </w:rPr>
        <w:br w:type="page"/>
      </w:r>
    </w:p>
    <w:p>
      <w:pPr>
        <w:jc w:val="left"/>
        <w:rPr>
          <w:rFonts w:ascii="黑体" w:hAnsi="黑体" w:eastAsia="黑体"/>
          <w:sz w:val="32"/>
          <w:szCs w:val="32"/>
        </w:rPr>
      </w:pPr>
      <w:r>
        <w:rPr>
          <w:rFonts w:hint="eastAsia" w:ascii="黑体" w:hAnsi="黑体" w:eastAsia="黑体"/>
          <w:sz w:val="32"/>
          <w:szCs w:val="32"/>
        </w:rPr>
        <w:t>附录</w:t>
      </w:r>
      <w:r>
        <w:rPr>
          <w:rFonts w:ascii="黑体" w:hAnsi="黑体" w:eastAsia="黑体"/>
          <w:sz w:val="32"/>
          <w:szCs w:val="32"/>
        </w:rPr>
        <w:t>8</w:t>
      </w:r>
    </w:p>
    <w:p>
      <w:pPr>
        <w:adjustRightInd w:val="0"/>
        <w:snapToGrid w:val="0"/>
        <w:spacing w:before="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after="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准予变更行政许可决定书</w:t>
      </w:r>
    </w:p>
    <w:p>
      <w:pPr>
        <w:adjustRightInd w:val="0"/>
        <w:snapToGrid w:val="0"/>
        <w:spacing w:beforeLines="100" w:afterLines="100" w:line="600" w:lineRule="exact"/>
        <w:ind w:right="1120"/>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p>
      <w:pPr>
        <w:spacing w:line="220" w:lineRule="atLeast"/>
        <w:ind w:firstLine="880" w:firstLineChars="200"/>
        <w:rPr>
          <w:rFonts w:ascii="华文新魏" w:hAnsi="黑体" w:eastAsia="华文新魏"/>
          <w:sz w:val="44"/>
          <w:szCs w:val="44"/>
        </w:rPr>
      </w:pPr>
    </w:p>
    <w:p>
      <w:pPr>
        <w:pStyle w:val="7"/>
        <w:spacing w:line="600" w:lineRule="exact"/>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MERGEFIELD "单位名称"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×××（公司</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你（单位）向本机构提出的变更××××许可证（许可照号：××××）中××××××××的申请，经审查，符合变更条件。根据《×××××》第×条的规定，决定对原行政许可事项作如下变更：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p>
    <w:p>
      <w:pPr>
        <w:pStyle w:val="16"/>
        <w:widowControl w:val="0"/>
        <w:spacing w:before="0" w:beforeAutospacing="0" w:after="0" w:afterAutospacing="0" w:line="579" w:lineRule="atLeas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请你（单位）持原行政许可证件到本机构办理变更手续。</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spacing w:line="600" w:lineRule="exact"/>
        <w:ind w:firstLine="640" w:firstLineChars="200"/>
        <w:rPr>
          <w:rFonts w:ascii="仿宋_GB2312" w:hAnsi="仿宋"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spacing w:line="220" w:lineRule="atLeast"/>
        <w:rPr>
          <w:rFonts w:ascii="黑体" w:hAnsi="黑体" w:eastAsia="黑体"/>
          <w:sz w:val="32"/>
          <w:szCs w:val="32"/>
        </w:rPr>
      </w:pPr>
      <w:r>
        <w:rPr>
          <w:rFonts w:ascii="仿宋_GB2312" w:hAnsi="仿宋" w:eastAsia="仿宋_GB2312" w:cs="方正仿宋简体"/>
          <w:sz w:val="32"/>
          <w:szCs w:val="32"/>
        </w:rPr>
        <w:br w:type="page"/>
      </w:r>
      <w:r>
        <w:rPr>
          <w:rFonts w:hint="eastAsia" w:ascii="黑体" w:hAnsi="黑体" w:eastAsia="黑体"/>
          <w:sz w:val="32"/>
          <w:szCs w:val="32"/>
        </w:rPr>
        <w:t>附录</w:t>
      </w:r>
      <w:r>
        <w:rPr>
          <w:rFonts w:ascii="黑体" w:hAnsi="黑体" w:eastAsia="黑体"/>
          <w:sz w:val="32"/>
          <w:szCs w:val="32"/>
        </w:rPr>
        <w:t>9</w:t>
      </w:r>
    </w:p>
    <w:p>
      <w:pPr>
        <w:adjustRightInd w:val="0"/>
        <w:snapToGrid w:val="0"/>
        <w:spacing w:before="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after="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不予变更行政许可决定书</w:t>
      </w:r>
    </w:p>
    <w:p>
      <w:pPr>
        <w:adjustRightInd w:val="0"/>
        <w:snapToGrid w:val="0"/>
        <w:spacing w:beforeLines="100" w:afterLines="100" w:line="600" w:lineRule="exact"/>
        <w:ind w:right="1120"/>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p>
      <w:pPr>
        <w:pStyle w:val="7"/>
        <w:spacing w:line="600" w:lineRule="exact"/>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MERGEFIELD "单位名称"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×××（公司</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你（单位）向本机构提出的变更××××许可证（许可证号：××××）中××××××××的申请，经审查，不符合法定的条件和标准，根据《×××××》第×条的规定，决定不予变更。</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不予变更具体理由如下：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你（单位）如对本决定不服，可在收到决定书之日起60日内向国家能源局申请行政复议，或在收到决定书之日起6个月内向××××人民法院提起行政诉讼。</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spacing w:line="600" w:lineRule="exact"/>
        <w:ind w:firstLine="640" w:firstLineChars="200"/>
        <w:rPr>
          <w:rFonts w:ascii="仿宋_GB2312" w:hAnsi="仿宋"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jc w:val="left"/>
        <w:rPr>
          <w:rFonts w:ascii="黑体" w:hAnsi="黑体" w:eastAsia="黑体"/>
          <w:sz w:val="32"/>
          <w:szCs w:val="32"/>
        </w:rPr>
      </w:pPr>
      <w:r>
        <w:rPr>
          <w:rFonts w:ascii="华文新魏" w:hAnsi="黑体" w:eastAsia="华文新魏"/>
          <w:sz w:val="44"/>
          <w:szCs w:val="44"/>
        </w:rPr>
        <w:br w:type="page"/>
      </w:r>
      <w:r>
        <w:rPr>
          <w:rFonts w:hint="eastAsia" w:ascii="黑体" w:hAnsi="黑体" w:eastAsia="黑体"/>
          <w:sz w:val="32"/>
          <w:szCs w:val="32"/>
        </w:rPr>
        <w:t>附录</w:t>
      </w:r>
      <w:r>
        <w:rPr>
          <w:rFonts w:ascii="黑体" w:hAnsi="黑体" w:eastAsia="黑体"/>
          <w:sz w:val="32"/>
          <w:szCs w:val="32"/>
        </w:rPr>
        <w:t>10</w:t>
      </w:r>
    </w:p>
    <w:p>
      <w:pPr>
        <w:adjustRightInd w:val="0"/>
        <w:snapToGrid w:val="0"/>
        <w:spacing w:before="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line="600" w:lineRule="exact"/>
        <w:jc w:val="center"/>
        <w:rPr>
          <w:rFonts w:ascii="仿宋_GB2312" w:hAnsi="宋体" w:eastAsia="仿宋_GB2312" w:cs="方正黑体简体"/>
          <w:b/>
          <w:sz w:val="32"/>
          <w:szCs w:val="32"/>
        </w:rPr>
      </w:pPr>
      <w:r>
        <w:rPr>
          <w:rFonts w:hint="eastAsia" w:ascii="方正小标宋简体" w:hAnsi="宋体" w:eastAsia="方正小标宋简体" w:cs="方正黑体简体"/>
          <w:sz w:val="36"/>
          <w:szCs w:val="32"/>
        </w:rPr>
        <w:t>准予延续行政许可决定书</w:t>
      </w:r>
    </w:p>
    <w:p>
      <w:pPr>
        <w:adjustRightInd w:val="0"/>
        <w:snapToGrid w:val="0"/>
        <w:spacing w:beforeLines="100" w:afterLines="100" w:line="600" w:lineRule="exact"/>
        <w:ind w:right="1120"/>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p>
      <w:pPr>
        <w:pStyle w:val="7"/>
        <w:spacing w:line="600" w:lineRule="exact"/>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MERGEFIELD "单位名称"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×××（公司</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pStyle w:val="16"/>
        <w:widowControl w:val="0"/>
        <w:spacing w:before="0" w:beforeAutospacing="0" w:after="0" w:afterAutospacing="0" w:line="579" w:lineRule="atLeas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你（单位）向本机构提出的延续</w:t>
      </w:r>
      <w:r>
        <w:rPr>
          <w:rFonts w:hint="eastAsia" w:ascii="仿宋_GB2312" w:hAnsi="仿宋" w:eastAsia="仿宋_GB2312"/>
          <w:sz w:val="32"/>
          <w:szCs w:val="32"/>
        </w:rPr>
        <w:t>×××××××行政许可的</w:t>
      </w:r>
      <w:r>
        <w:rPr>
          <w:rFonts w:hint="eastAsia" w:ascii="仿宋_GB2312" w:hAnsi="仿宋" w:eastAsia="仿宋_GB2312" w:cs="Times New Roman"/>
          <w:sz w:val="32"/>
          <w:szCs w:val="32"/>
        </w:rPr>
        <w:t>申请，经审查，符合法定条件、标准，</w:t>
      </w:r>
      <w:r>
        <w:rPr>
          <w:rFonts w:hint="eastAsia" w:ascii="仿宋_GB2312" w:hAnsi="仿宋" w:eastAsia="仿宋_GB2312"/>
          <w:sz w:val="32"/>
          <w:szCs w:val="32"/>
        </w:rPr>
        <w:t>根据《×××××》第×条</w:t>
      </w:r>
      <w:r>
        <w:rPr>
          <w:rFonts w:hint="eastAsia" w:ascii="仿宋_GB2312" w:hAnsi="仿宋" w:eastAsia="仿宋_GB2312" w:cs="Times New Roman"/>
          <w:sz w:val="32"/>
          <w:szCs w:val="32"/>
        </w:rPr>
        <w:t>的规定，本机构决定准予延续，有效期至</w:t>
      </w:r>
      <w:r>
        <w:rPr>
          <w:rFonts w:hint="eastAsia" w:ascii="仿宋_GB2312" w:hAnsi="仿宋" w:eastAsia="仿宋_GB2312"/>
          <w:sz w:val="32"/>
          <w:szCs w:val="32"/>
        </w:rPr>
        <w:t>×</w:t>
      </w:r>
      <w:r>
        <w:rPr>
          <w:rFonts w:hint="eastAsia" w:ascii="仿宋_GB2312" w:hAnsi="仿宋" w:eastAsia="仿宋_GB2312" w:cs="Times New Roman"/>
          <w:sz w:val="32"/>
          <w:szCs w:val="32"/>
        </w:rPr>
        <w:t>年</w:t>
      </w:r>
      <w:r>
        <w:rPr>
          <w:rFonts w:hint="eastAsia" w:ascii="仿宋_GB2312" w:hAnsi="仿宋" w:eastAsia="仿宋_GB2312"/>
          <w:sz w:val="32"/>
          <w:szCs w:val="32"/>
        </w:rPr>
        <w:t>×</w:t>
      </w:r>
      <w:r>
        <w:rPr>
          <w:rFonts w:hint="eastAsia" w:ascii="仿宋_GB2312" w:hAnsi="仿宋" w:eastAsia="仿宋_GB2312" w:cs="Times New Roman"/>
          <w:sz w:val="32"/>
          <w:szCs w:val="32"/>
        </w:rPr>
        <w:t>月</w:t>
      </w:r>
      <w:r>
        <w:rPr>
          <w:rFonts w:hint="eastAsia" w:ascii="仿宋_GB2312" w:hAnsi="仿宋" w:eastAsia="仿宋_GB2312"/>
          <w:sz w:val="32"/>
          <w:szCs w:val="32"/>
        </w:rPr>
        <w:t>×</w:t>
      </w:r>
      <w:r>
        <w:rPr>
          <w:rFonts w:hint="eastAsia" w:ascii="仿宋_GB2312" w:hAnsi="仿宋" w:eastAsia="仿宋_GB2312" w:cs="Times New Roman"/>
          <w:sz w:val="32"/>
          <w:szCs w:val="32"/>
        </w:rPr>
        <w:t>日。</w:t>
      </w:r>
    </w:p>
    <w:p>
      <w:pPr>
        <w:pStyle w:val="16"/>
        <w:widowControl w:val="0"/>
        <w:spacing w:before="0" w:beforeAutospacing="0" w:after="0" w:afterAutospacing="0" w:line="579" w:lineRule="atLeas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请你（单位）持原行政许可证件到本机构办理延续手续。</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widowControl/>
        <w:jc w:val="lef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r>
        <w:rPr>
          <w:rFonts w:ascii="仿宋_GB2312" w:hAnsi="仿宋" w:eastAsia="仿宋_GB2312" w:cs="方正仿宋简体"/>
          <w:sz w:val="32"/>
          <w:szCs w:val="32"/>
        </w:rPr>
        <w:br w:type="page"/>
      </w:r>
    </w:p>
    <w:p>
      <w:pPr>
        <w:rPr>
          <w:rFonts w:ascii="黑体" w:hAnsi="黑体" w:eastAsia="黑体"/>
          <w:sz w:val="32"/>
          <w:szCs w:val="32"/>
        </w:rPr>
      </w:pPr>
      <w:r>
        <w:rPr>
          <w:rFonts w:hint="eastAsia" w:ascii="黑体" w:hAnsi="黑体" w:eastAsia="黑体"/>
          <w:sz w:val="32"/>
          <w:szCs w:val="32"/>
        </w:rPr>
        <w:t>附录</w:t>
      </w:r>
      <w:r>
        <w:rPr>
          <w:rFonts w:ascii="黑体" w:hAnsi="黑体" w:eastAsia="黑体"/>
          <w:sz w:val="32"/>
          <w:szCs w:val="32"/>
        </w:rPr>
        <w:t>11</w:t>
      </w:r>
    </w:p>
    <w:p>
      <w:pPr>
        <w:adjustRightInd w:val="0"/>
        <w:snapToGrid w:val="0"/>
        <w:spacing w:before="240" w:line="600" w:lineRule="exact"/>
        <w:jc w:val="center"/>
        <w:rPr>
          <w:rFonts w:ascii="方正小标宋简体" w:hAnsi="宋体" w:eastAsia="方正小标宋简体" w:cs="方正黑体简体"/>
          <w:sz w:val="36"/>
          <w:szCs w:val="32"/>
        </w:rPr>
      </w:pPr>
      <w:r>
        <w:rPr>
          <w:rFonts w:hint="eastAsia" w:ascii="方正小标宋简体" w:hAnsi="宋体" w:eastAsia="方正小标宋简体" w:cs="方正黑体简体"/>
          <w:sz w:val="36"/>
          <w:szCs w:val="32"/>
        </w:rPr>
        <w:t>国家能源局×××（派出机构名称）</w:t>
      </w:r>
    </w:p>
    <w:p>
      <w:pPr>
        <w:adjustRightInd w:val="0"/>
        <w:snapToGrid w:val="0"/>
        <w:spacing w:line="600" w:lineRule="exact"/>
        <w:jc w:val="center"/>
        <w:rPr>
          <w:rFonts w:ascii="仿宋_GB2312" w:hAnsi="宋体" w:eastAsia="仿宋_GB2312" w:cs="方正黑体简体"/>
          <w:b/>
          <w:sz w:val="32"/>
          <w:szCs w:val="32"/>
        </w:rPr>
      </w:pPr>
      <w:r>
        <w:rPr>
          <w:rFonts w:hint="eastAsia" w:ascii="方正小标宋简体" w:hAnsi="宋体" w:eastAsia="方正小标宋简体" w:cs="方正黑体简体"/>
          <w:sz w:val="36"/>
          <w:szCs w:val="32"/>
        </w:rPr>
        <w:t xml:space="preserve"> 不予延续行政许可决定书</w:t>
      </w:r>
    </w:p>
    <w:p>
      <w:pPr>
        <w:adjustRightInd w:val="0"/>
        <w:snapToGrid w:val="0"/>
        <w:spacing w:beforeLines="100" w:afterLines="100" w:line="600" w:lineRule="exact"/>
        <w:ind w:right="1120"/>
        <w:jc w:val="center"/>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                                    文书号：</w:t>
      </w:r>
    </w:p>
    <w:p>
      <w:pPr>
        <w:pStyle w:val="7"/>
        <w:spacing w:line="600" w:lineRule="exact"/>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MERGEFIELD "单位名称"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×××（公司</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你（单位）向本机构提出的延续×××××××行政许可的申请，经审查，不符合延续条件。根据《×××××》第×条的规定，决定不予延续。</w:t>
      </w:r>
    </w:p>
    <w:p>
      <w:pPr>
        <w:pStyle w:val="16"/>
        <w:widowControl w:val="0"/>
        <w:spacing w:before="0" w:beforeAutospacing="0" w:after="0" w:afterAutospacing="0" w:line="579" w:lineRule="atLeast"/>
        <w:ind w:firstLine="640" w:firstLineChars="200"/>
        <w:rPr>
          <w:rFonts w:ascii="仿宋_GB2312" w:hAnsi="仿宋" w:eastAsia="仿宋_GB2312"/>
          <w:sz w:val="32"/>
          <w:szCs w:val="32"/>
        </w:rPr>
      </w:pPr>
      <w:r>
        <w:rPr>
          <w:rFonts w:hint="eastAsia" w:ascii="仿宋_GB2312" w:hAnsi="仿宋" w:eastAsia="仿宋_GB2312"/>
          <w:sz w:val="32"/>
          <w:szCs w:val="32"/>
        </w:rPr>
        <w:t>不予延续具体理由如下：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你（单位）如对本决定不服，可在收到决定书之日起60日内向国家能源局申请行政复议，或在收到决定书之日起6个月内向××××人民法院提起行政诉讼。</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监督投诉电话：×××××</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adjustRightInd w:val="0"/>
        <w:snapToGrid w:val="0"/>
        <w:spacing w:line="600" w:lineRule="exact"/>
        <w:jc w:val="right"/>
        <w:rPr>
          <w:rFonts w:ascii="仿宋_GB2312" w:hAnsi="仿宋" w:eastAsia="仿宋_GB2312" w:cs="方正仿宋简体"/>
          <w:sz w:val="32"/>
          <w:szCs w:val="32"/>
        </w:rPr>
      </w:pPr>
      <w:r>
        <w:rPr>
          <w:rFonts w:hint="eastAsia" w:ascii="仿宋_GB2312" w:eastAsia="仿宋_GB2312"/>
          <w:sz w:val="32"/>
          <w:szCs w:val="32"/>
        </w:rPr>
        <w:t>×××（派出机构名称）印章</w:t>
      </w: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p>
    <w:p>
      <w:pPr>
        <w:adjustRightInd w:val="0"/>
        <w:snapToGrid w:val="0"/>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                               </w:t>
      </w:r>
      <w:r>
        <w:rPr>
          <w:rFonts w:ascii="仿宋_GB2312" w:hAnsi="仿宋" w:eastAsia="仿宋_GB2312" w:cs="方正仿宋简体"/>
          <w:sz w:val="32"/>
          <w:szCs w:val="32"/>
        </w:rPr>
        <w:t xml:space="preserve">  </w:t>
      </w:r>
      <w:r>
        <w:rPr>
          <w:rFonts w:hint="eastAsia" w:ascii="仿宋_GB2312" w:hAnsi="仿宋" w:eastAsia="仿宋_GB2312" w:cs="方正仿宋简体"/>
          <w:sz w:val="32"/>
          <w:szCs w:val="32"/>
        </w:rPr>
        <w:t xml:space="preserve">   </w:t>
      </w:r>
      <w:r>
        <w:rPr>
          <w:rFonts w:hint="eastAsia" w:ascii="仿宋_GB2312" w:eastAsia="仿宋_GB2312"/>
          <w:sz w:val="32"/>
          <w:szCs w:val="32"/>
        </w:rPr>
        <w:t>××</w:t>
      </w:r>
      <w:r>
        <w:rPr>
          <w:rFonts w:hint="eastAsia" w:ascii="仿宋_GB2312" w:hAnsi="仿宋" w:eastAsia="仿宋_GB2312" w:cs="方正仿宋简体"/>
          <w:sz w:val="32"/>
          <w:szCs w:val="32"/>
        </w:rPr>
        <w:t>年</w:t>
      </w:r>
      <w:r>
        <w:rPr>
          <w:rFonts w:hint="eastAsia" w:ascii="仿宋_GB2312" w:eastAsia="仿宋_GB2312"/>
          <w:sz w:val="32"/>
          <w:szCs w:val="32"/>
        </w:rPr>
        <w:t>×</w:t>
      </w:r>
      <w:r>
        <w:rPr>
          <w:rFonts w:hint="eastAsia" w:ascii="仿宋_GB2312" w:hAnsi="仿宋" w:eastAsia="仿宋_GB2312" w:cs="方正仿宋简体"/>
          <w:sz w:val="32"/>
          <w:szCs w:val="32"/>
        </w:rPr>
        <w:t>月</w:t>
      </w:r>
      <w:r>
        <w:rPr>
          <w:rFonts w:hint="eastAsia" w:ascii="仿宋_GB2312" w:eastAsia="仿宋_GB2312"/>
          <w:sz w:val="32"/>
          <w:szCs w:val="32"/>
        </w:rPr>
        <w:t>×</w:t>
      </w:r>
      <w:r>
        <w:rPr>
          <w:rFonts w:hint="eastAsia" w:ascii="仿宋_GB2312" w:hAnsi="仿宋" w:eastAsia="仿宋_GB2312" w:cs="方正仿宋简体"/>
          <w:sz w:val="32"/>
          <w:szCs w:val="32"/>
        </w:rPr>
        <w:t xml:space="preserve">日  </w:t>
      </w:r>
      <w:r>
        <w:rPr>
          <w:rFonts w:ascii="仿宋_GB2312" w:hAnsi="仿宋" w:eastAsia="仿宋_GB2312" w:cs="方正仿宋简体"/>
          <w:sz w:val="32"/>
          <w:szCs w:val="32"/>
        </w:rPr>
        <w:t xml:space="preserve">  </w:t>
      </w:r>
    </w:p>
    <w:p>
      <w:pPr>
        <w:jc w:val="left"/>
        <w:rPr>
          <w:rFonts w:ascii="仿宋_GB2312" w:hAnsi="宋体" w:eastAsia="仿宋_GB2312"/>
          <w:sz w:val="32"/>
          <w:szCs w:val="32"/>
        </w:rPr>
      </w:pPr>
      <w:bookmarkStart w:id="1" w:name="_GoBack"/>
      <w:bookmarkEnd w:id="1"/>
    </w:p>
    <w:sectPr>
      <w:footerReference r:id="rId4" w:type="default"/>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Arial"/>
    <w:panose1 w:val="00000000000000000000"/>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082615"/>
    </w:sdtPr>
    <w:sdtEndPr>
      <w:rPr>
        <w:rFonts w:ascii="Times New Roman" w:hAnsi="Times New Roman" w:cs="Times New Roman"/>
        <w:sz w:val="21"/>
      </w:rPr>
    </w:sdtEndPr>
    <w:sdtContent>
      <w:p>
        <w:pPr>
          <w:pStyle w:val="11"/>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w:t>
        </w:r>
        <w:r>
          <w:rPr>
            <w:rFonts w:ascii="Times New Roman" w:hAnsi="Times New Roman" w:cs="Times New Roman"/>
            <w:sz w:val="21"/>
          </w:rPr>
          <w:t xml:space="preserve"> 2 -</w:t>
        </w:r>
        <w:r>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pPr>
      <w:r>
        <w:rPr>
          <w:rStyle w:val="20"/>
        </w:rPr>
        <w:footnoteRef/>
      </w:r>
      <w:r>
        <w:t xml:space="preserve"> </w:t>
      </w:r>
      <w:r>
        <w:rPr>
          <w:rFonts w:hint="eastAsia"/>
        </w:rPr>
        <w:t>适用于一次性向多个许可申请人出具准予行政许可决定书。</w:t>
      </w:r>
    </w:p>
  </w:footnote>
  <w:footnote w:id="1">
    <w:p>
      <w:pPr>
        <w:pStyle w:val="14"/>
      </w:pPr>
      <w:r>
        <w:rPr>
          <w:rStyle w:val="20"/>
        </w:rPr>
        <w:footnoteRef/>
      </w:r>
      <w:r>
        <w:t xml:space="preserve"> </w:t>
      </w:r>
      <w:r>
        <w:rPr>
          <w:rFonts w:hint="eastAsia"/>
        </w:rPr>
        <w:t>适用于向单个许可申请人出具准予行政许可决定书。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2E"/>
    <w:rsid w:val="0001181D"/>
    <w:rsid w:val="0001640D"/>
    <w:rsid w:val="000310D5"/>
    <w:rsid w:val="00035982"/>
    <w:rsid w:val="00045782"/>
    <w:rsid w:val="000572FD"/>
    <w:rsid w:val="00074553"/>
    <w:rsid w:val="000B06ED"/>
    <w:rsid w:val="000C4017"/>
    <w:rsid w:val="0011408D"/>
    <w:rsid w:val="00120084"/>
    <w:rsid w:val="001441AE"/>
    <w:rsid w:val="00167E9D"/>
    <w:rsid w:val="00176A26"/>
    <w:rsid w:val="00184EB0"/>
    <w:rsid w:val="001B2AF9"/>
    <w:rsid w:val="001B4230"/>
    <w:rsid w:val="001B606A"/>
    <w:rsid w:val="001B78F8"/>
    <w:rsid w:val="001C2A48"/>
    <w:rsid w:val="001C3596"/>
    <w:rsid w:val="001D42B1"/>
    <w:rsid w:val="001F6CD0"/>
    <w:rsid w:val="00207DE6"/>
    <w:rsid w:val="0022256F"/>
    <w:rsid w:val="002249C7"/>
    <w:rsid w:val="002568B0"/>
    <w:rsid w:val="00261299"/>
    <w:rsid w:val="00267401"/>
    <w:rsid w:val="00285D06"/>
    <w:rsid w:val="002B6860"/>
    <w:rsid w:val="002D2B16"/>
    <w:rsid w:val="002E186F"/>
    <w:rsid w:val="003004C0"/>
    <w:rsid w:val="003125FC"/>
    <w:rsid w:val="003275EF"/>
    <w:rsid w:val="0034674D"/>
    <w:rsid w:val="0037044C"/>
    <w:rsid w:val="00396DB9"/>
    <w:rsid w:val="003E579E"/>
    <w:rsid w:val="003F3F34"/>
    <w:rsid w:val="004242AF"/>
    <w:rsid w:val="00450EDC"/>
    <w:rsid w:val="004640E8"/>
    <w:rsid w:val="00474C37"/>
    <w:rsid w:val="00486F24"/>
    <w:rsid w:val="004B6A7F"/>
    <w:rsid w:val="004C109C"/>
    <w:rsid w:val="004D57DD"/>
    <w:rsid w:val="004F5BA1"/>
    <w:rsid w:val="00512547"/>
    <w:rsid w:val="00540F3A"/>
    <w:rsid w:val="005617A7"/>
    <w:rsid w:val="00562D2E"/>
    <w:rsid w:val="005A20DB"/>
    <w:rsid w:val="005A71D6"/>
    <w:rsid w:val="005B4043"/>
    <w:rsid w:val="005C4282"/>
    <w:rsid w:val="005D1D30"/>
    <w:rsid w:val="005D5FF2"/>
    <w:rsid w:val="005E3AA6"/>
    <w:rsid w:val="005F45DF"/>
    <w:rsid w:val="006448B5"/>
    <w:rsid w:val="00673780"/>
    <w:rsid w:val="0068652E"/>
    <w:rsid w:val="00687E2E"/>
    <w:rsid w:val="00690BB6"/>
    <w:rsid w:val="006A58FC"/>
    <w:rsid w:val="00717B47"/>
    <w:rsid w:val="00723C68"/>
    <w:rsid w:val="0073681F"/>
    <w:rsid w:val="00744FBD"/>
    <w:rsid w:val="00746F78"/>
    <w:rsid w:val="00753E00"/>
    <w:rsid w:val="00757A8F"/>
    <w:rsid w:val="007703A2"/>
    <w:rsid w:val="007771EF"/>
    <w:rsid w:val="007811B6"/>
    <w:rsid w:val="007A04B5"/>
    <w:rsid w:val="007D6034"/>
    <w:rsid w:val="0080608A"/>
    <w:rsid w:val="00830F21"/>
    <w:rsid w:val="00832605"/>
    <w:rsid w:val="00835746"/>
    <w:rsid w:val="00853B15"/>
    <w:rsid w:val="008822B7"/>
    <w:rsid w:val="00882797"/>
    <w:rsid w:val="00884D92"/>
    <w:rsid w:val="008A2DB3"/>
    <w:rsid w:val="00952E54"/>
    <w:rsid w:val="00956B7A"/>
    <w:rsid w:val="00981AD5"/>
    <w:rsid w:val="009A2EA5"/>
    <w:rsid w:val="009D251E"/>
    <w:rsid w:val="00A156DF"/>
    <w:rsid w:val="00A7555D"/>
    <w:rsid w:val="00AA1D16"/>
    <w:rsid w:val="00AC1A0B"/>
    <w:rsid w:val="00AD724B"/>
    <w:rsid w:val="00AF5E2E"/>
    <w:rsid w:val="00B1301D"/>
    <w:rsid w:val="00B13490"/>
    <w:rsid w:val="00B47D13"/>
    <w:rsid w:val="00B65DC2"/>
    <w:rsid w:val="00BA1A40"/>
    <w:rsid w:val="00BA5A2F"/>
    <w:rsid w:val="00BE3A69"/>
    <w:rsid w:val="00C30803"/>
    <w:rsid w:val="00C61293"/>
    <w:rsid w:val="00C8789F"/>
    <w:rsid w:val="00CC3C0E"/>
    <w:rsid w:val="00CD00BB"/>
    <w:rsid w:val="00CE1AE5"/>
    <w:rsid w:val="00D13BF7"/>
    <w:rsid w:val="00D331C6"/>
    <w:rsid w:val="00D45F70"/>
    <w:rsid w:val="00D56AEC"/>
    <w:rsid w:val="00D7082B"/>
    <w:rsid w:val="00D70DC2"/>
    <w:rsid w:val="00D85644"/>
    <w:rsid w:val="00D97E88"/>
    <w:rsid w:val="00DA3C05"/>
    <w:rsid w:val="00DD256E"/>
    <w:rsid w:val="00E11656"/>
    <w:rsid w:val="00E30C05"/>
    <w:rsid w:val="00E42A4D"/>
    <w:rsid w:val="00E43397"/>
    <w:rsid w:val="00E81765"/>
    <w:rsid w:val="00E84233"/>
    <w:rsid w:val="00EA5585"/>
    <w:rsid w:val="00EE558A"/>
    <w:rsid w:val="00EE5C33"/>
    <w:rsid w:val="00F071FE"/>
    <w:rsid w:val="00F23E6D"/>
    <w:rsid w:val="00F36186"/>
    <w:rsid w:val="00F43AF5"/>
    <w:rsid w:val="00F47CEA"/>
    <w:rsid w:val="00F50247"/>
    <w:rsid w:val="00F8192E"/>
    <w:rsid w:val="00FB6D0C"/>
    <w:rsid w:val="00FC46A8"/>
    <w:rsid w:val="00FD6D81"/>
    <w:rsid w:val="00FE214A"/>
    <w:rsid w:val="00FF63BB"/>
    <w:rsid w:val="3759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7">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3"/>
    <w:unhideWhenUsed/>
    <w:uiPriority w:val="99"/>
    <w:rPr>
      <w:rFonts w:ascii="Times New Roman" w:hAnsi="Times New Roman" w:eastAsia="宋体" w:cs="Times New Roman"/>
      <w:b/>
      <w:bCs/>
      <w:kern w:val="0"/>
      <w:sz w:val="20"/>
      <w:szCs w:val="20"/>
    </w:rPr>
  </w:style>
  <w:style w:type="paragraph" w:styleId="6">
    <w:name w:val="annotation text"/>
    <w:basedOn w:val="1"/>
    <w:link w:val="32"/>
    <w:unhideWhenUsed/>
    <w:uiPriority w:val="99"/>
    <w:pPr>
      <w:jc w:val="left"/>
    </w:pPr>
  </w:style>
  <w:style w:type="paragraph" w:styleId="7">
    <w:name w:val="Body Text"/>
    <w:basedOn w:val="1"/>
    <w:link w:val="26"/>
    <w:unhideWhenUsed/>
    <w:qFormat/>
    <w:uiPriority w:val="99"/>
    <w:rPr>
      <w:rFonts w:ascii="Times New Roman" w:hAnsi="Times New Roman" w:eastAsia="宋体" w:cs="Times New Roman"/>
      <w:sz w:val="28"/>
      <w:szCs w:val="24"/>
    </w:rPr>
  </w:style>
  <w:style w:type="paragraph" w:styleId="8">
    <w:name w:val="toc 3"/>
    <w:basedOn w:val="1"/>
    <w:next w:val="1"/>
    <w:unhideWhenUsed/>
    <w:uiPriority w:val="39"/>
    <w:pPr>
      <w:widowControl/>
      <w:spacing w:after="100" w:line="259" w:lineRule="auto"/>
      <w:ind w:left="440"/>
      <w:jc w:val="left"/>
    </w:pPr>
    <w:rPr>
      <w:rFonts w:ascii="Calibri" w:hAnsi="Calibri" w:eastAsia="宋体" w:cs="Times New Roman"/>
      <w:kern w:val="0"/>
      <w:sz w:val="22"/>
    </w:rPr>
  </w:style>
  <w:style w:type="paragraph" w:styleId="9">
    <w:name w:val="Date"/>
    <w:basedOn w:val="1"/>
    <w:next w:val="1"/>
    <w:link w:val="34"/>
    <w:unhideWhenUsed/>
    <w:uiPriority w:val="0"/>
    <w:pPr>
      <w:ind w:left="100" w:leftChars="2500"/>
    </w:pPr>
    <w:rPr>
      <w:rFonts w:ascii="Calibri" w:hAnsi="Calibri" w:eastAsia="宋体" w:cs="Times New Roman"/>
    </w:rPr>
  </w:style>
  <w:style w:type="paragraph" w:styleId="10">
    <w:name w:val="Balloon Text"/>
    <w:basedOn w:val="1"/>
    <w:link w:val="28"/>
    <w:unhideWhenUsed/>
    <w:qFormat/>
    <w:uiPriority w:val="99"/>
    <w:rPr>
      <w:sz w:val="18"/>
      <w:szCs w:val="18"/>
    </w:rPr>
  </w:style>
  <w:style w:type="paragraph" w:styleId="11">
    <w:name w:val="footer"/>
    <w:basedOn w:val="1"/>
    <w:link w:val="24"/>
    <w:unhideWhenUsed/>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pPr>
      <w:widowControl/>
      <w:spacing w:after="100" w:line="259" w:lineRule="auto"/>
      <w:jc w:val="left"/>
    </w:pPr>
    <w:rPr>
      <w:rFonts w:ascii="Calibri" w:hAnsi="Calibri" w:eastAsia="宋体" w:cs="Times New Roman"/>
      <w:kern w:val="0"/>
      <w:sz w:val="22"/>
    </w:rPr>
  </w:style>
  <w:style w:type="paragraph" w:styleId="14">
    <w:name w:val="footnote text"/>
    <w:basedOn w:val="1"/>
    <w:link w:val="35"/>
    <w:unhideWhenUsed/>
    <w:uiPriority w:val="0"/>
    <w:pPr>
      <w:snapToGrid w:val="0"/>
      <w:jc w:val="left"/>
    </w:pPr>
    <w:rPr>
      <w:rFonts w:ascii="Calibri" w:hAnsi="Calibri" w:eastAsia="宋体" w:cs="Times New Roman"/>
      <w:sz w:val="18"/>
      <w:szCs w:val="18"/>
    </w:rPr>
  </w:style>
  <w:style w:type="paragraph" w:styleId="15">
    <w:name w:val="toc 2"/>
    <w:basedOn w:val="1"/>
    <w:next w:val="1"/>
    <w:unhideWhenUsed/>
    <w:uiPriority w:val="39"/>
    <w:pPr>
      <w:widowControl/>
      <w:spacing w:after="100" w:line="259" w:lineRule="auto"/>
      <w:ind w:left="220"/>
      <w:jc w:val="left"/>
    </w:pPr>
    <w:rPr>
      <w:rFonts w:ascii="Calibri" w:hAnsi="Calibri" w:eastAsia="宋体" w:cs="Times New Roman"/>
      <w:kern w:val="0"/>
      <w:sz w:val="22"/>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Hyperlink"/>
    <w:basedOn w:val="17"/>
    <w:unhideWhenUsed/>
    <w:qFormat/>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uiPriority w:val="0"/>
    <w:rPr>
      <w:vertAlign w:val="superscript"/>
    </w:rPr>
  </w:style>
  <w:style w:type="table" w:styleId="22">
    <w:name w:val="Table Grid"/>
    <w:basedOn w:val="21"/>
    <w:unhideWhenUsed/>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7"/>
    <w:link w:val="12"/>
    <w:qFormat/>
    <w:uiPriority w:val="99"/>
    <w:rPr>
      <w:sz w:val="18"/>
      <w:szCs w:val="18"/>
    </w:rPr>
  </w:style>
  <w:style w:type="character" w:customStyle="1" w:styleId="24">
    <w:name w:val="页脚 Char"/>
    <w:basedOn w:val="17"/>
    <w:link w:val="11"/>
    <w:uiPriority w:val="99"/>
    <w:rPr>
      <w:sz w:val="18"/>
      <w:szCs w:val="18"/>
    </w:rPr>
  </w:style>
  <w:style w:type="paragraph" w:customStyle="1" w:styleId="25">
    <w:name w:val="列出段落1"/>
    <w:basedOn w:val="1"/>
    <w:qFormat/>
    <w:uiPriority w:val="34"/>
    <w:pPr>
      <w:ind w:firstLine="420" w:firstLineChars="200"/>
    </w:pPr>
    <w:rPr>
      <w:rFonts w:ascii="Calibri" w:hAnsi="Calibri" w:eastAsia="宋体" w:cs="黑体"/>
    </w:rPr>
  </w:style>
  <w:style w:type="character" w:customStyle="1" w:styleId="26">
    <w:name w:val="正文文本 Char"/>
    <w:basedOn w:val="17"/>
    <w:link w:val="7"/>
    <w:qFormat/>
    <w:uiPriority w:val="99"/>
    <w:rPr>
      <w:rFonts w:ascii="Times New Roman" w:hAnsi="Times New Roman" w:eastAsia="宋体" w:cs="Times New Roman"/>
      <w:sz w:val="28"/>
      <w:szCs w:val="24"/>
    </w:rPr>
  </w:style>
  <w:style w:type="paragraph" w:customStyle="1" w:styleId="27">
    <w:name w:val="List Paragraph"/>
    <w:basedOn w:val="1"/>
    <w:qFormat/>
    <w:uiPriority w:val="34"/>
    <w:pPr>
      <w:ind w:firstLine="420" w:firstLineChars="200"/>
    </w:pPr>
  </w:style>
  <w:style w:type="character" w:customStyle="1" w:styleId="28">
    <w:name w:val="批注框文本 Char"/>
    <w:basedOn w:val="17"/>
    <w:link w:val="10"/>
    <w:semiHidden/>
    <w:qFormat/>
    <w:uiPriority w:val="99"/>
    <w:rPr>
      <w:sz w:val="18"/>
      <w:szCs w:val="18"/>
    </w:rPr>
  </w:style>
  <w:style w:type="character" w:customStyle="1" w:styleId="29">
    <w:name w:val="标题 1 Char"/>
    <w:basedOn w:val="17"/>
    <w:link w:val="2"/>
    <w:qFormat/>
    <w:uiPriority w:val="9"/>
    <w:rPr>
      <w:rFonts w:ascii="Times New Roman" w:hAnsi="Times New Roman" w:eastAsia="宋体" w:cs="Times New Roman"/>
      <w:b/>
      <w:bCs/>
      <w:kern w:val="44"/>
      <w:sz w:val="44"/>
      <w:szCs w:val="44"/>
    </w:rPr>
  </w:style>
  <w:style w:type="character" w:customStyle="1" w:styleId="30">
    <w:name w:val="标题 2 Char"/>
    <w:basedOn w:val="17"/>
    <w:link w:val="3"/>
    <w:qFormat/>
    <w:uiPriority w:val="9"/>
    <w:rPr>
      <w:rFonts w:ascii="Cambria" w:hAnsi="Cambria" w:eastAsia="宋体" w:cs="Times New Roman"/>
      <w:b/>
      <w:bCs/>
      <w:sz w:val="32"/>
      <w:szCs w:val="32"/>
    </w:rPr>
  </w:style>
  <w:style w:type="character" w:customStyle="1" w:styleId="31">
    <w:name w:val="标题 3 Char"/>
    <w:basedOn w:val="17"/>
    <w:link w:val="4"/>
    <w:uiPriority w:val="9"/>
    <w:rPr>
      <w:rFonts w:ascii="Calibri" w:hAnsi="Calibri" w:eastAsia="宋体" w:cs="Times New Roman"/>
      <w:b/>
      <w:bCs/>
      <w:sz w:val="32"/>
      <w:szCs w:val="32"/>
    </w:rPr>
  </w:style>
  <w:style w:type="character" w:customStyle="1" w:styleId="32">
    <w:name w:val="批注文字 Char"/>
    <w:basedOn w:val="17"/>
    <w:link w:val="6"/>
    <w:semiHidden/>
    <w:uiPriority w:val="99"/>
  </w:style>
  <w:style w:type="character" w:customStyle="1" w:styleId="33">
    <w:name w:val="批注主题 Char"/>
    <w:basedOn w:val="32"/>
    <w:link w:val="5"/>
    <w:semiHidden/>
    <w:uiPriority w:val="99"/>
    <w:rPr>
      <w:rFonts w:ascii="Times New Roman" w:hAnsi="Times New Roman" w:eastAsia="宋体" w:cs="Times New Roman"/>
      <w:b/>
      <w:bCs/>
      <w:kern w:val="0"/>
      <w:sz w:val="20"/>
      <w:szCs w:val="20"/>
    </w:rPr>
  </w:style>
  <w:style w:type="character" w:customStyle="1" w:styleId="34">
    <w:name w:val="日期 Char"/>
    <w:basedOn w:val="17"/>
    <w:link w:val="9"/>
    <w:semiHidden/>
    <w:uiPriority w:val="0"/>
    <w:rPr>
      <w:rFonts w:ascii="Calibri" w:hAnsi="Calibri" w:eastAsia="宋体" w:cs="Times New Roman"/>
    </w:rPr>
  </w:style>
  <w:style w:type="character" w:customStyle="1" w:styleId="35">
    <w:name w:val="脚注文本 Char"/>
    <w:basedOn w:val="17"/>
    <w:link w:val="14"/>
    <w:semiHidden/>
    <w:uiPriority w:val="0"/>
    <w:rPr>
      <w:rFonts w:ascii="Calibri" w:hAnsi="Calibri" w:eastAsia="宋体" w:cs="Times New Roman"/>
      <w:sz w:val="18"/>
      <w:szCs w:val="18"/>
    </w:rPr>
  </w:style>
  <w:style w:type="paragraph" w:customStyle="1" w:styleId="36">
    <w:name w:val="列出段落2"/>
    <w:basedOn w:val="1"/>
    <w:qFormat/>
    <w:uiPriority w:val="34"/>
    <w:pPr>
      <w:ind w:firstLine="420" w:firstLineChars="200"/>
    </w:pPr>
    <w:rPr>
      <w:rFonts w:ascii="Calibri" w:hAnsi="Calibri" w:eastAsia="宋体" w:cs="黑体"/>
    </w:rPr>
  </w:style>
  <w:style w:type="paragraph" w:customStyle="1" w:styleId="37">
    <w:name w:val="p0"/>
    <w:basedOn w:val="1"/>
    <w:uiPriority w:val="0"/>
    <w:pPr>
      <w:widowControl/>
    </w:pPr>
    <w:rPr>
      <w:rFonts w:ascii="Times New Roman" w:hAnsi="Times New Roman" w:eastAsia="宋体" w:cs="Times New Roman"/>
      <w:kern w:val="0"/>
      <w:szCs w:val="21"/>
    </w:rPr>
  </w:style>
  <w:style w:type="paragraph" w:customStyle="1" w:styleId="38">
    <w:name w:val="Char Char Char"/>
    <w:basedOn w:val="1"/>
    <w:uiPriority w:val="0"/>
    <w:rPr>
      <w:rFonts w:ascii="Times New Roman" w:hAnsi="Times New Roman" w:eastAsia="宋体" w:cs="Times New Roman"/>
      <w:szCs w:val="20"/>
    </w:rPr>
  </w:style>
  <w:style w:type="paragraph" w:customStyle="1" w:styleId="39">
    <w:name w:val="TOC 标题1"/>
    <w:basedOn w:val="2"/>
    <w:next w:val="1"/>
    <w:unhideWhenUsed/>
    <w:qFormat/>
    <w:uiPriority w:val="39"/>
    <w:pPr>
      <w:widowControl/>
      <w:spacing w:before="240" w:after="0" w:line="259" w:lineRule="auto"/>
      <w:jc w:val="left"/>
      <w:outlineLvl w:val="9"/>
    </w:pPr>
    <w:rPr>
      <w:rFonts w:ascii="Cambria" w:hAnsi="Cambria"/>
      <w:b w:val="0"/>
      <w:bCs w:val="0"/>
      <w:color w:val="365F90"/>
      <w:kern w:val="0"/>
      <w:sz w:val="32"/>
      <w:szCs w:val="32"/>
    </w:rPr>
  </w:style>
  <w:style w:type="paragraph" w:customStyle="1" w:styleId="40">
    <w:name w:val="修订1"/>
    <w:hidden/>
    <w:semiHidden/>
    <w:uiPriority w:val="99"/>
    <w:rPr>
      <w:rFonts w:ascii="Calibri" w:hAnsi="Calibri" w:eastAsia="宋体" w:cs="黑体"/>
      <w:kern w:val="2"/>
      <w:sz w:val="21"/>
      <w:szCs w:val="22"/>
      <w:lang w:val="en-US" w:eastAsia="zh-CN" w:bidi="ar-SA"/>
    </w:rPr>
  </w:style>
  <w:style w:type="paragraph" w:customStyle="1" w:styleId="41">
    <w:name w:val="修订2"/>
    <w:hidden/>
    <w:semiHidden/>
    <w:uiPriority w:val="99"/>
    <w:rPr>
      <w:rFonts w:ascii="Calibri" w:hAnsi="Calibri" w:eastAsia="宋体" w:cs="黑体"/>
      <w:kern w:val="2"/>
      <w:sz w:val="21"/>
      <w:szCs w:val="22"/>
      <w:lang w:val="en-US" w:eastAsia="zh-CN" w:bidi="ar-SA"/>
    </w:rPr>
  </w:style>
  <w:style w:type="paragraph" w:customStyle="1" w:styleId="42">
    <w:name w:val="p15"/>
    <w:basedOn w:val="1"/>
    <w:uiPriority w:val="0"/>
    <w:pPr>
      <w:widowControl/>
      <w:spacing w:line="240" w:lineRule="atLeast"/>
    </w:pPr>
    <w:rPr>
      <w:rFonts w:ascii="Times New Roman" w:hAnsi="Times New Roman" w:eastAsia="宋体" w:cs="Times New Roman"/>
      <w:spacing w:val="-6"/>
      <w:kern w:val="0"/>
      <w:sz w:val="32"/>
      <w:szCs w:val="32"/>
    </w:rPr>
  </w:style>
  <w:style w:type="paragraph" w:customStyle="1" w:styleId="43">
    <w:name w:val="正文 New New New New New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4">
    <w:name w:val="正文 New New New New New New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5">
    <w:name w:val="正文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6">
    <w:name w:val="正文 New"/>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26A34-D0E0-40B1-A79A-C2E5643DFC1B}">
  <ds:schemaRefs/>
</ds:datastoreItem>
</file>

<file path=docProps/app.xml><?xml version="1.0" encoding="utf-8"?>
<Properties xmlns="http://schemas.openxmlformats.org/officeDocument/2006/extended-properties" xmlns:vt="http://schemas.openxmlformats.org/officeDocument/2006/docPropsVTypes">
  <Template>Normal</Template>
  <Pages>94</Pages>
  <Words>4377</Words>
  <Characters>24952</Characters>
  <Lines>207</Lines>
  <Paragraphs>58</Paragraphs>
  <TotalTime>0</TotalTime>
  <ScaleCrop>false</ScaleCrop>
  <LinksUpToDate>false</LinksUpToDate>
  <CharactersWithSpaces>29271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2017-05-08T02:58:00Z</dcterms:created>
  <dc:creator>hj</dc:creator>
  <cp:lastModifiedBy>张爽</cp:lastModifiedBy>
  <cp:lastPrinted>2017-05-08T03:07:00Z</cp:lastPrinted>
  <dcterms:modified xsi:type="dcterms:W3CDTF">2017-05-22T07:57:58Z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