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BF" w:rsidRPr="00A97339" w:rsidRDefault="001C0CBF" w:rsidP="001C0CBF">
      <w:pPr>
        <w:adjustRightInd w:val="0"/>
        <w:snapToGrid w:val="0"/>
        <w:spacing w:line="360" w:lineRule="auto"/>
        <w:rPr>
          <w:rFonts w:ascii="黑体" w:eastAsia="黑体" w:hint="eastAsia"/>
          <w:sz w:val="32"/>
          <w:szCs w:val="32"/>
        </w:rPr>
      </w:pPr>
      <w:r w:rsidRPr="00A97339">
        <w:rPr>
          <w:rFonts w:ascii="黑体" w:eastAsia="黑体" w:hint="eastAsia"/>
          <w:sz w:val="32"/>
          <w:szCs w:val="32"/>
        </w:rPr>
        <w:t>附件2</w:t>
      </w:r>
    </w:p>
    <w:p w:rsidR="001C0CBF" w:rsidRPr="00945B40" w:rsidRDefault="001C0CBF" w:rsidP="001C0CBF">
      <w:pPr>
        <w:adjustRightInd w:val="0"/>
        <w:snapToGrid w:val="0"/>
        <w:ind w:firstLine="880"/>
        <w:rPr>
          <w:rFonts w:ascii="方正小标宋_GBK" w:eastAsia="方正小标宋_GBK" w:hint="eastAsia"/>
          <w:sz w:val="44"/>
          <w:szCs w:val="44"/>
        </w:rPr>
      </w:pPr>
    </w:p>
    <w:p w:rsidR="001C0CBF" w:rsidRDefault="001C0CBF" w:rsidP="001C0CBF">
      <w:pPr>
        <w:adjustRightInd w:val="0"/>
        <w:snapToGrid w:val="0"/>
        <w:ind w:firstLine="880"/>
        <w:jc w:val="center"/>
        <w:rPr>
          <w:rFonts w:ascii="方正小标宋_GBK" w:eastAsia="方正小标宋_GBK" w:hint="eastAsia"/>
          <w:sz w:val="44"/>
          <w:szCs w:val="44"/>
        </w:rPr>
      </w:pPr>
      <w:r w:rsidRPr="00945B40">
        <w:rPr>
          <w:rFonts w:ascii="方正小标宋_GBK" w:eastAsia="方正小标宋_GBK" w:hint="eastAsia"/>
          <w:sz w:val="44"/>
          <w:szCs w:val="44"/>
        </w:rPr>
        <w:t>华北区域油气管网设施信息公开及信息报送工作自查对照表</w:t>
      </w:r>
    </w:p>
    <w:p w:rsidR="001C0CBF" w:rsidRPr="00945B40" w:rsidRDefault="001C0CBF" w:rsidP="001C0CBF">
      <w:pPr>
        <w:adjustRightInd w:val="0"/>
        <w:snapToGrid w:val="0"/>
        <w:ind w:firstLine="880"/>
        <w:jc w:val="center"/>
        <w:rPr>
          <w:rFonts w:ascii="方正小标宋_GBK" w:eastAsia="方正小标宋_GBK" w:hint="eastAsia"/>
          <w:sz w:val="44"/>
          <w:szCs w:val="44"/>
        </w:rPr>
      </w:pPr>
    </w:p>
    <w:p w:rsidR="001C0CBF" w:rsidRPr="00DC0EEC" w:rsidRDefault="001C0CBF" w:rsidP="001C0CBF">
      <w:pPr>
        <w:adjustRightInd w:val="0"/>
        <w:snapToGrid w:val="0"/>
        <w:spacing w:line="360" w:lineRule="auto"/>
        <w:ind w:firstLine="480"/>
        <w:jc w:val="left"/>
        <w:rPr>
          <w:rFonts w:ascii="仿宋_GB2312" w:eastAsia="仿宋_GB2312" w:hint="eastAsia"/>
          <w:sz w:val="24"/>
        </w:rPr>
      </w:pPr>
      <w:r w:rsidRPr="00DC0EEC">
        <w:rPr>
          <w:rFonts w:ascii="仿宋_GB2312" w:eastAsia="仿宋_GB2312" w:hint="eastAsia"/>
          <w:sz w:val="24"/>
        </w:rPr>
        <w:t>单位</w:t>
      </w:r>
      <w:r>
        <w:rPr>
          <w:rFonts w:ascii="仿宋_GB2312" w:eastAsia="仿宋_GB2312" w:hint="eastAsia"/>
          <w:sz w:val="24"/>
        </w:rPr>
        <w:t xml:space="preserve">：                                                                                             </w:t>
      </w:r>
      <w:r w:rsidRPr="00DC0EEC">
        <w:rPr>
          <w:rFonts w:ascii="仿宋_GB2312" w:eastAsia="仿宋_GB2312" w:hint="eastAsia"/>
          <w:sz w:val="24"/>
        </w:rPr>
        <w:t>填表人：</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1117"/>
        <w:gridCol w:w="1120"/>
        <w:gridCol w:w="4892"/>
        <w:gridCol w:w="3189"/>
        <w:gridCol w:w="778"/>
        <w:gridCol w:w="787"/>
        <w:gridCol w:w="1852"/>
      </w:tblGrid>
      <w:tr w:rsidR="001C0CBF" w:rsidRPr="00945B40" w:rsidTr="0076085B">
        <w:trPr>
          <w:trHeight w:val="795"/>
          <w:tblHeader/>
        </w:trPr>
        <w:tc>
          <w:tcPr>
            <w:tcW w:w="215"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序号</w:t>
            </w:r>
          </w:p>
        </w:tc>
        <w:tc>
          <w:tcPr>
            <w:tcW w:w="389"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类型</w:t>
            </w:r>
          </w:p>
        </w:tc>
        <w:tc>
          <w:tcPr>
            <w:tcW w:w="390"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督查项目</w:t>
            </w:r>
          </w:p>
        </w:tc>
        <w:tc>
          <w:tcPr>
            <w:tcW w:w="1704"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具体内容</w:t>
            </w:r>
          </w:p>
        </w:tc>
        <w:tc>
          <w:tcPr>
            <w:tcW w:w="1111"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督查依据</w:t>
            </w:r>
          </w:p>
        </w:tc>
        <w:tc>
          <w:tcPr>
            <w:tcW w:w="271"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是</w:t>
            </w:r>
          </w:p>
        </w:tc>
        <w:tc>
          <w:tcPr>
            <w:tcW w:w="274"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否</w:t>
            </w:r>
          </w:p>
        </w:tc>
        <w:tc>
          <w:tcPr>
            <w:tcW w:w="645" w:type="pct"/>
            <w:shd w:val="clear" w:color="auto" w:fill="auto"/>
            <w:vAlign w:val="center"/>
            <w:hideMark/>
          </w:tcPr>
          <w:p w:rsidR="001C0CBF" w:rsidRPr="00945B40" w:rsidRDefault="001C0CBF" w:rsidP="0076085B">
            <w:pPr>
              <w:widowControl/>
              <w:jc w:val="center"/>
              <w:rPr>
                <w:rFonts w:ascii="仿宋_GB2312" w:eastAsia="仿宋_GB2312" w:hAnsi="宋体" w:cs="宋体" w:hint="eastAsia"/>
                <w:b/>
                <w:bCs/>
                <w:color w:val="000000"/>
                <w:kern w:val="0"/>
                <w:sz w:val="22"/>
                <w:szCs w:val="22"/>
              </w:rPr>
            </w:pPr>
            <w:r w:rsidRPr="00945B40">
              <w:rPr>
                <w:rFonts w:ascii="仿宋_GB2312" w:eastAsia="仿宋_GB2312" w:hAnsi="宋体" w:cs="宋体" w:hint="eastAsia"/>
                <w:b/>
                <w:bCs/>
                <w:color w:val="000000"/>
                <w:kern w:val="0"/>
                <w:sz w:val="22"/>
                <w:szCs w:val="22"/>
              </w:rPr>
              <w:t>备注</w:t>
            </w:r>
            <w:r w:rsidRPr="00945B40">
              <w:rPr>
                <w:rFonts w:ascii="仿宋_GB2312" w:eastAsia="仿宋_GB2312" w:hAnsi="宋体" w:cs="宋体" w:hint="eastAsia"/>
                <w:b/>
                <w:bCs/>
                <w:color w:val="000000"/>
                <w:kern w:val="0"/>
                <w:sz w:val="22"/>
                <w:szCs w:val="22"/>
              </w:rPr>
              <w:br/>
              <w:t>（如填否，请备注原因）</w:t>
            </w:r>
          </w:p>
        </w:tc>
      </w:tr>
      <w:tr w:rsidR="001C0CBF" w:rsidRPr="00945B40" w:rsidTr="001C0CBF">
        <w:trPr>
          <w:trHeight w:hRule="exact" w:val="851"/>
        </w:trPr>
        <w:tc>
          <w:tcPr>
            <w:tcW w:w="21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w:t>
            </w:r>
          </w:p>
        </w:tc>
        <w:tc>
          <w:tcPr>
            <w:tcW w:w="389" w:type="pct"/>
            <w:vMerge w:val="restar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管理机制</w:t>
            </w:r>
          </w:p>
        </w:tc>
        <w:tc>
          <w:tcPr>
            <w:tcW w:w="390"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规章制度</w:t>
            </w:r>
          </w:p>
        </w:tc>
        <w:tc>
          <w:tcPr>
            <w:tcW w:w="1704"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kern w:val="0"/>
                <w:szCs w:val="21"/>
              </w:rPr>
            </w:pPr>
            <w:r w:rsidRPr="00945B40">
              <w:rPr>
                <w:rFonts w:ascii="仿宋_GB2312" w:eastAsia="仿宋_GB2312" w:hAnsi="宋体" w:cs="宋体" w:hint="eastAsia"/>
                <w:kern w:val="0"/>
                <w:szCs w:val="21"/>
              </w:rPr>
              <w:t>是否建立了企业信息管理规章制度</w:t>
            </w:r>
          </w:p>
        </w:tc>
        <w:tc>
          <w:tcPr>
            <w:tcW w:w="1111"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能源局701号文、540号文“五、监督管理”中相关内容</w:t>
            </w:r>
          </w:p>
        </w:tc>
        <w:tc>
          <w:tcPr>
            <w:tcW w:w="271"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274"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64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r>
      <w:tr w:rsidR="001C0CBF" w:rsidRPr="00945B40" w:rsidTr="001C0CBF">
        <w:trPr>
          <w:trHeight w:hRule="exact" w:val="851"/>
        </w:trPr>
        <w:tc>
          <w:tcPr>
            <w:tcW w:w="21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2</w:t>
            </w:r>
          </w:p>
        </w:tc>
        <w:tc>
          <w:tcPr>
            <w:tcW w:w="389" w:type="pct"/>
            <w:vMerge/>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组织机构</w:t>
            </w:r>
          </w:p>
        </w:tc>
        <w:tc>
          <w:tcPr>
            <w:tcW w:w="1704"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kern w:val="0"/>
                <w:szCs w:val="21"/>
              </w:rPr>
            </w:pPr>
            <w:r w:rsidRPr="00945B40">
              <w:rPr>
                <w:rFonts w:ascii="仿宋_GB2312" w:eastAsia="仿宋_GB2312" w:hAnsi="宋体" w:cs="宋体" w:hint="eastAsia"/>
                <w:kern w:val="0"/>
                <w:szCs w:val="21"/>
              </w:rPr>
              <w:t>是否明确了信息管理组织机构，明确牵头部门、责任部门及联系人</w:t>
            </w:r>
          </w:p>
        </w:tc>
        <w:tc>
          <w:tcPr>
            <w:tcW w:w="1111"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能源局701号文、540号文“五、监督管理”中相关内容</w:t>
            </w:r>
          </w:p>
        </w:tc>
        <w:tc>
          <w:tcPr>
            <w:tcW w:w="271"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274"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64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r>
      <w:tr w:rsidR="001C0CBF" w:rsidRPr="00945B40" w:rsidTr="001C0CBF">
        <w:trPr>
          <w:trHeight w:hRule="exact" w:val="851"/>
        </w:trPr>
        <w:tc>
          <w:tcPr>
            <w:tcW w:w="21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3</w:t>
            </w:r>
          </w:p>
        </w:tc>
        <w:tc>
          <w:tcPr>
            <w:tcW w:w="389" w:type="pct"/>
            <w:vMerge/>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工作机制</w:t>
            </w:r>
          </w:p>
        </w:tc>
        <w:tc>
          <w:tcPr>
            <w:tcW w:w="1704"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kern w:val="0"/>
                <w:szCs w:val="21"/>
              </w:rPr>
            </w:pPr>
            <w:r w:rsidRPr="00945B40">
              <w:rPr>
                <w:rFonts w:ascii="仿宋_GB2312" w:eastAsia="仿宋_GB2312" w:hAnsi="宋体" w:cs="宋体" w:hint="eastAsia"/>
                <w:kern w:val="0"/>
                <w:szCs w:val="21"/>
              </w:rPr>
              <w:t>是否建立了信息公开和报送工作机制，并与所在区域派出机构建立工作联系</w:t>
            </w:r>
          </w:p>
        </w:tc>
        <w:tc>
          <w:tcPr>
            <w:tcW w:w="1111"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能源局701号文、540号文“五、监督管理”中相关内容</w:t>
            </w:r>
          </w:p>
        </w:tc>
        <w:tc>
          <w:tcPr>
            <w:tcW w:w="271"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274"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64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r>
      <w:tr w:rsidR="001C0CBF" w:rsidRPr="00945B40" w:rsidTr="001C0CBF">
        <w:trPr>
          <w:trHeight w:hRule="exact" w:val="851"/>
        </w:trPr>
        <w:tc>
          <w:tcPr>
            <w:tcW w:w="21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4</w:t>
            </w:r>
          </w:p>
        </w:tc>
        <w:tc>
          <w:tcPr>
            <w:tcW w:w="389" w:type="pct"/>
            <w:vMerge/>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平台建设</w:t>
            </w:r>
          </w:p>
        </w:tc>
        <w:tc>
          <w:tcPr>
            <w:tcW w:w="1704"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是否建立了信息公开平台，是否有固定的网站或者发布信息公告、简报、发布会等，信息平台是否定期维护更新</w:t>
            </w:r>
          </w:p>
        </w:tc>
        <w:tc>
          <w:tcPr>
            <w:tcW w:w="1111"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能源局84号文第二十条；</w:t>
            </w:r>
            <w:r w:rsidRPr="00945B40">
              <w:rPr>
                <w:rFonts w:ascii="仿宋_GB2312" w:eastAsia="仿宋_GB2312" w:hAnsi="宋体" w:cs="宋体" w:hint="eastAsia"/>
                <w:color w:val="000000"/>
                <w:kern w:val="0"/>
                <w:szCs w:val="21"/>
              </w:rPr>
              <w:br/>
              <w:t>能源局540号文“四、有关要求”中第一条、第二条</w:t>
            </w:r>
          </w:p>
        </w:tc>
        <w:tc>
          <w:tcPr>
            <w:tcW w:w="271"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274"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64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r>
      <w:tr w:rsidR="001C0CBF" w:rsidRPr="00945B40" w:rsidTr="001C0CBF">
        <w:trPr>
          <w:trHeight w:hRule="exact" w:val="851"/>
        </w:trPr>
        <w:tc>
          <w:tcPr>
            <w:tcW w:w="21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lastRenderedPageBreak/>
              <w:t>5</w:t>
            </w:r>
          </w:p>
        </w:tc>
        <w:tc>
          <w:tcPr>
            <w:tcW w:w="389" w:type="pct"/>
            <w:vMerge/>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独立核算</w:t>
            </w:r>
          </w:p>
        </w:tc>
        <w:tc>
          <w:tcPr>
            <w:tcW w:w="1704" w:type="pct"/>
            <w:shd w:val="clear" w:color="auto" w:fill="auto"/>
            <w:vAlign w:val="center"/>
            <w:hideMark/>
          </w:tcPr>
          <w:p w:rsidR="001C0CBF" w:rsidRPr="00945B40" w:rsidRDefault="001C0CBF" w:rsidP="001C0CBF">
            <w:pPr>
              <w:widowControl/>
              <w:adjustRightInd w:val="0"/>
              <w:snapToGrid w:val="0"/>
              <w:rPr>
                <w:rFonts w:ascii="仿宋_GB2312" w:eastAsia="仿宋_GB2312" w:hAnsi="宋体" w:cs="宋体" w:hint="eastAsia"/>
                <w:kern w:val="0"/>
                <w:szCs w:val="21"/>
              </w:rPr>
            </w:pPr>
            <w:r w:rsidRPr="00945B40">
              <w:rPr>
                <w:rFonts w:ascii="仿宋_GB2312" w:eastAsia="仿宋_GB2312" w:hAnsi="宋体" w:cs="宋体" w:hint="eastAsia"/>
                <w:kern w:val="0"/>
                <w:szCs w:val="21"/>
              </w:rPr>
              <w:t>是否执行了油气管网设施运营业务独立核算；是否具有健全的财务管理体系</w:t>
            </w:r>
          </w:p>
        </w:tc>
        <w:tc>
          <w:tcPr>
            <w:tcW w:w="1111"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color w:val="000000"/>
                <w:kern w:val="0"/>
                <w:szCs w:val="21"/>
              </w:rPr>
            </w:pPr>
            <w:proofErr w:type="gramStart"/>
            <w:r w:rsidRPr="00945B40">
              <w:rPr>
                <w:rFonts w:ascii="仿宋_GB2312" w:eastAsia="仿宋_GB2312" w:hAnsi="宋体" w:cs="宋体" w:hint="eastAsia"/>
                <w:color w:val="000000"/>
                <w:kern w:val="0"/>
                <w:szCs w:val="21"/>
              </w:rPr>
              <w:t>发改委</w:t>
            </w:r>
            <w:proofErr w:type="gramEnd"/>
            <w:r w:rsidRPr="00945B40">
              <w:rPr>
                <w:rFonts w:ascii="仿宋_GB2312" w:eastAsia="仿宋_GB2312" w:hAnsi="宋体" w:cs="宋体" w:hint="eastAsia"/>
                <w:color w:val="000000"/>
                <w:kern w:val="0"/>
                <w:szCs w:val="21"/>
              </w:rPr>
              <w:t>8号令第十六条；</w:t>
            </w:r>
            <w:r w:rsidRPr="00945B40">
              <w:rPr>
                <w:rFonts w:ascii="仿宋_GB2312" w:eastAsia="仿宋_GB2312" w:hAnsi="宋体" w:cs="宋体" w:hint="eastAsia"/>
                <w:color w:val="000000"/>
                <w:kern w:val="0"/>
                <w:szCs w:val="21"/>
              </w:rPr>
              <w:br/>
              <w:t>能源局84号文第十九条</w:t>
            </w:r>
          </w:p>
        </w:tc>
        <w:tc>
          <w:tcPr>
            <w:tcW w:w="271"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274"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c>
          <w:tcPr>
            <w:tcW w:w="645" w:type="pct"/>
            <w:shd w:val="clear" w:color="auto" w:fill="auto"/>
            <w:vAlign w:val="center"/>
            <w:hideMark/>
          </w:tcPr>
          <w:p w:rsidR="001C0CBF" w:rsidRPr="00945B40" w:rsidRDefault="001C0CBF" w:rsidP="001C0CBF">
            <w:pPr>
              <w:widowControl/>
              <w:adjustRightInd w:val="0"/>
              <w:snapToGrid w:val="0"/>
              <w:jc w:val="center"/>
              <w:rPr>
                <w:rFonts w:ascii="仿宋_GB2312" w:eastAsia="仿宋_GB2312" w:hAnsi="宋体" w:cs="宋体" w:hint="eastAsia"/>
                <w:b/>
                <w:bCs/>
                <w:color w:val="000000"/>
                <w:kern w:val="0"/>
                <w:szCs w:val="21"/>
              </w:rPr>
            </w:pPr>
          </w:p>
        </w:tc>
      </w:tr>
      <w:tr w:rsidR="001C0CBF" w:rsidRPr="00945B40" w:rsidTr="001C0CBF">
        <w:trPr>
          <w:trHeight w:val="3152"/>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6</w:t>
            </w:r>
          </w:p>
        </w:tc>
        <w:tc>
          <w:tcPr>
            <w:tcW w:w="389" w:type="pct"/>
            <w:vMerge w:val="restar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信息公开</w:t>
            </w: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基本信息</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b/>
                <w:bCs/>
                <w:kern w:val="0"/>
                <w:szCs w:val="21"/>
              </w:rPr>
            </w:pPr>
            <w:r w:rsidRPr="00945B40">
              <w:rPr>
                <w:rFonts w:ascii="仿宋_GB2312" w:eastAsia="仿宋_GB2312" w:hAnsi="宋体" w:cs="宋体" w:hint="eastAsia"/>
                <w:b/>
                <w:bCs/>
                <w:kern w:val="0"/>
                <w:szCs w:val="21"/>
              </w:rPr>
              <w:t>天然气管道</w:t>
            </w:r>
            <w:r w:rsidRPr="00945B40">
              <w:rPr>
                <w:rFonts w:ascii="仿宋_GB2312" w:eastAsia="仿宋_GB2312" w:hAnsi="宋体" w:cs="宋体" w:hint="eastAsia"/>
                <w:color w:val="000000"/>
                <w:kern w:val="0"/>
                <w:szCs w:val="21"/>
              </w:rPr>
              <w:t>：是否公布了管道名称、投产时间、起止点、途径省市、管道长度，设计能力，设计压力等信息；</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原油管道</w:t>
            </w:r>
            <w:r w:rsidRPr="00945B40">
              <w:rPr>
                <w:rFonts w:ascii="仿宋_GB2312" w:eastAsia="仿宋_GB2312" w:hAnsi="宋体" w:cs="宋体" w:hint="eastAsia"/>
                <w:color w:val="000000"/>
                <w:kern w:val="0"/>
                <w:szCs w:val="21"/>
              </w:rPr>
              <w:t xml:space="preserve">：是否公布了管道名称、投产时间、起止点、途径省市、管道长度，设计能力，设计压力等信息； </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成品油管道</w:t>
            </w:r>
            <w:r w:rsidRPr="00945B40">
              <w:rPr>
                <w:rFonts w:ascii="仿宋_GB2312" w:eastAsia="仿宋_GB2312" w:hAnsi="宋体" w:cs="宋体" w:hint="eastAsia"/>
                <w:color w:val="000000"/>
                <w:kern w:val="0"/>
                <w:szCs w:val="21"/>
              </w:rPr>
              <w:t>：是否公布了管道名称、投产时间、起止点、途径省市、管道长度，设计能力，设计压力等信息；</w:t>
            </w:r>
            <w:r w:rsidRPr="00945B40">
              <w:rPr>
                <w:rFonts w:ascii="仿宋_GB2312" w:eastAsia="仿宋_GB2312" w:hAnsi="宋体" w:cs="宋体" w:hint="eastAsia"/>
                <w:b/>
                <w:bCs/>
                <w:kern w:val="0"/>
                <w:szCs w:val="21"/>
              </w:rPr>
              <w:t>储气库</w:t>
            </w:r>
            <w:r w:rsidRPr="00945B40">
              <w:rPr>
                <w:rFonts w:ascii="仿宋_GB2312" w:eastAsia="仿宋_GB2312" w:hAnsi="宋体" w:cs="宋体" w:hint="eastAsia"/>
                <w:kern w:val="0"/>
                <w:szCs w:val="21"/>
              </w:rPr>
              <w:t>：是否公布了储气库名称、投产时间、位置、类型、工作气能力、连接储气库的管道名称、注入和输出压力、最大日注气能力和输出能力等信息；</w:t>
            </w:r>
            <w:r w:rsidRPr="00945B40">
              <w:rPr>
                <w:rFonts w:ascii="仿宋_GB2312" w:eastAsia="仿宋_GB2312" w:hAnsi="宋体" w:cs="宋体" w:hint="eastAsia"/>
                <w:color w:val="000000"/>
                <w:kern w:val="0"/>
                <w:szCs w:val="21"/>
              </w:rPr>
              <w:t xml:space="preserve"> </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LNG接收站：</w:t>
            </w:r>
            <w:r w:rsidRPr="00945B40">
              <w:rPr>
                <w:rFonts w:ascii="仿宋_GB2312" w:eastAsia="仿宋_GB2312" w:hAnsi="宋体" w:cs="宋体" w:hint="eastAsia"/>
                <w:color w:val="000000"/>
                <w:kern w:val="0"/>
                <w:szCs w:val="21"/>
              </w:rPr>
              <w:t>是否公布了接收站的名称、投产时间、位置、设计能力等信息。</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能源局540号</w:t>
            </w:r>
            <w:proofErr w:type="gramStart"/>
            <w:r w:rsidRPr="00945B40">
              <w:rPr>
                <w:rFonts w:ascii="仿宋_GB2312" w:eastAsia="仿宋_GB2312" w:hAnsi="宋体" w:cs="宋体" w:hint="eastAsia"/>
                <w:color w:val="000000"/>
                <w:kern w:val="0"/>
                <w:szCs w:val="21"/>
              </w:rPr>
              <w:t>文公开</w:t>
            </w:r>
            <w:proofErr w:type="gramEnd"/>
            <w:r w:rsidRPr="00945B40">
              <w:rPr>
                <w:rFonts w:ascii="仿宋_GB2312" w:eastAsia="仿宋_GB2312" w:hAnsi="宋体" w:cs="宋体" w:hint="eastAsia"/>
                <w:color w:val="000000"/>
                <w:kern w:val="0"/>
                <w:szCs w:val="21"/>
              </w:rPr>
              <w:t>内容主动公开第一条</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977"/>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7</w:t>
            </w:r>
          </w:p>
        </w:tc>
        <w:tc>
          <w:tcPr>
            <w:tcW w:w="389" w:type="pct"/>
            <w:vMerge/>
            <w:vAlign w:val="center"/>
            <w:hideMark/>
          </w:tcPr>
          <w:p w:rsidR="001C0CBF" w:rsidRPr="00945B40" w:rsidRDefault="001C0CBF" w:rsidP="0076085B">
            <w:pPr>
              <w:adjustRightInd w:val="0"/>
              <w:snapToGrid w:val="0"/>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接入标准</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 xml:space="preserve">是否公布了管网设施接入标准目录（包括：设施的质量、安全标准、接入油气的质量、压力、计量标准等信息）；                                                 </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能源局540号文“一、公开内容”中主动公开部分第二条</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851"/>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8</w:t>
            </w:r>
          </w:p>
        </w:tc>
        <w:tc>
          <w:tcPr>
            <w:tcW w:w="389" w:type="pct"/>
            <w:vMerge/>
            <w:vAlign w:val="center"/>
            <w:hideMark/>
          </w:tcPr>
          <w:p w:rsidR="001C0CBF" w:rsidRPr="00945B40" w:rsidRDefault="001C0CBF" w:rsidP="0076085B">
            <w:pPr>
              <w:adjustRightInd w:val="0"/>
              <w:snapToGrid w:val="0"/>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申请条件</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是否公布了申请接入设施的用户应满足的相关条件（如：用户资质、信用、财务能力等要求）。</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能源局540号文“一、公开内容”中主动公开部分第四条</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964"/>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9</w:t>
            </w:r>
          </w:p>
        </w:tc>
        <w:tc>
          <w:tcPr>
            <w:tcW w:w="389" w:type="pct"/>
            <w:vMerge/>
            <w:vAlign w:val="center"/>
            <w:hideMark/>
          </w:tcPr>
          <w:p w:rsidR="001C0CBF" w:rsidRPr="00945B40" w:rsidRDefault="001C0CBF" w:rsidP="0076085B">
            <w:pPr>
              <w:adjustRightInd w:val="0"/>
              <w:snapToGrid w:val="0"/>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价格、收费</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是否公开了提供服务的计量方式与计价方式，收费项目、价格标准及文件依据</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能源局540号文“一、公开内容”中主动公开部分第三条</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1C0CBF">
        <w:trPr>
          <w:trHeight w:val="886"/>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lastRenderedPageBreak/>
              <w:t>10</w:t>
            </w:r>
          </w:p>
        </w:tc>
        <w:tc>
          <w:tcPr>
            <w:tcW w:w="389" w:type="pct"/>
            <w:vMerge/>
            <w:shd w:val="clear" w:color="auto" w:fill="auto"/>
            <w:vAlign w:val="center"/>
            <w:hideMark/>
          </w:tcPr>
          <w:p w:rsidR="001C0CBF" w:rsidRPr="00945B40" w:rsidRDefault="001C0CBF" w:rsidP="0076085B">
            <w:pPr>
              <w:widowControl/>
              <w:adjustRightInd w:val="0"/>
              <w:snapToGrid w:val="0"/>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受理流程</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是否公开了申请使用设施的用户需提交的资料、信息受理流程（提交申请、答复意见、签订合同、合同执行等各环节时限要求）、联系人及联系方式</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能源局540号文“一、公开内容”中主动公开部分第五条</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1C0CBF">
        <w:trPr>
          <w:trHeight w:val="1298"/>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11</w:t>
            </w:r>
          </w:p>
        </w:tc>
        <w:tc>
          <w:tcPr>
            <w:tcW w:w="389"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信息公开</w:t>
            </w: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服务内容（依申请公开）</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是否向提出申请的用户公布了申请接入的油气管网设施的剩余能力和对应时段、可接收或分输油气的地点，申请接入油气管网设施对接入油气质量、压力等指标的具体要求</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能源局540号文“一、公开内容”中依申请公开的内容</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5040"/>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12</w:t>
            </w:r>
          </w:p>
        </w:tc>
        <w:tc>
          <w:tcPr>
            <w:tcW w:w="389"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信息报送</w:t>
            </w: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基本情况</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 xml:space="preserve">是否报送了油气管网设施的总体情况：                               </w:t>
            </w:r>
            <w:r w:rsidRPr="00945B40">
              <w:rPr>
                <w:rFonts w:ascii="仿宋_GB2312" w:eastAsia="仿宋_GB2312" w:hAnsi="宋体" w:cs="宋体" w:hint="eastAsia"/>
                <w:kern w:val="0"/>
                <w:szCs w:val="21"/>
              </w:rPr>
              <w:br w:type="page"/>
            </w:r>
            <w:r w:rsidRPr="00945B40">
              <w:rPr>
                <w:rFonts w:ascii="仿宋_GB2312" w:eastAsia="仿宋_GB2312" w:hAnsi="宋体" w:cs="宋体" w:hint="eastAsia"/>
                <w:b/>
                <w:bCs/>
                <w:kern w:val="0"/>
                <w:szCs w:val="21"/>
              </w:rPr>
              <w:t>原油管道：</w:t>
            </w:r>
            <w:r w:rsidRPr="00945B40">
              <w:rPr>
                <w:rFonts w:ascii="仿宋_GB2312" w:eastAsia="仿宋_GB2312" w:hAnsi="宋体" w:cs="宋体" w:hint="eastAsia"/>
                <w:color w:val="000000"/>
                <w:kern w:val="0"/>
                <w:szCs w:val="21"/>
              </w:rPr>
              <w:t>包括核准、在建、已建成等项目的名称、走向、长度、投产或拟投产时间、设计能力、剩余能力、实际输送量、利用效率等信息；</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成品油管道：</w:t>
            </w:r>
            <w:r w:rsidRPr="00945B40">
              <w:rPr>
                <w:rFonts w:ascii="仿宋_GB2312" w:eastAsia="仿宋_GB2312" w:hAnsi="宋体" w:cs="宋体" w:hint="eastAsia"/>
                <w:color w:val="000000"/>
                <w:kern w:val="0"/>
                <w:szCs w:val="21"/>
              </w:rPr>
              <w:t>包括核准、在建、已建成等项目的名称、走向、长度、投产或拟投产时间、设计能力、剩余能力、实际输送量、利用效率等信息；</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天然气管道</w:t>
            </w:r>
            <w:r w:rsidRPr="00945B40">
              <w:rPr>
                <w:rFonts w:ascii="仿宋_GB2312" w:eastAsia="仿宋_GB2312" w:hAnsi="宋体" w:cs="宋体" w:hint="eastAsia"/>
                <w:color w:val="000000"/>
                <w:kern w:val="0"/>
                <w:szCs w:val="21"/>
              </w:rPr>
              <w:t>：包括核准、在建、已建成等项目的名称、走向、长度、投产或拟投产时间、设计能力、剩余能力、实际输送量、利用效率等信息；</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储气库：</w:t>
            </w:r>
            <w:r w:rsidRPr="00945B40">
              <w:rPr>
                <w:rFonts w:ascii="仿宋_GB2312" w:eastAsia="仿宋_GB2312" w:hAnsi="宋体" w:cs="宋体" w:hint="eastAsia"/>
                <w:kern w:val="0"/>
                <w:szCs w:val="21"/>
              </w:rPr>
              <w:t>包括核准、在建、已建成等项目的名称、位置、投产或拟投产时间、储气设计能力及工作气量、剩余能力、利用效率等信息；</w:t>
            </w:r>
            <w:r w:rsidRPr="00945B40">
              <w:rPr>
                <w:rFonts w:ascii="仿宋_GB2312" w:eastAsia="仿宋_GB2312" w:hAnsi="宋体" w:cs="宋体" w:hint="eastAsia"/>
                <w:color w:val="000000"/>
                <w:kern w:val="0"/>
                <w:szCs w:val="21"/>
              </w:rPr>
              <w:br w:type="page"/>
            </w:r>
            <w:r w:rsidRPr="00945B40">
              <w:rPr>
                <w:rFonts w:ascii="仿宋_GB2312" w:eastAsia="仿宋_GB2312" w:hAnsi="宋体" w:cs="宋体" w:hint="eastAsia"/>
                <w:b/>
                <w:bCs/>
                <w:kern w:val="0"/>
                <w:szCs w:val="21"/>
              </w:rPr>
              <w:t>LNG接收站：</w:t>
            </w:r>
            <w:r w:rsidRPr="00945B40">
              <w:rPr>
                <w:rFonts w:ascii="仿宋_GB2312" w:eastAsia="仿宋_GB2312" w:hAnsi="宋体" w:cs="宋体" w:hint="eastAsia"/>
                <w:color w:val="000000"/>
                <w:kern w:val="0"/>
                <w:szCs w:val="21"/>
              </w:rPr>
              <w:t>包括核准、在建、已建成等项目的名称、位置、投产或拟投产时间、设计能力（包括接收能力、存储能力、装车能力）、剩余能力、年实际输送量（气化外输量、槽车外运量）、利用效率等信息。</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能源局84号文第二十一条；</w:t>
            </w:r>
            <w:r w:rsidRPr="00945B40">
              <w:rPr>
                <w:rFonts w:ascii="仿宋_GB2312" w:eastAsia="仿宋_GB2312" w:hAnsi="宋体" w:cs="宋体" w:hint="eastAsia"/>
                <w:color w:val="000000"/>
                <w:kern w:val="0"/>
                <w:szCs w:val="21"/>
              </w:rPr>
              <w:br w:type="page"/>
              <w:t>能源局701号文“一、油气管网设施开放监管信息报送（三）报送内容”中基本情况</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1134"/>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lastRenderedPageBreak/>
              <w:t>13</w:t>
            </w:r>
          </w:p>
        </w:tc>
        <w:tc>
          <w:tcPr>
            <w:tcW w:w="389" w:type="pct"/>
            <w:vMerge w:val="restart"/>
            <w:shd w:val="clear" w:color="auto" w:fill="auto"/>
            <w:vAlign w:val="center"/>
            <w:hideMark/>
          </w:tcPr>
          <w:p w:rsidR="001C0CBF" w:rsidRPr="00945B40" w:rsidRDefault="001C0CBF" w:rsidP="0076085B">
            <w:pPr>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信息报送</w:t>
            </w: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生产运营</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是否报送了油气管网设施运营的年度计划、限（停）产检修计划及执行情况、月度计划及剩余能力，以及油气管道上半年、年度输送（存储）量，油气管网设施利用效率等信息。</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能源局84号文第二十一条；</w:t>
            </w:r>
            <w:r w:rsidRPr="00945B40">
              <w:rPr>
                <w:rFonts w:ascii="仿宋_GB2312" w:eastAsia="仿宋_GB2312" w:hAnsi="宋体" w:cs="宋体" w:hint="eastAsia"/>
                <w:kern w:val="0"/>
                <w:szCs w:val="21"/>
              </w:rPr>
              <w:br/>
              <w:t>能源局701号文“一、油气管网设施开放监管信息报送（三）报送内容”中基本情况</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1C0CBF">
        <w:trPr>
          <w:trHeight w:val="887"/>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14</w:t>
            </w:r>
          </w:p>
        </w:tc>
        <w:tc>
          <w:tcPr>
            <w:tcW w:w="389" w:type="pct"/>
            <w:vMerge/>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申请用户及受理结果</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是否报送了申请使用设施的用户名称、申请的服务类型、数量及时间、受理的结果及理由</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能源局701号文“一、油气管网设施开放监管信息报送（三）报送内容”中开放情况</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1134"/>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15</w:t>
            </w:r>
          </w:p>
        </w:tc>
        <w:tc>
          <w:tcPr>
            <w:tcW w:w="389" w:type="pct"/>
            <w:vMerge/>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开放及执行情况</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是否报送了签订服务合同的用户名称、提供服务的设施名称、时段、数量、价格、收费情况等</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能源局701号文“一、油气管网设施开放监管信息报送（三）报送内容”中开放情况</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1134"/>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16</w:t>
            </w:r>
          </w:p>
        </w:tc>
        <w:tc>
          <w:tcPr>
            <w:tcW w:w="389" w:type="pct"/>
            <w:vMerge/>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合同备案</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是否报送了设施运营企业与申请使用设施的用户签订的使用协议或服务合同</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能源局701号文“一、油气管网设施开放监管信息报送（三）报送内容”中开放情况</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1134"/>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17</w:t>
            </w:r>
          </w:p>
        </w:tc>
        <w:tc>
          <w:tcPr>
            <w:tcW w:w="389" w:type="pct"/>
            <w:vMerge/>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运营价格</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是否报送了油气管网设施运营价格（包括价格主管部门按有关规定确定的输送（存储、气化等）服务价格目录（注明相关价格文件文号）以及实际执行情况等）</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kern w:val="0"/>
                <w:szCs w:val="21"/>
              </w:rPr>
            </w:pPr>
            <w:r w:rsidRPr="00945B40">
              <w:rPr>
                <w:rFonts w:ascii="仿宋_GB2312" w:eastAsia="仿宋_GB2312" w:hAnsi="宋体" w:cs="宋体" w:hint="eastAsia"/>
                <w:kern w:val="0"/>
                <w:szCs w:val="21"/>
              </w:rPr>
              <w:t>能源局701号文“一、油气管网设施开放监管信息报送（三）报送内容”中基本情况</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r w:rsidR="001C0CBF" w:rsidRPr="00945B40" w:rsidTr="0076085B">
        <w:trPr>
          <w:trHeight w:val="1134"/>
        </w:trPr>
        <w:tc>
          <w:tcPr>
            <w:tcW w:w="21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18</w:t>
            </w:r>
          </w:p>
        </w:tc>
        <w:tc>
          <w:tcPr>
            <w:tcW w:w="389" w:type="pct"/>
            <w:vMerge/>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p>
        </w:tc>
        <w:tc>
          <w:tcPr>
            <w:tcW w:w="390"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经营情况</w:t>
            </w:r>
          </w:p>
        </w:tc>
        <w:tc>
          <w:tcPr>
            <w:tcW w:w="1704"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t>是否报送了油气管网设施运营企业的生产经营情况（包括资产、负债、收入、成本、税费、利润等）</w:t>
            </w:r>
          </w:p>
        </w:tc>
        <w:tc>
          <w:tcPr>
            <w:tcW w:w="1111" w:type="pct"/>
            <w:shd w:val="clear" w:color="auto" w:fill="auto"/>
            <w:vAlign w:val="center"/>
            <w:hideMark/>
          </w:tcPr>
          <w:p w:rsidR="001C0CBF" w:rsidRPr="00945B40" w:rsidRDefault="001C0CBF" w:rsidP="0076085B">
            <w:pPr>
              <w:widowControl/>
              <w:adjustRightInd w:val="0"/>
              <w:snapToGrid w:val="0"/>
              <w:jc w:val="left"/>
              <w:rPr>
                <w:rFonts w:ascii="仿宋_GB2312" w:eastAsia="仿宋_GB2312" w:hAnsi="宋体" w:cs="宋体" w:hint="eastAsia"/>
                <w:color w:val="000000"/>
                <w:kern w:val="0"/>
                <w:szCs w:val="21"/>
              </w:rPr>
            </w:pPr>
            <w:r w:rsidRPr="00945B40">
              <w:rPr>
                <w:rFonts w:ascii="仿宋_GB2312" w:eastAsia="仿宋_GB2312" w:hAnsi="宋体" w:cs="宋体" w:hint="eastAsia"/>
                <w:color w:val="000000"/>
                <w:kern w:val="0"/>
                <w:szCs w:val="21"/>
              </w:rPr>
              <w:br/>
              <w:t>能源局701号文“二、油气企业成本监管信息报送”中的报送内容</w:t>
            </w:r>
          </w:p>
        </w:tc>
        <w:tc>
          <w:tcPr>
            <w:tcW w:w="271"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274"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c>
          <w:tcPr>
            <w:tcW w:w="645" w:type="pct"/>
            <w:shd w:val="clear" w:color="auto" w:fill="auto"/>
            <w:vAlign w:val="center"/>
            <w:hideMark/>
          </w:tcPr>
          <w:p w:rsidR="001C0CBF" w:rsidRPr="00945B40" w:rsidRDefault="001C0CBF" w:rsidP="0076085B">
            <w:pPr>
              <w:widowControl/>
              <w:adjustRightInd w:val="0"/>
              <w:snapToGrid w:val="0"/>
              <w:jc w:val="center"/>
              <w:rPr>
                <w:rFonts w:ascii="仿宋_GB2312" w:eastAsia="仿宋_GB2312" w:hAnsi="宋体" w:cs="宋体" w:hint="eastAsia"/>
                <w:b/>
                <w:bCs/>
                <w:color w:val="000000"/>
                <w:kern w:val="0"/>
                <w:szCs w:val="21"/>
              </w:rPr>
            </w:pPr>
            <w:r w:rsidRPr="00945B40">
              <w:rPr>
                <w:rFonts w:ascii="仿宋_GB2312" w:eastAsia="仿宋_GB2312" w:hAnsi="宋体" w:cs="宋体" w:hint="eastAsia"/>
                <w:b/>
                <w:bCs/>
                <w:color w:val="000000"/>
                <w:kern w:val="0"/>
                <w:szCs w:val="21"/>
              </w:rPr>
              <w:t xml:space="preserve">　</w:t>
            </w:r>
          </w:p>
        </w:tc>
      </w:tr>
    </w:tbl>
    <w:p w:rsidR="001C0CBF" w:rsidRDefault="001C0CBF" w:rsidP="001C0CBF">
      <w:pPr>
        <w:snapToGrid w:val="0"/>
        <w:spacing w:line="360" w:lineRule="auto"/>
        <w:ind w:firstLineChars="100" w:firstLine="100"/>
        <w:jc w:val="left"/>
        <w:rPr>
          <w:rFonts w:ascii="仿宋_GB2312" w:eastAsia="仿宋_GB2312" w:hAnsi="宋体"/>
          <w:sz w:val="10"/>
          <w:szCs w:val="10"/>
        </w:rPr>
      </w:pPr>
    </w:p>
    <w:p w:rsidR="001C0CBF" w:rsidRDefault="001C0CBF" w:rsidP="001C0CBF">
      <w:pPr>
        <w:snapToGrid w:val="0"/>
        <w:spacing w:line="360" w:lineRule="auto"/>
        <w:ind w:firstLineChars="100" w:firstLine="100"/>
        <w:jc w:val="left"/>
        <w:rPr>
          <w:rFonts w:ascii="仿宋_GB2312" w:eastAsia="仿宋_GB2312" w:hAnsi="宋体"/>
          <w:sz w:val="10"/>
          <w:szCs w:val="10"/>
        </w:rPr>
      </w:pPr>
    </w:p>
    <w:p w:rsidR="00E60F57" w:rsidRPr="001C0CBF" w:rsidRDefault="00E60F57"/>
    <w:sectPr w:rsidR="00E60F57" w:rsidRPr="001C0CBF" w:rsidSect="001C0CB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A82" w:rsidRDefault="00E01A82" w:rsidP="001C0CBF">
      <w:r>
        <w:separator/>
      </w:r>
    </w:p>
  </w:endnote>
  <w:endnote w:type="continuationSeparator" w:id="0">
    <w:p w:rsidR="00E01A82" w:rsidRDefault="00E01A82" w:rsidP="001C0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A82" w:rsidRDefault="00E01A82" w:rsidP="001C0CBF">
      <w:r>
        <w:separator/>
      </w:r>
    </w:p>
  </w:footnote>
  <w:footnote w:type="continuationSeparator" w:id="0">
    <w:p w:rsidR="00E01A82" w:rsidRDefault="00E01A82" w:rsidP="001C0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CBF"/>
    <w:rsid w:val="00187A38"/>
    <w:rsid w:val="001C0CBF"/>
    <w:rsid w:val="0031216B"/>
    <w:rsid w:val="004664F4"/>
    <w:rsid w:val="004A346A"/>
    <w:rsid w:val="00E01A82"/>
    <w:rsid w:val="00E60F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C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0C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0CBF"/>
    <w:rPr>
      <w:sz w:val="18"/>
      <w:szCs w:val="18"/>
    </w:rPr>
  </w:style>
  <w:style w:type="paragraph" w:styleId="a4">
    <w:name w:val="footer"/>
    <w:basedOn w:val="a"/>
    <w:link w:val="Char0"/>
    <w:uiPriority w:val="99"/>
    <w:unhideWhenUsed/>
    <w:rsid w:val="001C0C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0C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xuecheng</dc:creator>
  <cp:keywords/>
  <dc:description/>
  <cp:lastModifiedBy>xuecheng</cp:lastModifiedBy>
  <cp:revision>2</cp:revision>
  <dcterms:created xsi:type="dcterms:W3CDTF">2018-04-27T06:49:00Z</dcterms:created>
  <dcterms:modified xsi:type="dcterms:W3CDTF">2018-04-27T06:52:00Z</dcterms:modified>
</cp:coreProperties>
</file>