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贵州省煤矿智能化掘进工作面建设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验收有关要求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一、智能化掘进工作面工艺划分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（一）掘进过程智能化：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实现前探、掘进、运输“三位一体”高效快速掘技术体系，实现防突风门外远距离集中可视化操作。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锚护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过程智能化：一是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实现锚杆作业工序（钻孔、装药卷、上锚杆、紧固锚杆、锚杆供给）的自动化，实现辅助工序（铺网）的自动化。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宜应用围岩状态实时监测及锚护参数的动态设计、锚护位置自动定位、智能锚钻集中控制系统、药卷自动喷射、智能健康诊断、自动铺网等技术。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二、建设与验收要求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各煤炭企业依据自身实际，按统一规划、逐步完善的原则，</w:t>
      </w:r>
      <w:r>
        <w:rPr>
          <w:rFonts w:eastAsia="仿宋_GB2312"/>
          <w:b w:val="0"/>
          <w:bCs/>
          <w:sz w:val="32"/>
          <w:szCs w:val="32"/>
        </w:rPr>
        <w:t>分项实施煤矿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智能化掘进工作面</w:t>
      </w:r>
      <w:r>
        <w:rPr>
          <w:rFonts w:eastAsia="仿宋_GB2312"/>
          <w:b w:val="0"/>
          <w:bCs/>
          <w:sz w:val="32"/>
          <w:szCs w:val="32"/>
        </w:rPr>
        <w:t>建设工作。煤矿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智能化掘进工作面</w:t>
      </w:r>
      <w:r>
        <w:rPr>
          <w:rFonts w:eastAsia="仿宋_GB2312"/>
          <w:b w:val="0"/>
          <w:bCs/>
          <w:sz w:val="32"/>
          <w:szCs w:val="32"/>
        </w:rPr>
        <w:t>建设项目采取分项申请、逐级上报验收的方式，完成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掘进过程智能化</w:t>
      </w:r>
      <w:r>
        <w:rPr>
          <w:rFonts w:eastAsia="仿宋_GB2312"/>
          <w:b w:val="0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锚护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过程智能化</w:t>
      </w:r>
      <w:r>
        <w:rPr>
          <w:rFonts w:eastAsia="仿宋_GB2312"/>
          <w:b w:val="0"/>
          <w:bCs/>
          <w:sz w:val="32"/>
          <w:szCs w:val="32"/>
        </w:rPr>
        <w:t>建设项目的煤矿，可申请验收。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eastAsia="仿宋_GB2312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申请验收的项目。验收专家组对照《贵州省煤矿智能化掘进工作面建设与验收评分表》（见附表）进行打分。</w:t>
      </w:r>
      <w:r>
        <w:rPr>
          <w:rFonts w:eastAsia="仿宋_GB2312"/>
          <w:bCs/>
          <w:kern w:val="2"/>
          <w:sz w:val="32"/>
          <w:szCs w:val="32"/>
        </w:rPr>
        <w:t>煤炭企业必须满足必备条件，且申请验收的建设项目分项考核评分在80分及以上</w:t>
      </w:r>
      <w:r>
        <w:rPr>
          <w:rFonts w:hint="eastAsia" w:eastAsia="仿宋_GB2312"/>
          <w:bCs/>
          <w:kern w:val="2"/>
          <w:sz w:val="32"/>
          <w:szCs w:val="32"/>
          <w:lang w:eastAsia="zh-CN"/>
        </w:rPr>
        <w:t>视为合格通过验收。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附表：贵州省煤矿智能化掘进工作面建设与验收评分表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附表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贵州省煤矿智能化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掘进工作面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建设与验收评分表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一、必备条件</w:t>
      </w:r>
    </w:p>
    <w:tbl>
      <w:tblPr>
        <w:tblStyle w:val="7"/>
        <w:tblW w:w="12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906"/>
        <w:gridCol w:w="294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项目</w:t>
            </w:r>
          </w:p>
        </w:tc>
        <w:tc>
          <w:tcPr>
            <w:tcW w:w="5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建设项目内容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验收考核办法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一、必备条件</w:t>
            </w:r>
          </w:p>
        </w:tc>
        <w:tc>
          <w:tcPr>
            <w:tcW w:w="5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、生产煤矿采矿许可证、安全生产许可证、营业执照齐全有效；建设矿井应具有采矿许可证、开工备案表、营业执照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查验相关资料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2、煤矿实现采煤机械化、辅助系统智能化。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查验相关资料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3、应将视频图像信息上传贵州能源云，宜将主要设备数据参数与贵州能源云实现数据交换。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查验相关资料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kern w:val="0"/>
                <w:sz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4、煤矿应建立智能化掘进工作面运行维护管理机制。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（1）应设置智能化掘进工作面操作规程；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（2）应设置智能化掘进工作面岗位责任制，明确正常生产班工作人员不超过5人的岗位定员；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（3）应设置智能化掘进工作面检修制度。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查验相关资料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pStyle w:val="6"/>
        <w:jc w:val="both"/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pStyle w:val="6"/>
        <w:ind w:firstLine="643" w:firstLineChars="200"/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二、评分项目</w:t>
      </w:r>
    </w:p>
    <w:tbl>
      <w:tblPr>
        <w:tblStyle w:val="7"/>
        <w:tblW w:w="12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601"/>
        <w:gridCol w:w="1162"/>
        <w:gridCol w:w="282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项目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建设项目内容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验收评分办法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  <w:lang w:eastAsia="zh-CN"/>
              </w:rPr>
              <w:t>二</w:t>
            </w:r>
            <w:r>
              <w:rPr>
                <w:b/>
                <w:bCs/>
                <w:kern w:val="0"/>
              </w:rPr>
              <w:t>、</w:t>
            </w:r>
            <w:r>
              <w:rPr>
                <w:rFonts w:hint="eastAsia"/>
                <w:b/>
                <w:bCs/>
                <w:kern w:val="0"/>
              </w:rPr>
              <w:t>掘进过程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</w:rPr>
              <w:t>智能化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>（100分）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1.前探。应构建掘进工作面地质模型。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sz w:val="24"/>
              </w:rPr>
              <w:t>掘进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）</w:t>
            </w:r>
            <w:r>
              <w:rPr>
                <w:rFonts w:ascii="宋体" w:hAnsi="宋体" w:cs="Times New Roman"/>
                <w:sz w:val="24"/>
              </w:rPr>
              <w:t>掘进机应具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备</w:t>
            </w:r>
            <w:r>
              <w:rPr>
                <w:rFonts w:ascii="宋体" w:hAnsi="宋体" w:cs="Times New Roman"/>
                <w:sz w:val="24"/>
              </w:rPr>
              <w:t>遥控、</w:t>
            </w:r>
            <w:r>
              <w:rPr>
                <w:rFonts w:hint="default" w:ascii="宋体" w:hAnsi="宋体" w:cs="Times New Roman"/>
                <w:sz w:val="24"/>
              </w:rPr>
              <w:t>参数设置及定位自动截割</w:t>
            </w:r>
            <w:r>
              <w:rPr>
                <w:rFonts w:ascii="宋体" w:hAnsi="宋体" w:cs="Times New Roman"/>
                <w:sz w:val="24"/>
              </w:rPr>
              <w:t>等功能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，实现刷帮及截割轨迹在线检测功能。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）在进行巷道掘进作业过程中，能够检测自身的位姿并且能够随时调整行走机构，使机身的位置和行进方向与巷道设计参数相匹配。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）宜装备精确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定位导航系统。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60分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查验现场和资料。实现第（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lang w:eastAsia="zh-CN"/>
              </w:rPr>
              <w:t>）项得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30分，实现第（2）项得20分，实现第（3）项得10分。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3.运输。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（1）对运输设备实现自动控制。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（2）带式输送机宜具备多点驱动、驱动功率的平衡、驱动策略制定等功能。确定最小张紧力，减小输送带张力对输送机弯曲运行的影响。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查验现场和资料。实现第（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lang w:eastAsia="zh-CN"/>
              </w:rPr>
              <w:t>）项得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4分，</w:t>
            </w:r>
            <w:r>
              <w:rPr>
                <w:rFonts w:hint="eastAsia"/>
                <w:kern w:val="0"/>
                <w:sz w:val="24"/>
                <w:lang w:eastAsia="zh-CN"/>
              </w:rPr>
              <w:t>实现第（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  <w:lang w:eastAsia="zh-CN"/>
              </w:rPr>
              <w:t>）项得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4.辅助工序自动化。供水、供电、通风、除尘、辅助运输、带式输送机延伸等辅助工序实现自动控制。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查验现场和资料。实现全部功能得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5.控制。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（1）应实现关键部位视频监控功能。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（2）应实现设备就地控制；防突风门外对掘进工作面设备的远距离集中可视化操作；实现地面调度中心远程一键启停功能，具备对关键信息进行实时存储和历史数据查询功能。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（3）宜以智能化、网络化、数字化为核心，构建数字孪生驱动的远程智能测控系统。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查验现场和资料。实现第（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lang w:eastAsia="zh-CN"/>
              </w:rPr>
              <w:t>）项得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4分，实现第（2）项得8分，实现第（3）项得2分。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6.故障自诊断。掘进工作面应具备监测功能，对掘进设备、运输设备状态进行监测，设备应具有故障自诊断功能。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查验现场和资料。实现全部功能得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7.有完善的掘进过程智能化改造方案，建设完成并有自检总结报告。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查验现场和资料。方案、报告完善得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项目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建设项目内容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验收评分办法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三、锚护过程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智能化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b/>
                <w:bCs/>
              </w:rPr>
              <w:t>（100分）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1.锚护。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（1）实现锚杆作业工序（钻孔、装药卷、上锚杆、紧固锚杆、锚杆供给）的自动化。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（2）实现辅助工序（铺网）的自动化。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（3）宜应用围岩状态实时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监测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及锚护参数的动态设计、锚护位置自动定位、智能锚钻集中控制、药卷自动喷射、智能健康诊断等技术。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50分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查验现场和资料。实现第（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lang w:eastAsia="zh-CN"/>
              </w:rPr>
              <w:t>）项得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25分，实现第（2）项得15分，实现第（3）项得10分。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2.控制。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（1）应实现关键部位视频监控功能。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（2）应实现设备就地控制；防突风门外对掘进工作面设备的远距离集中可视化操作；实现地面调度中心远程一键启停功能，具备对关键信息进行实时存储和历史数据查询功能。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（3）宜以智能化、网络化、数字化为核心，构建数字孪生驱动的远程智能测控系统。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查验现场和资料。实现第（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lang w:eastAsia="zh-CN"/>
              </w:rPr>
              <w:t>）项得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8分，实现第（2）项得20分，实现第（3）项得2分。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3.故障自诊断。对锚护设备状态进行监测，设备应具有故障自诊断功能。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查验现场和资料。实现全部功能得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4.有完善的锚护过程智能化改造方案，建设完成并有自检总结报告。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查验现场和资料。方案、报告完善得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5分。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ind w:firstLine="840" w:firstLineChars="300"/>
        <w:rPr>
          <w:rFonts w:hint="eastAsia"/>
          <w:sz w:val="32"/>
          <w:szCs w:val="40"/>
          <w:lang w:eastAsia="zh-CN"/>
        </w:rPr>
      </w:pPr>
      <w:r>
        <w:rPr>
          <w:rFonts w:hint="eastAsia" w:eastAsia="仿宋_GB2312"/>
          <w:kern w:val="0"/>
          <w:sz w:val="28"/>
          <w:szCs w:val="28"/>
        </w:rPr>
        <w:t>验收人</w:t>
      </w:r>
      <w:r>
        <w:rPr>
          <w:rFonts w:hint="eastAsia"/>
          <w:kern w:val="0"/>
          <w:sz w:val="28"/>
          <w:szCs w:val="28"/>
        </w:rPr>
        <w:t xml:space="preserve">：                                                            </w:t>
      </w:r>
      <w:r>
        <w:rPr>
          <w:rFonts w:hint="eastAsia" w:eastAsia="仿宋_GB2312"/>
          <w:kern w:val="0"/>
          <w:sz w:val="28"/>
          <w:szCs w:val="28"/>
        </w:rPr>
        <w:t xml:space="preserve"> 验收组长：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pStyle w:val="15"/>
        <w:spacing w:line="680" w:lineRule="exact"/>
        <w:rPr>
          <w:rFonts w:hint="eastAsia" w:eastAsia="仿宋_GB2312"/>
          <w:sz w:val="32"/>
          <w:szCs w:val="32"/>
          <w:lang w:eastAsia="zh-CN"/>
        </w:rPr>
      </w:pPr>
    </w:p>
    <w:tbl>
      <w:tblPr>
        <w:tblStyle w:val="7"/>
        <w:tblpPr w:leftFromText="181" w:rightFromText="181" w:horzAnchor="margin" w:tblpXSpec="center" w:tblpYSpec="bottom"/>
        <w:tblOverlap w:val="never"/>
        <w:tblW w:w="8844" w:type="dxa"/>
        <w:tblInd w:w="0" w:type="dxa"/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2"/>
      </w:tblGrid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4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>
            <w:pPr>
              <w:ind w:left="1050" w:leftChars="100" w:right="210" w:rightChars="100" w:hanging="840" w:hangingChars="3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贵州省财政厅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2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top"/>
          </w:tcPr>
          <w:p>
            <w:pPr>
              <w:ind w:left="1050" w:leftChars="100" w:right="210" w:rightChars="100" w:hanging="840" w:hangingChars="3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贵州省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能源局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办公室</w:t>
            </w:r>
            <w:bookmarkStart w:id="0" w:name="OLE_LINK2"/>
            <w:bookmarkStart w:id="1" w:name="OLE_LINK1"/>
          </w:p>
          <w:bookmarkEnd w:id="0"/>
          <w:bookmarkEnd w:id="1"/>
        </w:tc>
        <w:tc>
          <w:tcPr>
            <w:tcW w:w="4422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top"/>
          </w:tcPr>
          <w:p>
            <w:pPr>
              <w:ind w:left="1050" w:leftChars="100" w:right="210" w:rightChars="100" w:hanging="840" w:hangingChars="300"/>
              <w:jc w:val="righ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4" w:type="dxa"/>
            <w:gridSpan w:val="2"/>
            <w:tcBorders>
              <w:top w:val="single" w:color="000000" w:sz="8" w:space="0"/>
            </w:tcBorders>
            <w:noWrap w:val="0"/>
            <w:vAlign w:val="top"/>
          </w:tcPr>
          <w:p>
            <w:pPr>
              <w:wordWrap w:val="0"/>
              <w:ind w:left="1050" w:leftChars="100" w:right="210" w:rightChars="100" w:hanging="840" w:hangingChars="300"/>
              <w:jc w:val="righ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共印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（信息公开形式：主动公开）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2"/>
                        <w:szCs w:val="2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5CD6"/>
    <w:rsid w:val="09373418"/>
    <w:rsid w:val="09855DE6"/>
    <w:rsid w:val="0E2D5D3B"/>
    <w:rsid w:val="11F07523"/>
    <w:rsid w:val="135A7F2C"/>
    <w:rsid w:val="15B17B7B"/>
    <w:rsid w:val="15B739AD"/>
    <w:rsid w:val="17D04F81"/>
    <w:rsid w:val="190B50FC"/>
    <w:rsid w:val="22F7167B"/>
    <w:rsid w:val="23862D3A"/>
    <w:rsid w:val="24BC6556"/>
    <w:rsid w:val="2C4A6367"/>
    <w:rsid w:val="2CB01DDA"/>
    <w:rsid w:val="2D0A43D4"/>
    <w:rsid w:val="432C0CFD"/>
    <w:rsid w:val="49065A8C"/>
    <w:rsid w:val="4C3F5068"/>
    <w:rsid w:val="4C4A4C72"/>
    <w:rsid w:val="4E215C4E"/>
    <w:rsid w:val="4F280E7C"/>
    <w:rsid w:val="533A7DBB"/>
    <w:rsid w:val="546F7427"/>
    <w:rsid w:val="56B25067"/>
    <w:rsid w:val="57B85AFB"/>
    <w:rsid w:val="581D2816"/>
    <w:rsid w:val="5839457C"/>
    <w:rsid w:val="621F0219"/>
    <w:rsid w:val="62254D93"/>
    <w:rsid w:val="65136D73"/>
    <w:rsid w:val="670F7D52"/>
    <w:rsid w:val="6ADC73F7"/>
    <w:rsid w:val="6B386DD0"/>
    <w:rsid w:val="6C694E54"/>
    <w:rsid w:val="6F0751C5"/>
    <w:rsid w:val="6FAB68D8"/>
    <w:rsid w:val="707203F5"/>
    <w:rsid w:val="71AA560C"/>
    <w:rsid w:val="74721043"/>
    <w:rsid w:val="75286547"/>
    <w:rsid w:val="7C033CC7"/>
    <w:rsid w:val="7E0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/>
      <w:sz w:val="24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2020-11-03T01:51:00Z</dcterms:created>
  <dc:creator>Lenovo</dc:creator>
  <cp:lastModifiedBy>Administrator</cp:lastModifiedBy>
  <cp:lastPrinted>2021-04-08T03:34:00Z</cp:lastPrinted>
  <dcterms:modified xsi:type="dcterms:W3CDTF">2021-04-08T09:27:37Z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807EFE411DB442B7A071FA755B57117F</vt:lpwstr>
  </property>
</Properties>
</file>