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  <w:t>国家能源局关于进一步加强电力业务资质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  <w:t>许可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监管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</w:rPr>
        <w:t>有关事项的通知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</w:rPr>
        <w:t>（</w:t>
      </w:r>
      <w:r>
        <w:rPr>
          <w:rStyle w:val="6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征求意见</w:t>
      </w:r>
      <w:r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0"/>
          <w:sz w:val="32"/>
          <w:szCs w:val="32"/>
        </w:rPr>
        <w:t>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为深入贯彻落实党中央、国务院“放管服”改革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精神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进一步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加强电力业务资质许可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监管，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确保放管结合、风险可控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根据《优化营商环境条例》《国务院关于加强和规范事中事后监管的指导意见》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以及资质许可管理有关规定要求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，结合工作实际，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现就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有关事项通知如下。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/>
        <w:jc w:val="left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、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依托“互联网+”手段</w:t>
      </w:r>
      <w:r>
        <w:rPr>
          <w:rStyle w:val="6"/>
          <w:rFonts w:ascii="黑体" w:hAnsi="黑体" w:eastAsia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，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深化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资质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许可全链条监管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）不断夯实信息数据基础。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通过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</w:rPr>
        <w:t>国家能源局资质和信用信息系统（以下简称系统）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政务信息实时共享、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持证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企业资料完善等功能，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及时准确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做好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许可信息以及许可监管过程中形成的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行政处罚、行政检查等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录入、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核实、更新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工作，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持续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</w:rPr>
        <w:t>提升系统数据质量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eastAsia="zh-CN"/>
        </w:rPr>
        <w:t>，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为资质许可事前事中事后全链条监管提供有力支撑。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）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严格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把牢事前审查关口。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用好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资质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信用信息系统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互联互通功能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，在事前审查环节实时获取申请企业信用信息。对信用良好及守信企业，可采取免于现场核查、告知承诺制等便利性措施，压减许可办理时限；对失信及严重失信企业，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严格进行许可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审查，且在其信用修复前不适用告知承诺制。对于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告知承诺制方式提交的申请材料，应通过系统网络核验功能，对其中涉及的市场主体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登记、人员任职及专业资格等申请条件填报信息进行核验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经确认符合法定形式要求的，方能予以受理。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FF0000"/>
          <w:spacing w:val="0"/>
          <w:w w:val="100"/>
          <w:kern w:val="0"/>
          <w:sz w:val="32"/>
          <w:szCs w:val="32"/>
          <w:u w:val="none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 xml:space="preserve">   （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）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全面落实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告知承诺制全覆盖核查。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用好</w:t>
      </w: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系统事中事后核查功能，对以告知承诺制方式办理的新申请、许可事项变更等许可事项，在作出准予许可决定后6个月内，按照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《</w:t>
      </w: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国家能源局全面推行电力业务资质许可告知承诺制实施方案》中明确的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事中事后核查工作</w:t>
      </w: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要求，实现全覆盖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核查。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</w:rPr>
        <w:t>相关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  <w:lang w:val="en-US" w:eastAsia="zh-CN"/>
        </w:rPr>
        <w:t>行政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</w:rPr>
        <w:t>许可决定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  <w:lang w:val="en-US" w:eastAsia="zh-CN"/>
        </w:rPr>
        <w:t>及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</w:rPr>
        <w:t>告知承诺书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  <w:lang w:val="en-US" w:eastAsia="zh-CN"/>
        </w:rPr>
        <w:t>应在法定时限内</w:t>
      </w:r>
      <w:r>
        <w:rPr>
          <w:rStyle w:val="6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/>
        </w:rPr>
        <w:t>对外公开，广泛接受社会监督。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）精准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开展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sz w:val="32"/>
          <w:szCs w:val="32"/>
        </w:rPr>
        <w:t>信用分级分类监管。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用好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系统双随机抽查、持证企业问题库等功能，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以问题为导向</w:t>
      </w:r>
      <w:r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按照持证企业许可类别、信用等级、所在区域等设定监管任务，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常态化开展企业信用与</w:t>
      </w:r>
      <w:r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“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双随机、一公开”手段相结合的分级分类许可监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管</w:t>
      </w:r>
      <w:r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需进行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现场检查的，要严格依据相关程序，优化工作流程，避免增加企业和群众负担。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五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</w:rPr>
        <w:t>）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定期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</w:rPr>
        <w:t>监督许可条件保持情况。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用好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系统许可条件保持功能，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每月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对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智能预警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筛查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出存在相关问题的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持证企业进行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跟踪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监督；其中，对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人员情况发生变化、已不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满足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许可条件要求的，责令其限期整改；对许可有效期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即将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届满或机组寿命到期的，督促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其及时开展安全评估并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申请办理有效期延续、许可事项变更等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业务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，进一步防范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化解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风险，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增强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监管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实效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420" w:leftChars="200" w:firstLine="320" w:firstLineChars="100"/>
        <w:jc w:val="both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二</w:t>
      </w:r>
      <w:r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融合信用措施</w:t>
      </w:r>
      <w:r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，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提升资质许可监管效能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六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）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依法进行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问题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查处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针对在许可事中事后监管中发现的各类不实承诺、以隐瞒或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欺骗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手段骗取许可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等违法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违规问题，严格依据许可管理有关规定，采取撤销许可决定、责令整改、</w:t>
      </w: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行政处罚等措施，加大查处力度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七</w:t>
      </w: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规范实施</w:t>
      </w: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sz w:val="32"/>
          <w:szCs w:val="32"/>
        </w:rPr>
        <w:t>失信惩戒。</w:t>
      </w:r>
      <w:r>
        <w:rPr>
          <w:rStyle w:val="6"/>
          <w:rFonts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</w:rPr>
        <w:t>按照能源行业</w:t>
      </w:r>
      <w:r>
        <w:rPr>
          <w:rStyle w:val="6"/>
          <w:rFonts w:eastAsia="仿宋"/>
          <w:b w:val="0"/>
          <w:i w:val="0"/>
          <w:caps w:val="0"/>
          <w:spacing w:val="0"/>
          <w:w w:val="100"/>
          <w:sz w:val="32"/>
          <w:szCs w:val="32"/>
        </w:rPr>
        <w:t>市场主体</w:t>
      </w:r>
      <w:r>
        <w:rPr>
          <w:rStyle w:val="6"/>
          <w:rFonts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</w:rPr>
        <w:t>信用行为清单要求，依据</w:t>
      </w:r>
      <w:r>
        <w:rPr>
          <w:rStyle w:val="6"/>
          <w:rFonts w:hint="eastAsia"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相关市场主体</w:t>
      </w:r>
      <w:r>
        <w:rPr>
          <w:rStyle w:val="6"/>
          <w:rFonts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</w:rPr>
        <w:t>违法违规事项和行政处罚标准，规范界定轻微、较重和严重失信行为。在此基础上</w:t>
      </w:r>
      <w:r>
        <w:rPr>
          <w:rStyle w:val="6"/>
          <w:rFonts w:eastAsia="仿宋"/>
          <w:b w:val="0"/>
          <w:i w:val="0"/>
          <w:caps w:val="0"/>
          <w:spacing w:val="0"/>
          <w:w w:val="100"/>
          <w:sz w:val="32"/>
          <w:szCs w:val="32"/>
        </w:rPr>
        <w:t>，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结合市场主体信用状况，及时对失信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市场主体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进行提醒、警示、约谈，强化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eastAsia="zh-CN"/>
        </w:rPr>
        <w:t>市场主体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风险意识；对严重失信市场主体，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eastAsia="zh-CN"/>
        </w:rPr>
        <w:t>进一步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按照国家有关规定予以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失信惩戒。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</w:pP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八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）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认真做好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信用修复</w:t>
      </w: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和异议处理</w:t>
      </w:r>
      <w:r>
        <w:rPr>
          <w:rStyle w:val="6"/>
          <w:rFonts w:ascii="楷体" w:hAnsi="楷体" w:eastAsia="楷体" w:cs="楷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。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根据有关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法定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程序和时限要求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eastAsia="zh-CN"/>
        </w:rPr>
        <w:t>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-4"/>
          <w:w w:val="100"/>
          <w:sz w:val="32"/>
          <w:szCs w:val="32"/>
          <w:lang w:val="en-US" w:eastAsia="zh-CN"/>
        </w:rPr>
        <w:t>指导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失信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市场主体积极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开展信用修复，作出信用承诺，履行法定义务，提升信用水平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信用修复决定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应在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受理之日起</w:t>
      </w:r>
      <w:r>
        <w:rPr>
          <w:rStyle w:val="6"/>
          <w:rFonts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</w:rPr>
        <w:t>15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个工作日内作出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失信市场主体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完成信用修复后及时撤销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其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信息公示，不再作为失信惩戒依据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异议申请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应在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受理之日起</w:t>
      </w:r>
      <w:r>
        <w:rPr>
          <w:rStyle w:val="6"/>
          <w:rFonts w:ascii="Times New Roman" w:hAnsi="Times New Roman" w:eastAsia="仿宋"/>
          <w:b w:val="0"/>
          <w:i w:val="0"/>
          <w:caps w:val="0"/>
          <w:spacing w:val="0"/>
          <w:w w:val="100"/>
          <w:sz w:val="32"/>
          <w:szCs w:val="32"/>
        </w:rPr>
        <w:t>15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个工作日内办结，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及时回应相关市场主体合理诉求</w:t>
      </w:r>
      <w:r>
        <w:rPr>
          <w:rStyle w:val="6"/>
          <w:rFonts w:ascii="仿宋" w:hAnsi="仿宋" w:eastAsia="仿宋"/>
          <w:b w:val="0"/>
          <w:i w:val="0"/>
          <w:caps w:val="0"/>
          <w:spacing w:val="-4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420" w:leftChars="200" w:firstLine="320" w:firstLineChars="100"/>
        <w:jc w:val="both"/>
        <w:textAlignment w:val="baseline"/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三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</w:rPr>
        <w:t>、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加强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</w:rPr>
        <w:t>闭环监督，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优化资质</w:t>
      </w: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</w:rPr>
        <w:t>许可服务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/>
        <w:jc w:val="both"/>
        <w:textAlignment w:val="baseline"/>
        <w:rPr>
          <w:rStyle w:val="6"/>
          <w:rFonts w:ascii="楷体" w:hAnsi="楷体" w:eastAsia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（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九</w:t>
      </w: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）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切实强化</w:t>
      </w: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日常</w:t>
      </w:r>
      <w:r>
        <w:rPr>
          <w:rStyle w:val="6"/>
          <w:rFonts w:hint="eastAsia"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工作</w:t>
      </w:r>
      <w:r>
        <w:rPr>
          <w:rStyle w:val="6"/>
          <w:rFonts w:ascii="楷体" w:hAnsi="楷体" w:eastAsia="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监督。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进一步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发挥本单位行政许可工作监督检查小组作用，重点</w:t>
      </w:r>
      <w:r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围绕许可流程是否规范、各环节的办理是否在法定时限内完成、是否擅自扩大（缩小）许可范围或增设（减少）许可条件、是否存在指定中介机构服务、是否存在违规收费的行为、许可结果是否及时主动公开等方面，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加强日常行政监督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，发现违纪违法问题及时向纪检部门移交。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针对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资质管理和信用工作季度通报中指出的问题，</w:t>
      </w:r>
      <w:r>
        <w:rPr>
          <w:rStyle w:val="14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积极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采取整改措施，</w:t>
      </w:r>
      <w:r>
        <w:rPr>
          <w:rStyle w:val="14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有效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弥补工作短板</w:t>
      </w:r>
      <w:r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</w:rPr>
        <w:t>（十）严格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遵守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</w:rPr>
        <w:t>标准化</w:t>
      </w:r>
      <w:r>
        <w:rPr>
          <w:rStyle w:val="6"/>
          <w:rFonts w:hint="eastAsia"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规范</w:t>
      </w: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32"/>
          <w:szCs w:val="32"/>
        </w:rPr>
        <w:t>要求。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按照电力业务资质许可流程规范、服务规范、监督与评价规范等许可标准化规范要求，严格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落实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“最多跑一次”、许可办理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程序及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时限等规定要求，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保证行政许可行为规范公正透明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；严格落实信息公开、一次性告知、首问责任、顶岗补位、文明服务等工作制度，加强许可管理工作人员业务技能培训，增强服务意识和履职能力；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注重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用好许可“好差评”工作机制，并对差评问题安排专人核实确认，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实名差评回访率应达到100%，</w:t>
      </w:r>
      <w:r>
        <w:rPr>
          <w:rStyle w:val="14"/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切实增强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企业和群众对许可服务的获得感和满意度。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/>
        <w:jc w:val="both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国家能源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局电力业务资质管理中心要进一步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加强对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各派出机构落实以上工作要求的监督指导，并重点围绕健全制度体系、优化系统功能、完善监督机制等方面持续发力、双向联动、协同促进，不断提升资质许可管理工作质量和服务水平，助推行业高质量发展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  <w:p>
                          <w:pPr>
                            <w:spacing w:line="560" w:lineRule="exact"/>
                            <w:ind w:firstLine="640"/>
                            <w:textAlignment w:val="auto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mk9kDSAAAABQEAAA8AAAAAAAAAAQAgAAAAIgAAAGRycy9kb3ducmV2LnhtbFBLAQIU&#10;ABQAAAAIAIdO4kCKJvUG+QEAAAg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  <w:p>
                    <w:pPr>
                      <w:spacing w:line="560" w:lineRule="exact"/>
                      <w:ind w:firstLine="640"/>
                      <w:textAlignment w:val="auto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1"/>
      </w:rPr>
    </w:pPr>
  </w:p>
  <w:p>
    <w:pPr>
      <w:pStyle w:val="2"/>
      <w:ind w:right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4NmQxMWYyMDIzMzJjMDk4Y2U1MjliZjFlOGI1ZDQifQ=="/>
  </w:docVars>
  <w:rsids>
    <w:rsidRoot w:val="009D7868"/>
    <w:rsid w:val="00037D07"/>
    <w:rsid w:val="002F2D2B"/>
    <w:rsid w:val="00825F3E"/>
    <w:rsid w:val="008A6271"/>
    <w:rsid w:val="00964552"/>
    <w:rsid w:val="009D7868"/>
    <w:rsid w:val="00A35EC0"/>
    <w:rsid w:val="00A764AB"/>
    <w:rsid w:val="00AF4163"/>
    <w:rsid w:val="00B3713E"/>
    <w:rsid w:val="00C03184"/>
    <w:rsid w:val="00C361EF"/>
    <w:rsid w:val="00FA7927"/>
    <w:rsid w:val="0248662E"/>
    <w:rsid w:val="038C1293"/>
    <w:rsid w:val="05C40208"/>
    <w:rsid w:val="061439B5"/>
    <w:rsid w:val="0AFF7ED8"/>
    <w:rsid w:val="0EB932C4"/>
    <w:rsid w:val="115D7ED5"/>
    <w:rsid w:val="12512CDE"/>
    <w:rsid w:val="17372123"/>
    <w:rsid w:val="1B2A083B"/>
    <w:rsid w:val="1E693CC8"/>
    <w:rsid w:val="208C03F3"/>
    <w:rsid w:val="21584DDE"/>
    <w:rsid w:val="24D940C1"/>
    <w:rsid w:val="25F71C75"/>
    <w:rsid w:val="2942470C"/>
    <w:rsid w:val="2BAA4F2A"/>
    <w:rsid w:val="2BF105AF"/>
    <w:rsid w:val="2E2D1208"/>
    <w:rsid w:val="34C039A8"/>
    <w:rsid w:val="355155DD"/>
    <w:rsid w:val="369C4C62"/>
    <w:rsid w:val="39D777C2"/>
    <w:rsid w:val="3B3D3D74"/>
    <w:rsid w:val="43AA43B3"/>
    <w:rsid w:val="43BD6C95"/>
    <w:rsid w:val="44314EC4"/>
    <w:rsid w:val="472014E8"/>
    <w:rsid w:val="4B194F4C"/>
    <w:rsid w:val="501857BF"/>
    <w:rsid w:val="55B737E9"/>
    <w:rsid w:val="5B684F91"/>
    <w:rsid w:val="5DAD082B"/>
    <w:rsid w:val="65147313"/>
    <w:rsid w:val="66D37020"/>
    <w:rsid w:val="672B14E0"/>
    <w:rsid w:val="676C1AB6"/>
    <w:rsid w:val="687F3C11"/>
    <w:rsid w:val="6BA25982"/>
    <w:rsid w:val="6C353D7B"/>
    <w:rsid w:val="6C987DC5"/>
    <w:rsid w:val="6D073EB9"/>
    <w:rsid w:val="6E155CB4"/>
    <w:rsid w:val="729A137A"/>
    <w:rsid w:val="732F0C8D"/>
    <w:rsid w:val="795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link w:val="7"/>
    <w:semiHidden/>
    <w:qFormat/>
    <w:uiPriority w:val="0"/>
  </w:style>
  <w:style w:type="paragraph" w:customStyle="1" w:styleId="7">
    <w:name w:val="UserStyle_0"/>
    <w:basedOn w:val="1"/>
    <w:link w:val="6"/>
    <w:qFormat/>
    <w:uiPriority w:val="0"/>
    <w:pPr>
      <w:spacing w:line="240" w:lineRule="atLeast"/>
      <w:ind w:left="420" w:firstLine="420"/>
    </w:pPr>
    <w:rPr>
      <w:rFonts w:ascii="Times New Roman" w:hAnsi="Times New Roman"/>
      <w:szCs w:val="24"/>
    </w:rPr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qFormat/>
    <w:uiPriority w:val="0"/>
    <w:rPr>
      <w:rFonts w:ascii="Times New Roman" w:hAnsi="Times New Roman"/>
      <w:sz w:val="24"/>
      <w:szCs w:val="24"/>
    </w:rPr>
  </w:style>
  <w:style w:type="table" w:customStyle="1" w:styleId="10">
    <w:name w:val="TableGrid"/>
    <w:basedOn w:val="8"/>
    <w:qFormat/>
    <w:uiPriority w:val="0"/>
  </w:style>
  <w:style w:type="character" w:customStyle="1" w:styleId="11">
    <w:name w:val="PageNumber"/>
    <w:basedOn w:val="6"/>
    <w:qFormat/>
    <w:uiPriority w:val="0"/>
  </w:style>
  <w:style w:type="paragraph" w:customStyle="1" w:styleId="12">
    <w:name w:val="UserStyle_1"/>
    <w:basedOn w:val="1"/>
    <w:qFormat/>
    <w:uiPriority w:val="0"/>
    <w:rPr>
      <w:rFonts w:ascii="Times New Roman" w:hAnsi="Times New Roman"/>
      <w:szCs w:val="20"/>
    </w:rPr>
  </w:style>
  <w:style w:type="paragraph" w:customStyle="1" w:styleId="13">
    <w:name w:val="UserStyle_2"/>
    <w:basedOn w:val="1"/>
    <w:qFormat/>
    <w:uiPriority w:val="0"/>
    <w:pPr>
      <w:spacing w:line="480" w:lineRule="auto"/>
      <w:ind w:firstLine="400"/>
      <w:jc w:val="left"/>
    </w:pPr>
    <w:rPr>
      <w:rFonts w:ascii="宋体" w:hAnsi="宋体"/>
      <w:color w:val="182E2F"/>
      <w:sz w:val="28"/>
      <w:szCs w:val="28"/>
      <w:lang w:val="zh-TW" w:eastAsia="zh-TW" w:bidi="zh-TW"/>
    </w:rPr>
  </w:style>
  <w:style w:type="character" w:customStyle="1" w:styleId="14">
    <w:name w:val="UserStyle_3"/>
    <w:link w:val="15"/>
    <w:qFormat/>
    <w:uiPriority w:val="0"/>
    <w:rPr>
      <w:rFonts w:ascii="Calibri" w:hAnsi="Calibri" w:eastAsia="宋体"/>
      <w:kern w:val="0"/>
      <w:sz w:val="28"/>
      <w:szCs w:val="28"/>
    </w:rPr>
  </w:style>
  <w:style w:type="paragraph" w:customStyle="1" w:styleId="15">
    <w:name w:val="UserStyle_4"/>
    <w:basedOn w:val="1"/>
    <w:link w:val="14"/>
    <w:qFormat/>
    <w:uiPriority w:val="0"/>
    <w:pPr>
      <w:shd w:val="clear" w:color="auto" w:fill="FFFFFF"/>
      <w:spacing w:before="1680" w:after="1260" w:line="240" w:lineRule="atLeast"/>
      <w:jc w:val="center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C6F7D-3E42-432F-9401-38B543736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1984</Words>
  <Characters>1989</Characters>
  <Lines>18</Lines>
  <Paragraphs>5</Paragraphs>
  <TotalTime>1</TotalTime>
  <ScaleCrop>false</ScaleCrop>
  <LinksUpToDate>false</LinksUpToDate>
  <CharactersWithSpaces>1994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2022-05-06T12:39:00Z</dcterms:created>
  <dc:creator>齐爽</dc:creator>
  <cp:lastModifiedBy>欣</cp:lastModifiedBy>
  <cp:lastPrinted>2022-05-27T09:58:00Z</cp:lastPrinted>
  <dcterms:modified xsi:type="dcterms:W3CDTF">2022-06-02T06:24:06Z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89F1A57E861F466DB24440914284C227</vt:lpwstr>
  </property>
</Properties>
</file>