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E3" w:rsidRPr="00EF54E3" w:rsidRDefault="00EF54E3">
      <w:pPr>
        <w:rPr>
          <w:rStyle w:val="headline-content2"/>
          <w:rFonts w:hint="eastAsia"/>
          <w:spacing w:val="8"/>
          <w:sz w:val="32"/>
          <w:szCs w:val="32"/>
        </w:rPr>
      </w:pPr>
    </w:p>
    <w:p w:rsidR="00EF54E3" w:rsidRPr="00EF54E3" w:rsidRDefault="00EF54E3" w:rsidP="00EF54E3">
      <w:pPr>
        <w:jc w:val="center"/>
        <w:rPr>
          <w:rFonts w:ascii="΢ȭхڢ, ڌ墬 Verdana" w:eastAsia="΢ȭхڢ, ڌ墬 Verdana" w:hint="eastAsia"/>
          <w:b/>
          <w:bCs/>
          <w:sz w:val="44"/>
          <w:szCs w:val="44"/>
        </w:rPr>
      </w:pPr>
      <w:r w:rsidRPr="00EF54E3">
        <w:rPr>
          <w:rFonts w:ascii="΢ȭхڢ, ڌ墬 Verdana" w:eastAsia="΢ȭхڢ, ڌ墬 Verdana" w:hint="eastAsia"/>
          <w:b/>
          <w:bCs/>
          <w:sz w:val="44"/>
          <w:szCs w:val="44"/>
        </w:rPr>
        <w:t>吉林省能源发展和能源保障</w:t>
      </w:r>
    </w:p>
    <w:p w:rsidR="00EF54E3" w:rsidRPr="00EF54E3" w:rsidRDefault="00EF54E3" w:rsidP="00EF54E3">
      <w:pPr>
        <w:jc w:val="center"/>
        <w:rPr>
          <w:rStyle w:val="headline-content2"/>
          <w:rFonts w:hint="eastAsia"/>
          <w:spacing w:val="8"/>
          <w:sz w:val="44"/>
          <w:szCs w:val="44"/>
        </w:rPr>
      </w:pPr>
      <w:r w:rsidRPr="00EF54E3">
        <w:rPr>
          <w:rFonts w:ascii="΢ȭхڢ, ڌ墬 Verdana" w:eastAsia="΢ȭхڢ, ڌ墬 Verdana" w:hint="eastAsia"/>
          <w:b/>
          <w:bCs/>
          <w:sz w:val="44"/>
          <w:szCs w:val="44"/>
        </w:rPr>
        <w:t>体系建设“十二五”规划</w:t>
      </w:r>
    </w:p>
    <w:p w:rsidR="008255CF" w:rsidRPr="00EF0603" w:rsidRDefault="008255CF" w:rsidP="0013334E">
      <w:pPr>
        <w:snapToGrid w:val="0"/>
        <w:spacing w:line="360" w:lineRule="auto"/>
        <w:rPr>
          <w:rStyle w:val="headline-content2"/>
          <w:rFonts w:ascii="仿宋_GB2312" w:eastAsia="仿宋_GB2312" w:hint="eastAsia"/>
          <w:spacing w:val="8"/>
          <w:sz w:val="30"/>
          <w:szCs w:val="30"/>
        </w:rPr>
      </w:pPr>
    </w:p>
    <w:p w:rsidR="00EF54E3" w:rsidRPr="00EF0603" w:rsidRDefault="00EF54E3" w:rsidP="0013334E">
      <w:pPr>
        <w:snapToGrid w:val="0"/>
        <w:spacing w:line="360" w:lineRule="auto"/>
        <w:rPr>
          <w:rFonts w:ascii="仿宋_GB2312" w:eastAsia="仿宋_GB2312" w:hint="eastAsia"/>
          <w:sz w:val="30"/>
          <w:szCs w:val="30"/>
        </w:rPr>
      </w:pPr>
      <w:r w:rsidRPr="00EF0603">
        <w:rPr>
          <w:rFonts w:ascii="仿宋_GB2312" w:eastAsia="仿宋_GB2312" w:hint="eastAsia"/>
          <w:sz w:val="30"/>
          <w:szCs w:val="30"/>
        </w:rPr>
        <w:t xml:space="preserve">　　能源是经济社会发展的基础，在保障国民经济发展、促进社会进步和提高人民生活水平等方面发挥着重要作用。为确保我省“十二五”期间全面推进工业化、城镇化和农业现代化，实现能源与经济、社会、环境的协调可持续发展，根据《吉林省国民经济和社会发展第十二个五年规划纲要》，制定本规划。</w:t>
      </w:r>
    </w:p>
    <w:p w:rsidR="00EF54E3" w:rsidRPr="00EF0603" w:rsidRDefault="00EF54E3" w:rsidP="0013334E">
      <w:pPr>
        <w:snapToGrid w:val="0"/>
        <w:spacing w:line="360" w:lineRule="auto"/>
        <w:rPr>
          <w:rFonts w:ascii="黑体" w:eastAsia="黑体" w:hint="eastAsia"/>
          <w:sz w:val="30"/>
          <w:szCs w:val="30"/>
        </w:rPr>
      </w:pPr>
      <w:r w:rsidRPr="00EF0603">
        <w:rPr>
          <w:rFonts w:ascii="黑体" w:eastAsia="黑体" w:hint="eastAsia"/>
          <w:sz w:val="30"/>
          <w:szCs w:val="30"/>
        </w:rPr>
        <w:t xml:space="preserve">　　一、“十一五”期间吉林省能源发展取得的主要成绩</w:t>
      </w:r>
    </w:p>
    <w:p w:rsidR="00EF54E3" w:rsidRPr="00EF0603" w:rsidRDefault="00EF54E3" w:rsidP="0013334E">
      <w:pPr>
        <w:snapToGrid w:val="0"/>
        <w:spacing w:line="360" w:lineRule="auto"/>
        <w:rPr>
          <w:rFonts w:ascii="仿宋_GB2312" w:eastAsia="仿宋_GB2312" w:hint="eastAsia"/>
          <w:sz w:val="30"/>
          <w:szCs w:val="30"/>
        </w:rPr>
      </w:pPr>
      <w:r w:rsidRPr="00EF0603">
        <w:rPr>
          <w:rFonts w:ascii="仿宋_GB2312" w:eastAsia="仿宋_GB2312" w:hint="eastAsia"/>
          <w:sz w:val="30"/>
          <w:szCs w:val="30"/>
        </w:rPr>
        <w:t xml:space="preserve">　　“十一五”是我省能源发展最快的时期，在此期间，我省坚持能源适度超前的发展战略，着力推进能源基础设施和重点项目建设，各项能源工作迈上新的台阶，为促进我省经济社会平稳较快发展提供了能源保障。</w:t>
      </w:r>
    </w:p>
    <w:p w:rsidR="00EF54E3" w:rsidRPr="00EF0603" w:rsidRDefault="00EF54E3" w:rsidP="0013334E">
      <w:pPr>
        <w:snapToGrid w:val="0"/>
        <w:spacing w:line="360" w:lineRule="auto"/>
        <w:rPr>
          <w:rFonts w:ascii="仿宋_GB2312" w:eastAsia="仿宋_GB2312" w:hint="eastAsia"/>
          <w:b/>
          <w:sz w:val="30"/>
          <w:szCs w:val="30"/>
        </w:rPr>
      </w:pPr>
      <w:r w:rsidRPr="00EF0603">
        <w:rPr>
          <w:rFonts w:ascii="仿宋_GB2312" w:eastAsia="仿宋_GB2312" w:hint="eastAsia"/>
          <w:b/>
          <w:sz w:val="30"/>
          <w:szCs w:val="30"/>
        </w:rPr>
        <w:t xml:space="preserve">　　（一）能源生产供应能力明显增强。</w:t>
      </w:r>
    </w:p>
    <w:p w:rsidR="00EF54E3" w:rsidRPr="00EF0603" w:rsidRDefault="00EF54E3" w:rsidP="0013334E">
      <w:pPr>
        <w:snapToGrid w:val="0"/>
        <w:spacing w:line="360" w:lineRule="auto"/>
        <w:rPr>
          <w:rFonts w:ascii="仿宋_GB2312" w:eastAsia="仿宋_GB2312" w:hAnsi="华文仿宋" w:hint="eastAsia"/>
          <w:sz w:val="30"/>
          <w:szCs w:val="30"/>
        </w:rPr>
      </w:pPr>
      <w:r w:rsidRPr="00EF0603">
        <w:rPr>
          <w:rFonts w:ascii="仿宋_GB2312" w:eastAsia="仿宋_GB2312" w:hAnsi="华文仿宋" w:hint="eastAsia"/>
          <w:sz w:val="30"/>
          <w:szCs w:val="30"/>
        </w:rPr>
        <w:t xml:space="preserve">　　2010年，全省一次能源生产总量达到4347万吨标准煤，比2005年增长67.41%，年均增长10.85%。其中：原煤产量4280万吨，比2005年增长57.64%，年均增长9.53%；原油产量632.53万吨，比2005年增长14.89%，年均增长2.81%；天</w:t>
      </w:r>
      <w:r w:rsidRPr="00EF0603">
        <w:rPr>
          <w:rFonts w:ascii="仿宋_GB2312" w:eastAsia="仿宋_GB2312" w:hAnsi="华文仿宋" w:hint="eastAsia"/>
          <w:sz w:val="30"/>
          <w:szCs w:val="30"/>
        </w:rPr>
        <w:lastRenderedPageBreak/>
        <w:t>然气产量17.45亿立方米，比2005年增长223.15%，年均增长26.44%。电力装机容量达到2034.67万千瓦，是“十五”末的2倍；全口径发电量658亿千瓦时，比2005年增长51.81%，年均增长8.71%。</w:t>
      </w:r>
    </w:p>
    <w:p w:rsidR="00EF54E3" w:rsidRPr="00EF0603" w:rsidRDefault="00EF54E3" w:rsidP="0013334E">
      <w:pPr>
        <w:snapToGrid w:val="0"/>
        <w:spacing w:line="360" w:lineRule="auto"/>
        <w:rPr>
          <w:rFonts w:ascii="仿宋_GB2312" w:eastAsia="仿宋_GB2312" w:hint="eastAsia"/>
          <w:b/>
          <w:sz w:val="30"/>
          <w:szCs w:val="30"/>
        </w:rPr>
      </w:pPr>
      <w:r w:rsidRPr="00EF0603">
        <w:rPr>
          <w:rFonts w:ascii="仿宋_GB2312" w:eastAsia="仿宋_GB2312" w:hint="eastAsia"/>
          <w:b/>
          <w:sz w:val="30"/>
          <w:szCs w:val="30"/>
        </w:rPr>
        <w:t xml:space="preserve">　　（二）能源结构不断优化。</w:t>
      </w:r>
    </w:p>
    <w:p w:rsidR="00EF54E3" w:rsidRPr="00EF0603" w:rsidRDefault="00EF54E3" w:rsidP="0013334E">
      <w:pPr>
        <w:snapToGrid w:val="0"/>
        <w:spacing w:line="360" w:lineRule="auto"/>
        <w:rPr>
          <w:rFonts w:ascii="仿宋_GB2312" w:eastAsia="仿宋_GB2312" w:hint="eastAsia"/>
          <w:sz w:val="30"/>
          <w:szCs w:val="30"/>
        </w:rPr>
      </w:pPr>
      <w:r w:rsidRPr="00EF0603">
        <w:rPr>
          <w:rFonts w:ascii="仿宋_GB2312" w:eastAsia="仿宋_GB2312" w:hint="eastAsia"/>
          <w:sz w:val="30"/>
          <w:szCs w:val="30"/>
        </w:rPr>
        <w:t xml:space="preserve">　　“十一五”期间，我省清洁能源所占比重提高。到2010年底，新能源发电装机（不含水电）所占比重由2005年的0.84%提高到11.41%；天然气利用总量由2005年的5.</w:t>
      </w:r>
      <w:smartTag w:uri="urn:schemas-microsoft-com:office:smarttags" w:element="chmetcnv">
        <w:smartTagPr>
          <w:attr w:name="TCSC" w:val="1"/>
          <w:attr w:name="NumberType" w:val="1"/>
          <w:attr w:name="Negative" w:val="False"/>
          <w:attr w:name="HasSpace" w:val="False"/>
          <w:attr w:name="SourceValue" w:val="400000000"/>
          <w:attr w:name="UnitName" w:val="立方米"/>
        </w:smartTagPr>
        <w:r w:rsidRPr="00EF0603">
          <w:rPr>
            <w:rFonts w:ascii="仿宋_GB2312" w:eastAsia="仿宋_GB2312" w:hint="eastAsia"/>
            <w:sz w:val="30"/>
            <w:szCs w:val="30"/>
          </w:rPr>
          <w:t>4亿立方米</w:t>
        </w:r>
      </w:smartTag>
      <w:r w:rsidRPr="00EF0603">
        <w:rPr>
          <w:rFonts w:ascii="仿宋_GB2312" w:eastAsia="仿宋_GB2312" w:hint="eastAsia"/>
          <w:sz w:val="30"/>
          <w:szCs w:val="30"/>
        </w:rPr>
        <w:t>提高到17.45亿立方米，是2005年的3.23倍；风电装机容量达到220.88万千瓦，是2005年的27.96倍；水电装机容量达到427.15万千瓦，比2005年增长14.79%；生物质发电装机容量达到11.2万千瓦，是2005年的18.67倍。</w:t>
      </w:r>
    </w:p>
    <w:p w:rsidR="00EF54E3" w:rsidRPr="008255CF" w:rsidRDefault="00EF54E3" w:rsidP="0013334E">
      <w:pPr>
        <w:snapToGrid w:val="0"/>
        <w:spacing w:line="360" w:lineRule="auto"/>
        <w:rPr>
          <w:rFonts w:ascii="仿宋_GB2312" w:eastAsia="仿宋_GB2312" w:hint="eastAsia"/>
          <w:b/>
          <w:sz w:val="30"/>
          <w:szCs w:val="30"/>
        </w:rPr>
      </w:pPr>
      <w:r w:rsidRPr="008255CF">
        <w:rPr>
          <w:rFonts w:ascii="仿宋_GB2312" w:eastAsia="仿宋_GB2312" w:hint="eastAsia"/>
          <w:b/>
          <w:sz w:val="30"/>
          <w:szCs w:val="30"/>
        </w:rPr>
        <w:t xml:space="preserve">　　（三）重点项目建设力度加大。</w:t>
      </w:r>
    </w:p>
    <w:p w:rsidR="00EF54E3" w:rsidRPr="008255CF" w:rsidRDefault="00EF54E3" w:rsidP="0013334E">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十一五”期间，能源固定资产投资累计完成2600亿元，比“十五”时期增长了5倍。煤矿建设取得较大进展。龙家堡煤矿、八连城煤矿、板石一矿等一批现代化矿井建成投产，新增生产能力720万吨/年。电力项目建设取得了突破性进展，白城电厂、九台电厂和长春三热、四热等一批电源项目建成投产，新增装机容</w:t>
      </w:r>
      <w:r w:rsidRPr="008255CF">
        <w:rPr>
          <w:rFonts w:ascii="仿宋_GB2312" w:eastAsia="仿宋_GB2312" w:hint="eastAsia"/>
          <w:sz w:val="30"/>
          <w:szCs w:val="30"/>
        </w:rPr>
        <w:lastRenderedPageBreak/>
        <w:t>量1018.17万千瓦，五年翻了一倍；风力发电已被列入国家千万千瓦风电基地，通榆、洮南、双辽等地区风电建设已初具规模；生物质发电项目加快推进；靖宇赤松核电项目已列入国家核电发展规划，吉林丰满水电站重建、敦化抽水蓄能电站新建项目列入国家能源发展“十二五”规划。电网建设取得显著成就，500千伏骨干网架基本形成，建成500千伏变电站5座，变电容量875万千伏安，500千伏输变电线路</w:t>
      </w:r>
      <w:smartTag w:uri="urn:schemas-microsoft-com:office:smarttags" w:element="chmetcnv">
        <w:smartTagPr>
          <w:attr w:name="TCSC" w:val="0"/>
          <w:attr w:name="NumberType" w:val="1"/>
          <w:attr w:name="Negative" w:val="False"/>
          <w:attr w:name="HasSpace" w:val="False"/>
          <w:attr w:name="SourceValue" w:val="1743"/>
          <w:attr w:name="UnitName" w:val="公里"/>
        </w:smartTagPr>
        <w:r w:rsidRPr="008255CF">
          <w:rPr>
            <w:rFonts w:ascii="仿宋_GB2312" w:eastAsia="仿宋_GB2312" w:hint="eastAsia"/>
            <w:sz w:val="30"/>
            <w:szCs w:val="30"/>
          </w:rPr>
          <w:t>1743公里</w:t>
        </w:r>
      </w:smartTag>
      <w:r w:rsidRPr="008255CF">
        <w:rPr>
          <w:rFonts w:ascii="仿宋_GB2312" w:eastAsia="仿宋_GB2312" w:hint="eastAsia"/>
          <w:sz w:val="30"/>
          <w:szCs w:val="30"/>
        </w:rPr>
        <w:t>；建成220千伏变电站21座，变电容量615.6万千伏安，220千伏输变电线路</w:t>
      </w:r>
      <w:smartTag w:uri="urn:schemas-microsoft-com:office:smarttags" w:element="chmetcnv">
        <w:smartTagPr>
          <w:attr w:name="TCSC" w:val="0"/>
          <w:attr w:name="NumberType" w:val="1"/>
          <w:attr w:name="Negative" w:val="False"/>
          <w:attr w:name="HasSpace" w:val="False"/>
          <w:attr w:name="SourceValue" w:val="2236.5"/>
          <w:attr w:name="UnitName" w:val="公里"/>
        </w:smartTagPr>
        <w:r w:rsidRPr="008255CF">
          <w:rPr>
            <w:rFonts w:ascii="仿宋_GB2312" w:eastAsia="仿宋_GB2312" w:hint="eastAsia"/>
            <w:sz w:val="30"/>
            <w:szCs w:val="30"/>
          </w:rPr>
          <w:t>2236.5公里</w:t>
        </w:r>
      </w:smartTag>
      <w:r w:rsidRPr="008255CF">
        <w:rPr>
          <w:rFonts w:ascii="仿宋_GB2312" w:eastAsia="仿宋_GB2312" w:hint="eastAsia"/>
          <w:sz w:val="30"/>
          <w:szCs w:val="30"/>
        </w:rPr>
        <w:t>。千万吨油气田建设扎实推进，2010年油气生产能力突破750万吨油气当量；千万吨炼油工程顺利推进，5套主要生产装置投入运行；长岭－长春－吉化、八屋－长春等天然气长输管线建成投运。</w:t>
      </w:r>
    </w:p>
    <w:p w:rsidR="00EF54E3" w:rsidRPr="008255CF" w:rsidRDefault="00EF54E3" w:rsidP="0013334E">
      <w:pPr>
        <w:snapToGrid w:val="0"/>
        <w:spacing w:line="360" w:lineRule="auto"/>
        <w:rPr>
          <w:rFonts w:ascii="仿宋_GB2312" w:eastAsia="仿宋_GB2312" w:hint="eastAsia"/>
          <w:b/>
          <w:sz w:val="30"/>
          <w:szCs w:val="30"/>
        </w:rPr>
      </w:pPr>
      <w:r w:rsidRPr="008255CF">
        <w:rPr>
          <w:rFonts w:ascii="仿宋_GB2312" w:eastAsia="仿宋_GB2312" w:hint="eastAsia"/>
          <w:b/>
          <w:sz w:val="30"/>
          <w:szCs w:val="30"/>
        </w:rPr>
        <w:t xml:space="preserve">　　（四）节能减排成效明显。</w:t>
      </w:r>
    </w:p>
    <w:p w:rsidR="00EF54E3" w:rsidRPr="008255CF" w:rsidRDefault="00EF54E3" w:rsidP="0013334E">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2010年，完成了全省全社会单位GDP能耗比2005年下降22%的目标。煤矿更新大批老旧杂设备，降低了能耗，整顿关闭了小煤矿235处；加强资源综合利用，建成5座瓦斯发电站，总装机容量达到1.15万千瓦，到2010年末累计利用煤层气1145万立方米；利用煤矸石生产建筑材料，减少了煤矸石直接堆积对</w:t>
      </w:r>
      <w:r w:rsidRPr="008255CF">
        <w:rPr>
          <w:rFonts w:ascii="仿宋_GB2312" w:eastAsia="仿宋_GB2312" w:hint="eastAsia"/>
          <w:sz w:val="30"/>
          <w:szCs w:val="30"/>
        </w:rPr>
        <w:lastRenderedPageBreak/>
        <w:t>环境的污染。电力“上大压小”超额完成国家下达指标，关停小火电机组160.92万千瓦；推进了燃煤机组脱硫改造，火电供电煤耗比“十五”末下降13.54%，积极开展电力需求侧管理和小火电机组发电权替代，提高了发电和用电能效。千万吨炼油项目结构调整、硫磺回收、热能梯级利用节能效果显著，炼油能耗比“十五”末下降</w:t>
      </w:r>
      <w:smartTag w:uri="urn:schemas-microsoft-com:office:smarttags" w:element="chmetcnv">
        <w:smartTagPr>
          <w:attr w:name="TCSC" w:val="0"/>
          <w:attr w:name="NumberType" w:val="1"/>
          <w:attr w:name="Negative" w:val="False"/>
          <w:attr w:name="HasSpace" w:val="False"/>
          <w:attr w:name="SourceValue" w:val="8"/>
          <w:attr w:name="UnitName" w:val="千克"/>
        </w:smartTagPr>
        <w:r w:rsidRPr="008255CF">
          <w:rPr>
            <w:rFonts w:ascii="仿宋_GB2312" w:eastAsia="仿宋_GB2312" w:hint="eastAsia"/>
            <w:sz w:val="30"/>
            <w:szCs w:val="30"/>
          </w:rPr>
          <w:t>8千克</w:t>
        </w:r>
      </w:smartTag>
      <w:r w:rsidRPr="008255CF">
        <w:rPr>
          <w:rFonts w:ascii="仿宋_GB2312" w:eastAsia="仿宋_GB2312" w:hint="eastAsia"/>
          <w:sz w:val="30"/>
          <w:szCs w:val="30"/>
        </w:rPr>
        <w:t>标准油/吨。</w:t>
      </w:r>
    </w:p>
    <w:p w:rsidR="00EF54E3" w:rsidRPr="008255CF" w:rsidRDefault="00EF54E3" w:rsidP="0013334E">
      <w:pPr>
        <w:snapToGrid w:val="0"/>
        <w:spacing w:line="360" w:lineRule="auto"/>
        <w:rPr>
          <w:rFonts w:ascii="仿宋_GB2312" w:eastAsia="仿宋_GB2312" w:hint="eastAsia"/>
          <w:b/>
          <w:sz w:val="30"/>
          <w:szCs w:val="30"/>
        </w:rPr>
      </w:pPr>
      <w:r w:rsidRPr="008255CF">
        <w:rPr>
          <w:rFonts w:ascii="仿宋_GB2312" w:eastAsia="仿宋_GB2312" w:hint="eastAsia"/>
          <w:b/>
          <w:sz w:val="30"/>
          <w:szCs w:val="30"/>
        </w:rPr>
        <w:t xml:space="preserve">　　（五）能源科技装备水平得到提高。</w:t>
      </w:r>
    </w:p>
    <w:p w:rsidR="00EF54E3" w:rsidRPr="008255CF" w:rsidRDefault="00EF54E3" w:rsidP="0013334E">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全省煤矿采煤机械化程度达到72.97%，掘进机械化程度达到27%。60万千瓦、30万千瓦超临界发电机组相继投入运行。天然气脱碳、二氧化碳驱油等一批重大科技成果推广应用取得显著成效。华锐、歌美飒等国内外知名风机制造企业入驻吉林省，带动了吉林省风电装备制造业的产业化、规模化发展；吉林昊宇公司消化吸收国外先进技术，研发制造的第三代AP1000核电主管道项目通过国家鉴定。</w:t>
      </w:r>
    </w:p>
    <w:p w:rsidR="00EF54E3" w:rsidRDefault="00EF54E3" w:rsidP="0013334E">
      <w:pPr>
        <w:snapToGrid w:val="0"/>
        <w:spacing w:line="360" w:lineRule="auto"/>
        <w:ind w:firstLine="645"/>
        <w:rPr>
          <w:rFonts w:ascii="仿宋_GB2312" w:eastAsia="仿宋_GB2312" w:hint="eastAsia"/>
          <w:sz w:val="30"/>
          <w:szCs w:val="30"/>
        </w:rPr>
      </w:pPr>
      <w:r w:rsidRPr="008255CF">
        <w:rPr>
          <w:rFonts w:ascii="仿宋_GB2312" w:eastAsia="仿宋_GB2312" w:hint="eastAsia"/>
          <w:sz w:val="30"/>
          <w:szCs w:val="30"/>
        </w:rPr>
        <w:t>此外，能源域外开发合作开始起步，吉煤集团等企业在蒙东地区的煤炭开发、引</w:t>
      </w:r>
      <w:r w:rsidR="00843BDB">
        <w:rPr>
          <w:rFonts w:ascii="仿宋_GB2312" w:eastAsia="仿宋_GB2312" w:hint="eastAsia"/>
          <w:sz w:val="30"/>
          <w:szCs w:val="30"/>
        </w:rPr>
        <w:t>进煤制天然气等项目已开展前期工作。</w:t>
      </w:r>
    </w:p>
    <w:tbl>
      <w:tblPr>
        <w:tblW w:w="8520" w:type="dxa"/>
        <w:tblInd w:w="93" w:type="dxa"/>
        <w:tblLook w:val="0000"/>
      </w:tblPr>
      <w:tblGrid>
        <w:gridCol w:w="2160"/>
        <w:gridCol w:w="1480"/>
        <w:gridCol w:w="1220"/>
        <w:gridCol w:w="1220"/>
        <w:gridCol w:w="1220"/>
        <w:gridCol w:w="1220"/>
      </w:tblGrid>
      <w:tr w:rsidR="00670048" w:rsidRPr="00670048">
        <w:trPr>
          <w:trHeight w:val="375"/>
        </w:trPr>
        <w:tc>
          <w:tcPr>
            <w:tcW w:w="8520" w:type="dxa"/>
            <w:gridSpan w:val="6"/>
            <w:tcBorders>
              <w:top w:val="nil"/>
              <w:left w:val="nil"/>
              <w:bottom w:val="nil"/>
              <w:right w:val="nil"/>
            </w:tcBorders>
            <w:shd w:val="clear" w:color="auto" w:fill="auto"/>
            <w:vAlign w:val="center"/>
          </w:tcPr>
          <w:p w:rsidR="00670048" w:rsidRPr="00670048" w:rsidRDefault="00670048" w:rsidP="00670048">
            <w:pPr>
              <w:widowControl/>
              <w:jc w:val="left"/>
              <w:rPr>
                <w:rFonts w:ascii="楷体_GB2312" w:eastAsia="楷体_GB2312" w:hAnsi="宋体" w:cs="宋体"/>
                <w:kern w:val="0"/>
                <w:sz w:val="28"/>
                <w:szCs w:val="28"/>
              </w:rPr>
            </w:pPr>
            <w:r w:rsidRPr="00670048">
              <w:rPr>
                <w:rFonts w:ascii="楷体_GB2312" w:eastAsia="楷体_GB2312" w:hAnsi="宋体" w:cs="宋体" w:hint="eastAsia"/>
                <w:kern w:val="0"/>
                <w:sz w:val="28"/>
                <w:szCs w:val="28"/>
              </w:rPr>
              <w:t>专栏1           “十一五”能源发展成就</w:t>
            </w:r>
          </w:p>
        </w:tc>
      </w:tr>
      <w:tr w:rsidR="00670048" w:rsidRPr="00670048">
        <w:trPr>
          <w:trHeight w:val="66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指</w:t>
            </w:r>
            <w:r w:rsidRPr="00670048">
              <w:rPr>
                <w:kern w:val="0"/>
                <w:sz w:val="24"/>
              </w:rPr>
              <w:t xml:space="preserve"> </w:t>
            </w:r>
            <w:r w:rsidRPr="00670048">
              <w:rPr>
                <w:rFonts w:ascii="宋体" w:hAnsi="宋体" w:cs="宋体" w:hint="eastAsia"/>
                <w:kern w:val="0"/>
                <w:sz w:val="24"/>
              </w:rPr>
              <w:t>标</w:t>
            </w:r>
          </w:p>
        </w:tc>
        <w:tc>
          <w:tcPr>
            <w:tcW w:w="1480" w:type="dxa"/>
            <w:tcBorders>
              <w:top w:val="single" w:sz="4" w:space="0" w:color="auto"/>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单位</w:t>
            </w:r>
          </w:p>
        </w:tc>
        <w:tc>
          <w:tcPr>
            <w:tcW w:w="1220" w:type="dxa"/>
            <w:tcBorders>
              <w:top w:val="single" w:sz="4" w:space="0" w:color="auto"/>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2005</w:t>
            </w:r>
            <w:r w:rsidRPr="00670048">
              <w:rPr>
                <w:rFonts w:ascii="宋体" w:hAnsi="宋体" w:hint="eastAsia"/>
                <w:kern w:val="0"/>
                <w:sz w:val="24"/>
              </w:rPr>
              <w:t>年</w:t>
            </w:r>
          </w:p>
        </w:tc>
        <w:tc>
          <w:tcPr>
            <w:tcW w:w="1220" w:type="dxa"/>
            <w:tcBorders>
              <w:top w:val="single" w:sz="4" w:space="0" w:color="auto"/>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2010</w:t>
            </w:r>
            <w:r w:rsidRPr="00670048">
              <w:rPr>
                <w:rFonts w:ascii="宋体" w:hAnsi="宋体" w:hint="eastAsia"/>
                <w:kern w:val="0"/>
                <w:sz w:val="24"/>
              </w:rPr>
              <w:t>年</w:t>
            </w:r>
          </w:p>
        </w:tc>
        <w:tc>
          <w:tcPr>
            <w:tcW w:w="1220" w:type="dxa"/>
            <w:tcBorders>
              <w:top w:val="single" w:sz="4" w:space="0" w:color="auto"/>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增长率</w:t>
            </w:r>
            <w:r w:rsidRPr="00670048">
              <w:rPr>
                <w:kern w:val="0"/>
                <w:sz w:val="24"/>
              </w:rPr>
              <w:t>(%)</w:t>
            </w:r>
          </w:p>
        </w:tc>
        <w:tc>
          <w:tcPr>
            <w:tcW w:w="1220" w:type="dxa"/>
            <w:tcBorders>
              <w:top w:val="single" w:sz="4" w:space="0" w:color="auto"/>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年均增长</w:t>
            </w:r>
            <w:r w:rsidRPr="00670048">
              <w:rPr>
                <w:kern w:val="0"/>
                <w:sz w:val="24"/>
              </w:rPr>
              <w:t>(%)</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lastRenderedPageBreak/>
              <w:t>一次能源生产总量</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万吨标准煤</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2596.6</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4347</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67.41</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10.85</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煤炭</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万吨</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2715</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4280</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57.64</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9.53</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石油</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万吨</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550.6</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632.53</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14.89</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2.81</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天然气</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亿立方米</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5.4</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17.45</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223.15</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26.44</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非化石能源</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万吨标准煤</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97</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450.1</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364.02</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35.93</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全口径发电量</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亿千瓦时</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433.43</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658</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51.81</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8.71</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电力装机规模</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万千瓦</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1016.5</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2034.67</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100.16</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14.88</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水电</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万千瓦</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372.1</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427.15</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14.79</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2.8</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火电</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万千瓦</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635.9</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1375.44</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116.3</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16.68</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风电</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万千瓦</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7.9</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220.88</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2695.95</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94.67</w:t>
            </w:r>
          </w:p>
        </w:tc>
      </w:tr>
      <w:tr w:rsidR="00670048" w:rsidRPr="00670048">
        <w:trPr>
          <w:trHeight w:val="315"/>
        </w:trPr>
        <w:tc>
          <w:tcPr>
            <w:tcW w:w="2160" w:type="dxa"/>
            <w:tcBorders>
              <w:top w:val="nil"/>
              <w:left w:val="single" w:sz="4" w:space="0" w:color="auto"/>
              <w:bottom w:val="single" w:sz="4" w:space="0" w:color="auto"/>
              <w:right w:val="single" w:sz="4" w:space="0" w:color="auto"/>
            </w:tcBorders>
            <w:shd w:val="clear" w:color="auto" w:fill="auto"/>
            <w:vAlign w:val="center"/>
          </w:tcPr>
          <w:p w:rsidR="00670048" w:rsidRPr="00670048" w:rsidRDefault="00670048" w:rsidP="00670048">
            <w:pPr>
              <w:widowControl/>
              <w:jc w:val="left"/>
              <w:rPr>
                <w:rFonts w:ascii="宋体" w:hAnsi="宋体" w:cs="宋体"/>
                <w:kern w:val="0"/>
                <w:sz w:val="24"/>
              </w:rPr>
            </w:pPr>
            <w:r w:rsidRPr="00670048">
              <w:rPr>
                <w:rFonts w:ascii="宋体" w:hAnsi="宋体" w:cs="宋体" w:hint="eastAsia"/>
                <w:kern w:val="0"/>
                <w:sz w:val="24"/>
              </w:rPr>
              <w:t>生物质及其他发电</w:t>
            </w:r>
          </w:p>
        </w:tc>
        <w:tc>
          <w:tcPr>
            <w:tcW w:w="148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rFonts w:ascii="宋体" w:hAnsi="宋体" w:cs="宋体"/>
                <w:kern w:val="0"/>
                <w:sz w:val="24"/>
              </w:rPr>
            </w:pPr>
            <w:r w:rsidRPr="00670048">
              <w:rPr>
                <w:rFonts w:ascii="宋体" w:hAnsi="宋体" w:cs="宋体" w:hint="eastAsia"/>
                <w:kern w:val="0"/>
                <w:sz w:val="24"/>
              </w:rPr>
              <w:t>万千瓦</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0.6</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11.2</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1766.67</w:t>
            </w:r>
          </w:p>
        </w:tc>
        <w:tc>
          <w:tcPr>
            <w:tcW w:w="1220" w:type="dxa"/>
            <w:tcBorders>
              <w:top w:val="nil"/>
              <w:left w:val="nil"/>
              <w:bottom w:val="single" w:sz="4" w:space="0" w:color="auto"/>
              <w:right w:val="single" w:sz="4" w:space="0" w:color="auto"/>
            </w:tcBorders>
            <w:shd w:val="clear" w:color="auto" w:fill="auto"/>
            <w:vAlign w:val="center"/>
          </w:tcPr>
          <w:p w:rsidR="00670048" w:rsidRPr="00670048" w:rsidRDefault="00670048" w:rsidP="00670048">
            <w:pPr>
              <w:widowControl/>
              <w:jc w:val="center"/>
              <w:rPr>
                <w:kern w:val="0"/>
                <w:sz w:val="24"/>
              </w:rPr>
            </w:pPr>
            <w:r w:rsidRPr="00670048">
              <w:rPr>
                <w:kern w:val="0"/>
                <w:sz w:val="24"/>
              </w:rPr>
              <w:t>79.56</w:t>
            </w:r>
          </w:p>
        </w:tc>
      </w:tr>
    </w:tbl>
    <w:p w:rsidR="0077335E" w:rsidRPr="0013334E" w:rsidRDefault="0077335E" w:rsidP="008255CF">
      <w:pPr>
        <w:snapToGrid w:val="0"/>
        <w:spacing w:line="360" w:lineRule="auto"/>
        <w:rPr>
          <w:rFonts w:ascii="仿宋_GB2312" w:eastAsia="仿宋_GB2312" w:hint="eastAsia"/>
          <w:szCs w:val="21"/>
        </w:rPr>
      </w:pPr>
    </w:p>
    <w:p w:rsidR="00EF54E3" w:rsidRPr="008255CF" w:rsidRDefault="00EF54E3" w:rsidP="008255CF">
      <w:pPr>
        <w:snapToGrid w:val="0"/>
        <w:spacing w:line="360" w:lineRule="auto"/>
        <w:rPr>
          <w:rFonts w:ascii="黑体" w:eastAsia="黑体" w:hint="eastAsia"/>
          <w:sz w:val="30"/>
          <w:szCs w:val="30"/>
        </w:rPr>
      </w:pPr>
      <w:r w:rsidRPr="008255CF">
        <w:rPr>
          <w:rFonts w:ascii="黑体" w:eastAsia="黑体" w:hint="eastAsia"/>
          <w:sz w:val="30"/>
          <w:szCs w:val="30"/>
        </w:rPr>
        <w:t xml:space="preserve">　　二、存在的主要问题和面临的形势</w:t>
      </w:r>
    </w:p>
    <w:p w:rsidR="00EF54E3" w:rsidRPr="008255CF" w:rsidRDefault="00EF54E3" w:rsidP="008255CF">
      <w:pPr>
        <w:snapToGrid w:val="0"/>
        <w:spacing w:line="360" w:lineRule="auto"/>
        <w:rPr>
          <w:rFonts w:ascii="仿宋_GB2312" w:eastAsia="仿宋_GB2312" w:hint="eastAsia"/>
          <w:b/>
          <w:sz w:val="30"/>
          <w:szCs w:val="30"/>
        </w:rPr>
      </w:pPr>
      <w:r w:rsidRPr="008255CF">
        <w:rPr>
          <w:rFonts w:ascii="仿宋_GB2312" w:eastAsia="仿宋_GB2312" w:hint="eastAsia"/>
          <w:b/>
          <w:sz w:val="30"/>
          <w:szCs w:val="30"/>
        </w:rPr>
        <w:t xml:space="preserve">　　（一）存在的主要问题。</w:t>
      </w:r>
    </w:p>
    <w:p w:rsidR="00EF54E3" w:rsidRPr="008255CF" w:rsidRDefault="00EF54E3" w:rsidP="008255CF">
      <w:pPr>
        <w:snapToGrid w:val="0"/>
        <w:spacing w:line="360" w:lineRule="auto"/>
        <w:rPr>
          <w:rFonts w:ascii="楷体_GB2312" w:eastAsia="楷体_GB2312" w:hint="eastAsia"/>
          <w:sz w:val="30"/>
          <w:szCs w:val="30"/>
        </w:rPr>
      </w:pPr>
      <w:r w:rsidRPr="008255CF">
        <w:rPr>
          <w:rFonts w:ascii="楷体_GB2312" w:eastAsia="楷体_GB2312" w:hint="eastAsia"/>
          <w:sz w:val="30"/>
          <w:szCs w:val="30"/>
        </w:rPr>
        <w:t xml:space="preserve">　　1</w:t>
      </w:r>
      <w:r w:rsidR="005F65C8" w:rsidRPr="008255CF">
        <w:rPr>
          <w:rFonts w:ascii="楷体_GB2312" w:eastAsia="楷体_GB2312" w:hint="eastAsia"/>
          <w:sz w:val="30"/>
          <w:szCs w:val="30"/>
        </w:rPr>
        <w:t>．</w:t>
      </w:r>
      <w:r w:rsidRPr="008255CF">
        <w:rPr>
          <w:rFonts w:ascii="楷体_GB2312" w:eastAsia="楷体_GB2312" w:hint="eastAsia"/>
          <w:sz w:val="30"/>
          <w:szCs w:val="30"/>
        </w:rPr>
        <w:t>化石能源资源不足。</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已探明煤炭地质储量仅有26.95亿吨，其中生产矿井可采储量8.71亿吨，2010年煤炭自给率仅为45%；已累计探明石油地质储量14.5亿吨，控制石油地质储量3.02亿吨，原油自给率为64%；天然气时段性紧缺问题依然存在。化石能源缺口较大，地质勘探相对滞后。</w:t>
      </w:r>
    </w:p>
    <w:p w:rsidR="00EF54E3" w:rsidRPr="008255CF" w:rsidRDefault="00EF54E3" w:rsidP="008255CF">
      <w:pPr>
        <w:snapToGrid w:val="0"/>
        <w:spacing w:line="360" w:lineRule="auto"/>
        <w:rPr>
          <w:rFonts w:ascii="楷体_GB2312" w:eastAsia="楷体_GB2312" w:hint="eastAsia"/>
          <w:sz w:val="30"/>
          <w:szCs w:val="30"/>
        </w:rPr>
      </w:pPr>
      <w:r w:rsidRPr="008255CF">
        <w:rPr>
          <w:rFonts w:ascii="楷体_GB2312" w:eastAsia="楷体_GB2312" w:hint="eastAsia"/>
          <w:sz w:val="30"/>
          <w:szCs w:val="30"/>
        </w:rPr>
        <w:t xml:space="preserve">　　2</w:t>
      </w:r>
      <w:r w:rsidR="005F65C8" w:rsidRPr="008255CF">
        <w:rPr>
          <w:rFonts w:ascii="楷体_GB2312" w:eastAsia="楷体_GB2312" w:hint="eastAsia"/>
          <w:sz w:val="30"/>
          <w:szCs w:val="30"/>
        </w:rPr>
        <w:t>．</w:t>
      </w:r>
      <w:r w:rsidRPr="008255CF">
        <w:rPr>
          <w:rFonts w:ascii="楷体_GB2312" w:eastAsia="楷体_GB2312" w:hint="eastAsia"/>
          <w:sz w:val="30"/>
          <w:szCs w:val="30"/>
        </w:rPr>
        <w:t>能源结构性矛盾突出。</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煤炭在一次能源消费中所占比重始终在70%以上，石油、天然气所占比重低于全国平均水平，新能源和可再生能源所占比重较小。电源结构不尽合理，火电装机容量所占比重较大，且火电机组大部分为供热机组，在冬季小负荷方式下系统调峰存在一</w:t>
      </w:r>
      <w:r w:rsidRPr="008255CF">
        <w:rPr>
          <w:rFonts w:ascii="仿宋_GB2312" w:eastAsia="仿宋_GB2312" w:hint="eastAsia"/>
          <w:sz w:val="30"/>
          <w:szCs w:val="30"/>
        </w:rPr>
        <w:lastRenderedPageBreak/>
        <w:t>定问题。主干电网网架尚需加强，系统调峰手段少，调峰能力不足。</w:t>
      </w:r>
    </w:p>
    <w:p w:rsidR="00EF54E3" w:rsidRPr="008255CF" w:rsidRDefault="00EF54E3" w:rsidP="008255CF">
      <w:pPr>
        <w:snapToGrid w:val="0"/>
        <w:spacing w:line="360" w:lineRule="auto"/>
        <w:rPr>
          <w:rFonts w:ascii="楷体_GB2312" w:eastAsia="楷体_GB2312" w:hint="eastAsia"/>
          <w:sz w:val="30"/>
          <w:szCs w:val="30"/>
        </w:rPr>
      </w:pPr>
      <w:r w:rsidRPr="008255CF">
        <w:rPr>
          <w:rFonts w:ascii="楷体_GB2312" w:eastAsia="楷体_GB2312" w:hint="eastAsia"/>
          <w:sz w:val="30"/>
          <w:szCs w:val="30"/>
        </w:rPr>
        <w:t xml:space="preserve">　　3</w:t>
      </w:r>
      <w:r w:rsidR="005F65C8" w:rsidRPr="008255CF">
        <w:rPr>
          <w:rFonts w:ascii="楷体_GB2312" w:eastAsia="楷体_GB2312" w:hint="eastAsia"/>
          <w:sz w:val="30"/>
          <w:szCs w:val="30"/>
        </w:rPr>
        <w:t>．</w:t>
      </w:r>
      <w:r w:rsidRPr="008255CF">
        <w:rPr>
          <w:rFonts w:ascii="楷体_GB2312" w:eastAsia="楷体_GB2312" w:hint="eastAsia"/>
          <w:sz w:val="30"/>
          <w:szCs w:val="30"/>
        </w:rPr>
        <w:t>节能减排压力较大。</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我省2010年单位GDP能耗1.14吨标准煤/万元，比全国平均水平0.84吨标准煤高35.71%。我省重化工业占工业比重高于全国平均水平，而且正处于快速发展时期，“十二五”期间节能减排任务仍然繁重。</w:t>
      </w:r>
    </w:p>
    <w:p w:rsidR="00EF54E3" w:rsidRPr="008255CF" w:rsidRDefault="00EF54E3" w:rsidP="008255CF">
      <w:pPr>
        <w:snapToGrid w:val="0"/>
        <w:spacing w:line="360" w:lineRule="auto"/>
        <w:rPr>
          <w:rFonts w:ascii="楷体_GB2312" w:eastAsia="楷体_GB2312" w:hint="eastAsia"/>
          <w:sz w:val="30"/>
          <w:szCs w:val="30"/>
        </w:rPr>
      </w:pPr>
      <w:r w:rsidRPr="008255CF">
        <w:rPr>
          <w:rFonts w:ascii="楷体_GB2312" w:eastAsia="楷体_GB2312" w:hint="eastAsia"/>
          <w:sz w:val="30"/>
          <w:szCs w:val="30"/>
        </w:rPr>
        <w:t xml:space="preserve">　　4</w:t>
      </w:r>
      <w:r w:rsidR="005F65C8" w:rsidRPr="008255CF">
        <w:rPr>
          <w:rFonts w:ascii="楷体_GB2312" w:eastAsia="楷体_GB2312" w:hint="eastAsia"/>
          <w:sz w:val="30"/>
          <w:szCs w:val="30"/>
        </w:rPr>
        <w:t>．</w:t>
      </w:r>
      <w:r w:rsidRPr="008255CF">
        <w:rPr>
          <w:rFonts w:ascii="楷体_GB2312" w:eastAsia="楷体_GB2312" w:hint="eastAsia"/>
          <w:sz w:val="30"/>
          <w:szCs w:val="30"/>
        </w:rPr>
        <w:t>科技装备自主研发能力不强。</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我省能源科技研发基础和创新能力薄弱，能源科技人才匮乏。风机制造企业多为整机组装，缺少主机、总成设备研发企业；煤矿、石油设备制造企业规模不大，实力不强。</w:t>
      </w:r>
    </w:p>
    <w:p w:rsidR="00EF54E3" w:rsidRPr="008255CF" w:rsidRDefault="00EF54E3" w:rsidP="008255CF">
      <w:pPr>
        <w:snapToGrid w:val="0"/>
        <w:spacing w:line="360" w:lineRule="auto"/>
        <w:rPr>
          <w:rFonts w:ascii="仿宋_GB2312" w:eastAsia="仿宋_GB2312" w:hint="eastAsia"/>
          <w:b/>
          <w:sz w:val="30"/>
          <w:szCs w:val="30"/>
        </w:rPr>
      </w:pPr>
      <w:r w:rsidRPr="008255CF">
        <w:rPr>
          <w:rFonts w:ascii="仿宋_GB2312" w:eastAsia="仿宋_GB2312" w:hint="eastAsia"/>
          <w:b/>
          <w:sz w:val="30"/>
          <w:szCs w:val="30"/>
        </w:rPr>
        <w:t xml:space="preserve">　　（二）面临的形势。</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十二五”期间，随着国内外能源形势的发展变化，国际能源资源争夺加剧，能源科技竞争日趋激烈，应对气候变化要求强烈，环境保护压力增加，为我省推进能源发展提出了新的课题。我省能源发展在全国处于中下游水平，总量小且结构不合理，结构调整回旋余地小，与发达省份差距有进一步拉大的趋势。同时，我省能源处于发展方式的转折期，结构调整的机遇期，新兴能源的</w:t>
      </w:r>
      <w:r w:rsidRPr="008255CF">
        <w:rPr>
          <w:rFonts w:ascii="仿宋_GB2312" w:eastAsia="仿宋_GB2312" w:hint="eastAsia"/>
          <w:sz w:val="30"/>
          <w:szCs w:val="30"/>
        </w:rPr>
        <w:lastRenderedPageBreak/>
        <w:t>成长期，技术创新的关键期，能源体制改革的攻坚期，面临的形势比较复杂，但总体上机遇大于挑战。</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1</w:t>
      </w:r>
      <w:r w:rsidR="005F65C8" w:rsidRPr="008255CF">
        <w:rPr>
          <w:rFonts w:ascii="仿宋_GB2312" w:eastAsia="仿宋_GB2312" w:hint="eastAsia"/>
          <w:sz w:val="30"/>
          <w:szCs w:val="30"/>
        </w:rPr>
        <w:t>．</w:t>
      </w:r>
      <w:r w:rsidRPr="008255CF">
        <w:rPr>
          <w:rFonts w:ascii="仿宋_GB2312" w:eastAsia="仿宋_GB2312" w:hint="eastAsia"/>
          <w:sz w:val="30"/>
          <w:szCs w:val="30"/>
        </w:rPr>
        <w:t>我国经济继续保持平稳较快发展的态势，对能源需求持续增长，为能源发展提供较大的市场空间。</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2</w:t>
      </w:r>
      <w:r w:rsidR="005F65C8" w:rsidRPr="008255CF">
        <w:rPr>
          <w:rFonts w:ascii="仿宋_GB2312" w:eastAsia="仿宋_GB2312" w:hint="eastAsia"/>
          <w:sz w:val="30"/>
          <w:szCs w:val="30"/>
        </w:rPr>
        <w:t>．</w:t>
      </w:r>
      <w:r w:rsidRPr="008255CF">
        <w:rPr>
          <w:rFonts w:ascii="仿宋_GB2312" w:eastAsia="仿宋_GB2312" w:hint="eastAsia"/>
          <w:sz w:val="30"/>
          <w:szCs w:val="30"/>
        </w:rPr>
        <w:t>国家大力支持战略性新兴能源产业发展，为我省利用资源优势，加快新能源和可再生能源发展提供了难得机遇。</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3</w:t>
      </w:r>
      <w:r w:rsidR="005F65C8" w:rsidRPr="008255CF">
        <w:rPr>
          <w:rFonts w:ascii="仿宋_GB2312" w:eastAsia="仿宋_GB2312" w:hint="eastAsia"/>
          <w:sz w:val="30"/>
          <w:szCs w:val="30"/>
        </w:rPr>
        <w:t>．</w:t>
      </w:r>
      <w:r w:rsidRPr="008255CF">
        <w:rPr>
          <w:rFonts w:ascii="仿宋_GB2312" w:eastAsia="仿宋_GB2312" w:hint="eastAsia"/>
          <w:sz w:val="30"/>
          <w:szCs w:val="30"/>
        </w:rPr>
        <w:t>我省油页岩资源储量860亿吨，占全国油页岩储量81%；新能源和可再生能源种类齐全，部分能源品种资源量比较丰富。风能资源潜在开发量约2亿千瓦，可装机容量约5400万千瓦。农作物和林业剩余物等生物质能资源量每年约为4674万吨。太阳能年辐射量为5051兆焦/平方米，西部年日照时数为2800～3000小时。</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4</w:t>
      </w:r>
      <w:r w:rsidR="005F65C8" w:rsidRPr="008255CF">
        <w:rPr>
          <w:rFonts w:ascii="仿宋_GB2312" w:eastAsia="仿宋_GB2312" w:hint="eastAsia"/>
          <w:sz w:val="30"/>
          <w:szCs w:val="30"/>
        </w:rPr>
        <w:t>．</w:t>
      </w:r>
      <w:r w:rsidRPr="008255CF">
        <w:rPr>
          <w:rFonts w:ascii="仿宋_GB2312" w:eastAsia="仿宋_GB2312" w:hint="eastAsia"/>
          <w:sz w:val="30"/>
          <w:szCs w:val="30"/>
        </w:rPr>
        <w:t>随着“长吉图”开发开放先导区纳入国家战略和中央新一轮振兴东北老工业基地战略的实施，我省经济发展进入快车道，产业结构和消费结构升级蕴藏着较大潜力，为我省能源结构调整和转变发展方式创造了有利条件。</w:t>
      </w:r>
    </w:p>
    <w:p w:rsidR="00EF54E3" w:rsidRPr="008255CF" w:rsidRDefault="00EF54E3" w:rsidP="008255CF">
      <w:pPr>
        <w:snapToGrid w:val="0"/>
        <w:spacing w:line="360" w:lineRule="auto"/>
        <w:rPr>
          <w:rFonts w:ascii="仿宋_GB2312" w:eastAsia="仿宋_GB2312" w:hint="eastAsia"/>
          <w:sz w:val="30"/>
          <w:szCs w:val="30"/>
        </w:rPr>
      </w:pPr>
      <w:r w:rsidRPr="008255CF">
        <w:rPr>
          <w:rFonts w:ascii="仿宋_GB2312" w:eastAsia="仿宋_GB2312" w:hint="eastAsia"/>
          <w:sz w:val="30"/>
          <w:szCs w:val="30"/>
        </w:rPr>
        <w:t xml:space="preserve">　　5</w:t>
      </w:r>
      <w:r w:rsidR="005F65C8" w:rsidRPr="008255CF">
        <w:rPr>
          <w:rFonts w:ascii="仿宋_GB2312" w:eastAsia="仿宋_GB2312" w:hint="eastAsia"/>
          <w:sz w:val="30"/>
          <w:szCs w:val="30"/>
        </w:rPr>
        <w:t>．</w:t>
      </w:r>
      <w:r w:rsidRPr="008255CF">
        <w:rPr>
          <w:rFonts w:ascii="仿宋_GB2312" w:eastAsia="仿宋_GB2312" w:hint="eastAsia"/>
          <w:sz w:val="30"/>
          <w:szCs w:val="30"/>
        </w:rPr>
        <w:t>后金融危机时期，能源供需矛盾相对缓和，有利于我省推进能源结构调整、加强能源基础设施建设、参与域外能源开发</w:t>
      </w:r>
      <w:r w:rsidRPr="008255CF">
        <w:rPr>
          <w:rFonts w:ascii="仿宋_GB2312" w:eastAsia="仿宋_GB2312" w:hint="eastAsia"/>
          <w:sz w:val="30"/>
          <w:szCs w:val="30"/>
        </w:rPr>
        <w:lastRenderedPageBreak/>
        <w:t>合作和推进体制机制改革。</w:t>
      </w:r>
    </w:p>
    <w:p w:rsidR="00EF54E3" w:rsidRPr="008255CF" w:rsidRDefault="00EF54E3" w:rsidP="008255CF">
      <w:pPr>
        <w:snapToGrid w:val="0"/>
        <w:spacing w:line="360" w:lineRule="auto"/>
        <w:rPr>
          <w:rFonts w:ascii="仿宋_GB2312" w:eastAsia="仿宋_GB2312" w:hint="eastAsia"/>
          <w:b/>
          <w:sz w:val="30"/>
          <w:szCs w:val="30"/>
        </w:rPr>
      </w:pPr>
      <w:r w:rsidRPr="008255CF">
        <w:rPr>
          <w:rFonts w:ascii="仿宋_GB2312" w:eastAsia="仿宋_GB2312" w:hint="eastAsia"/>
          <w:b/>
          <w:sz w:val="30"/>
          <w:szCs w:val="30"/>
        </w:rPr>
        <w:t xml:space="preserve">　　（三）能源需求预测。</w:t>
      </w:r>
    </w:p>
    <w:p w:rsidR="00EF54E3" w:rsidRPr="008255CF" w:rsidRDefault="00EF54E3" w:rsidP="008255CF">
      <w:pPr>
        <w:snapToGrid w:val="0"/>
        <w:spacing w:line="360" w:lineRule="auto"/>
        <w:rPr>
          <w:rFonts w:ascii="仿宋_GB2312" w:eastAsia="仿宋_GB2312" w:hint="eastAsia"/>
          <w:sz w:val="30"/>
          <w:szCs w:val="30"/>
        </w:rPr>
      </w:pPr>
      <w:r w:rsidRPr="008255CF">
        <w:rPr>
          <w:rFonts w:ascii="楷体_GB2312" w:eastAsia="楷体_GB2312" w:hint="eastAsia"/>
          <w:sz w:val="30"/>
          <w:szCs w:val="30"/>
        </w:rPr>
        <w:t xml:space="preserve">　　1</w:t>
      </w:r>
      <w:r w:rsidR="005F65C8" w:rsidRPr="008255CF">
        <w:rPr>
          <w:rFonts w:ascii="楷体_GB2312" w:eastAsia="楷体_GB2312" w:hint="eastAsia"/>
          <w:sz w:val="30"/>
          <w:szCs w:val="30"/>
        </w:rPr>
        <w:t>．</w:t>
      </w:r>
      <w:r w:rsidRPr="008255CF">
        <w:rPr>
          <w:rFonts w:ascii="楷体_GB2312" w:eastAsia="楷体_GB2312" w:hint="eastAsia"/>
          <w:sz w:val="30"/>
          <w:szCs w:val="30"/>
        </w:rPr>
        <w:t>能源需求总量预测。</w:t>
      </w:r>
      <w:r w:rsidRPr="008255CF">
        <w:rPr>
          <w:rFonts w:ascii="仿宋_GB2312" w:eastAsia="仿宋_GB2312" w:hint="eastAsia"/>
          <w:sz w:val="30"/>
          <w:szCs w:val="30"/>
        </w:rPr>
        <w:t>2010年，全省消费一次能源8297万吨标准煤，比2000年增长135.2%，年均增长8.93%，能源消费弹性系数为0.71。“十二五”时期，是我省工业化、城镇化和农业现代化进程同时加快的时期，综合考虑我省经济社会发展速度 （GDP增速将在12%以上）和节能降耗要求，同时考虑国家将对能源消费总量调控的要求，我省一次能源消费弹性系数取0.71，预测2015年全省一次能源需求量将达到12597万吨标准煤。但是，国家正在推进合理控制能源消费总量工作，已经下达我省“十二五”单位GDP能耗下降16%，推算2015年全省能源消费总量12283万吨标准煤，应以此作为能源消费总量控制目标。</w:t>
      </w:r>
    </w:p>
    <w:p w:rsidR="00EF54E3" w:rsidRPr="008255CF" w:rsidRDefault="00EF54E3" w:rsidP="008255CF">
      <w:pPr>
        <w:snapToGrid w:val="0"/>
        <w:spacing w:line="348" w:lineRule="auto"/>
        <w:rPr>
          <w:rFonts w:ascii="仿宋_GB2312" w:eastAsia="仿宋_GB2312" w:hint="eastAsia"/>
          <w:sz w:val="30"/>
          <w:szCs w:val="30"/>
        </w:rPr>
      </w:pPr>
      <w:r w:rsidRPr="008255CF">
        <w:rPr>
          <w:rFonts w:ascii="楷体_GB2312" w:eastAsia="楷体_GB2312" w:hint="eastAsia"/>
          <w:sz w:val="30"/>
          <w:szCs w:val="30"/>
        </w:rPr>
        <w:t xml:space="preserve">　　2</w:t>
      </w:r>
      <w:r w:rsidR="005F65C8" w:rsidRPr="008255CF">
        <w:rPr>
          <w:rFonts w:ascii="楷体_GB2312" w:eastAsia="楷体_GB2312" w:hint="eastAsia"/>
          <w:sz w:val="30"/>
          <w:szCs w:val="30"/>
        </w:rPr>
        <w:t>．</w:t>
      </w:r>
      <w:r w:rsidRPr="008255CF">
        <w:rPr>
          <w:rFonts w:ascii="楷体_GB2312" w:eastAsia="楷体_GB2312" w:hint="eastAsia"/>
          <w:sz w:val="30"/>
          <w:szCs w:val="30"/>
        </w:rPr>
        <w:t>煤炭需求量预测。</w:t>
      </w:r>
      <w:r w:rsidRPr="008255CF">
        <w:rPr>
          <w:rFonts w:ascii="仿宋_GB2312" w:eastAsia="仿宋_GB2312" w:hint="eastAsia"/>
          <w:sz w:val="30"/>
          <w:szCs w:val="30"/>
        </w:rPr>
        <w:t>2010年全省消费煤炭9582.66万吨，比2000年增长141.96%，年均增长9.24%，原煤消费弹性系数为0.73。考虑到新能源和可再生能源在“十二五”期间发展较快，将替代部分煤炭，2015年原煤消费弹性系数取0.4，预测全省原煤消费量为12040万吨。</w:t>
      </w:r>
    </w:p>
    <w:p w:rsidR="00EF54E3" w:rsidRPr="008255CF" w:rsidRDefault="00EF54E3" w:rsidP="008255CF">
      <w:pPr>
        <w:snapToGrid w:val="0"/>
        <w:spacing w:line="348" w:lineRule="auto"/>
        <w:rPr>
          <w:rFonts w:ascii="仿宋_GB2312" w:eastAsia="仿宋_GB2312" w:hint="eastAsia"/>
          <w:sz w:val="30"/>
          <w:szCs w:val="30"/>
        </w:rPr>
      </w:pPr>
      <w:r w:rsidRPr="008255CF">
        <w:rPr>
          <w:rFonts w:ascii="楷体_GB2312" w:eastAsia="楷体_GB2312" w:hint="eastAsia"/>
          <w:sz w:val="30"/>
          <w:szCs w:val="30"/>
        </w:rPr>
        <w:lastRenderedPageBreak/>
        <w:t xml:space="preserve">　　3</w:t>
      </w:r>
      <w:r w:rsidR="005F65C8" w:rsidRPr="008255CF">
        <w:rPr>
          <w:rFonts w:ascii="楷体_GB2312" w:eastAsia="楷体_GB2312" w:hint="eastAsia"/>
          <w:sz w:val="30"/>
          <w:szCs w:val="30"/>
        </w:rPr>
        <w:t>．</w:t>
      </w:r>
      <w:r w:rsidRPr="008255CF">
        <w:rPr>
          <w:rFonts w:ascii="楷体_GB2312" w:eastAsia="楷体_GB2312" w:hint="eastAsia"/>
          <w:sz w:val="30"/>
          <w:szCs w:val="30"/>
        </w:rPr>
        <w:t>石油需求量预测。</w:t>
      </w:r>
      <w:r w:rsidRPr="008255CF">
        <w:rPr>
          <w:rFonts w:ascii="仿宋_GB2312" w:eastAsia="仿宋_GB2312" w:hint="eastAsia"/>
          <w:sz w:val="30"/>
          <w:szCs w:val="30"/>
        </w:rPr>
        <w:t>2010年全省消费石油994万吨，比2000年增长41.93%，年均增长3.56%，石油消费弹性系数为0.28。考虑到“十二五”时期石化企业项目建设和家用汽车加快普及，石油消费弹性系数取0.76，预测2015年全省石油能源终端消费量为1506万吨。</w:t>
      </w:r>
    </w:p>
    <w:p w:rsidR="00EF54E3" w:rsidRPr="008255CF" w:rsidRDefault="00EF54E3" w:rsidP="008255CF">
      <w:pPr>
        <w:snapToGrid w:val="0"/>
        <w:spacing w:line="348" w:lineRule="auto"/>
        <w:rPr>
          <w:rFonts w:ascii="仿宋_GB2312" w:eastAsia="仿宋_GB2312" w:hint="eastAsia"/>
          <w:sz w:val="30"/>
          <w:szCs w:val="30"/>
        </w:rPr>
      </w:pPr>
      <w:r w:rsidRPr="008255CF">
        <w:rPr>
          <w:rFonts w:ascii="楷体_GB2312" w:eastAsia="楷体_GB2312" w:hint="eastAsia"/>
          <w:sz w:val="30"/>
          <w:szCs w:val="30"/>
        </w:rPr>
        <w:t xml:space="preserve">　　4</w:t>
      </w:r>
      <w:r w:rsidR="005F65C8" w:rsidRPr="008255CF">
        <w:rPr>
          <w:rFonts w:ascii="楷体_GB2312" w:eastAsia="楷体_GB2312" w:hint="eastAsia"/>
          <w:sz w:val="30"/>
          <w:szCs w:val="30"/>
        </w:rPr>
        <w:t>．</w:t>
      </w:r>
      <w:r w:rsidRPr="008255CF">
        <w:rPr>
          <w:rFonts w:ascii="楷体_GB2312" w:eastAsia="楷体_GB2312" w:hint="eastAsia"/>
          <w:sz w:val="30"/>
          <w:szCs w:val="30"/>
        </w:rPr>
        <w:t>天然气需求量预测。</w:t>
      </w:r>
      <w:r w:rsidRPr="008255CF">
        <w:rPr>
          <w:rFonts w:ascii="仿宋_GB2312" w:eastAsia="仿宋_GB2312" w:hint="eastAsia"/>
          <w:sz w:val="30"/>
          <w:szCs w:val="30"/>
        </w:rPr>
        <w:t>2010年全省消费天然气17.45亿立方米</w:t>
      </w:r>
      <w:r w:rsidR="008255CF">
        <w:rPr>
          <w:rFonts w:ascii="仿宋_GB2312" w:eastAsia="仿宋_GB2312" w:hint="eastAsia"/>
          <w:sz w:val="30"/>
          <w:szCs w:val="30"/>
        </w:rPr>
        <w:t>，</w:t>
      </w:r>
      <w:r w:rsidRPr="008255CF">
        <w:rPr>
          <w:rFonts w:ascii="仿宋_GB2312" w:eastAsia="仿宋_GB2312" w:hint="eastAsia"/>
          <w:sz w:val="30"/>
          <w:szCs w:val="30"/>
        </w:rPr>
        <w:t>比2000年增长486%</w:t>
      </w:r>
      <w:r w:rsidR="008255CF">
        <w:rPr>
          <w:rFonts w:ascii="仿宋_GB2312" w:eastAsia="仿宋_GB2312" w:hint="eastAsia"/>
          <w:sz w:val="30"/>
          <w:szCs w:val="30"/>
        </w:rPr>
        <w:t>，</w:t>
      </w:r>
      <w:r w:rsidRPr="008255CF">
        <w:rPr>
          <w:rFonts w:ascii="仿宋_GB2312" w:eastAsia="仿宋_GB2312" w:hint="eastAsia"/>
          <w:sz w:val="30"/>
          <w:szCs w:val="30"/>
        </w:rPr>
        <w:t>年均增长19.34%</w:t>
      </w:r>
      <w:r w:rsidR="008255CF">
        <w:rPr>
          <w:rFonts w:ascii="仿宋_GB2312" w:eastAsia="仿宋_GB2312" w:hint="eastAsia"/>
          <w:sz w:val="30"/>
          <w:szCs w:val="30"/>
        </w:rPr>
        <w:t>；</w:t>
      </w:r>
      <w:r w:rsidRPr="008255CF">
        <w:rPr>
          <w:rFonts w:ascii="仿宋_GB2312" w:eastAsia="仿宋_GB2312" w:hint="eastAsia"/>
          <w:sz w:val="30"/>
          <w:szCs w:val="30"/>
        </w:rPr>
        <w:t>结合</w:t>
      </w:r>
      <w:r w:rsidR="008255CF">
        <w:rPr>
          <w:rFonts w:ascii="仿宋_GB2312" w:eastAsia="仿宋_GB2312" w:hint="eastAsia"/>
          <w:sz w:val="30"/>
          <w:szCs w:val="30"/>
        </w:rPr>
        <w:t>“</w:t>
      </w:r>
      <w:r w:rsidRPr="008255CF">
        <w:rPr>
          <w:rFonts w:ascii="仿宋_GB2312" w:eastAsia="仿宋_GB2312" w:hint="eastAsia"/>
          <w:sz w:val="30"/>
          <w:szCs w:val="30"/>
        </w:rPr>
        <w:t>气化吉林</w:t>
      </w:r>
      <w:r w:rsidR="008255CF">
        <w:rPr>
          <w:rFonts w:ascii="仿宋_GB2312" w:eastAsia="仿宋_GB2312" w:hint="eastAsia"/>
          <w:sz w:val="30"/>
          <w:szCs w:val="30"/>
        </w:rPr>
        <w:t>”</w:t>
      </w:r>
      <w:r w:rsidRPr="008255CF">
        <w:rPr>
          <w:rFonts w:ascii="仿宋_GB2312" w:eastAsia="仿宋_GB2312" w:hint="eastAsia"/>
          <w:sz w:val="30"/>
          <w:szCs w:val="30"/>
        </w:rPr>
        <w:t>惠民工程的实施与发展</w:t>
      </w:r>
      <w:r w:rsidR="008255CF">
        <w:rPr>
          <w:rFonts w:ascii="仿宋_GB2312" w:eastAsia="仿宋_GB2312" w:hint="eastAsia"/>
          <w:sz w:val="30"/>
          <w:szCs w:val="30"/>
        </w:rPr>
        <w:t>，</w:t>
      </w:r>
      <w:r w:rsidRPr="008255CF">
        <w:rPr>
          <w:rFonts w:ascii="仿宋_GB2312" w:eastAsia="仿宋_GB2312" w:hint="eastAsia"/>
          <w:sz w:val="30"/>
          <w:szCs w:val="30"/>
        </w:rPr>
        <w:t>预测2015年全省消费天然气87亿立方米。</w:t>
      </w:r>
    </w:p>
    <w:p w:rsidR="00EF54E3" w:rsidRPr="008255CF" w:rsidRDefault="00EF54E3" w:rsidP="008255CF">
      <w:pPr>
        <w:snapToGrid w:val="0"/>
        <w:spacing w:line="348" w:lineRule="auto"/>
        <w:ind w:firstLine="645"/>
        <w:rPr>
          <w:rFonts w:ascii="仿宋_GB2312" w:eastAsia="仿宋_GB2312" w:hint="eastAsia"/>
          <w:sz w:val="30"/>
          <w:szCs w:val="30"/>
        </w:rPr>
      </w:pPr>
      <w:r w:rsidRPr="008255CF">
        <w:rPr>
          <w:rFonts w:ascii="楷体_GB2312" w:eastAsia="楷体_GB2312" w:hint="eastAsia"/>
          <w:sz w:val="30"/>
          <w:szCs w:val="30"/>
        </w:rPr>
        <w:t>5</w:t>
      </w:r>
      <w:r w:rsidR="005F65C8" w:rsidRPr="008255CF">
        <w:rPr>
          <w:rFonts w:ascii="楷体_GB2312" w:eastAsia="楷体_GB2312" w:hint="eastAsia"/>
          <w:sz w:val="30"/>
          <w:szCs w:val="30"/>
        </w:rPr>
        <w:t>．</w:t>
      </w:r>
      <w:r w:rsidRPr="008255CF">
        <w:rPr>
          <w:rFonts w:ascii="楷体_GB2312" w:eastAsia="楷体_GB2312" w:hint="eastAsia"/>
          <w:sz w:val="30"/>
          <w:szCs w:val="30"/>
        </w:rPr>
        <w:t>电力需求量预测。</w:t>
      </w:r>
      <w:r w:rsidRPr="008255CF">
        <w:rPr>
          <w:rFonts w:ascii="仿宋_GB2312" w:eastAsia="仿宋_GB2312" w:hint="eastAsia"/>
          <w:sz w:val="30"/>
          <w:szCs w:val="30"/>
        </w:rPr>
        <w:t>2010年，全社会用电量577亿千瓦时，统调最大供电负荷872万千瓦。预测2015年全社会用电量达到1146亿千瓦时，统调供电负荷达到1600万千瓦。</w:t>
      </w:r>
    </w:p>
    <w:tbl>
      <w:tblPr>
        <w:tblW w:w="8640" w:type="dxa"/>
        <w:tblInd w:w="93" w:type="dxa"/>
        <w:tblLook w:val="0000"/>
      </w:tblPr>
      <w:tblGrid>
        <w:gridCol w:w="2380"/>
        <w:gridCol w:w="1460"/>
        <w:gridCol w:w="960"/>
        <w:gridCol w:w="960"/>
        <w:gridCol w:w="960"/>
        <w:gridCol w:w="960"/>
        <w:gridCol w:w="960"/>
      </w:tblGrid>
      <w:tr w:rsidR="008255CF" w:rsidRPr="008255CF">
        <w:trPr>
          <w:trHeight w:val="375"/>
        </w:trPr>
        <w:tc>
          <w:tcPr>
            <w:tcW w:w="8640" w:type="dxa"/>
            <w:gridSpan w:val="7"/>
            <w:tcBorders>
              <w:top w:val="nil"/>
              <w:left w:val="nil"/>
              <w:bottom w:val="single" w:sz="4" w:space="0" w:color="auto"/>
              <w:right w:val="nil"/>
            </w:tcBorders>
            <w:shd w:val="clear" w:color="auto" w:fill="auto"/>
            <w:vAlign w:val="center"/>
          </w:tcPr>
          <w:p w:rsidR="008255CF" w:rsidRPr="008255CF" w:rsidRDefault="008255CF" w:rsidP="008255CF">
            <w:pPr>
              <w:widowControl/>
              <w:jc w:val="left"/>
              <w:rPr>
                <w:rFonts w:ascii="楷体_GB2312" w:eastAsia="楷体_GB2312" w:hAnsi="宋体" w:cs="宋体"/>
                <w:kern w:val="0"/>
                <w:sz w:val="28"/>
                <w:szCs w:val="28"/>
              </w:rPr>
            </w:pPr>
            <w:r w:rsidRPr="008255CF">
              <w:rPr>
                <w:rFonts w:ascii="楷体_GB2312" w:eastAsia="楷体_GB2312" w:hAnsi="宋体" w:cs="宋体" w:hint="eastAsia"/>
                <w:kern w:val="0"/>
                <w:sz w:val="28"/>
                <w:szCs w:val="28"/>
              </w:rPr>
              <w:t>专栏2              “十二五”能源消费指标</w:t>
            </w:r>
          </w:p>
        </w:tc>
      </w:tr>
      <w:tr w:rsidR="008255CF" w:rsidRPr="008255CF">
        <w:trPr>
          <w:trHeight w:val="600"/>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指</w:t>
            </w:r>
            <w:r w:rsidRPr="008255CF">
              <w:rPr>
                <w:kern w:val="0"/>
                <w:sz w:val="24"/>
              </w:rPr>
              <w:t xml:space="preserve"> </w:t>
            </w:r>
            <w:r w:rsidRPr="008255CF">
              <w:rPr>
                <w:rFonts w:ascii="宋体" w:hAnsi="宋体" w:cs="宋体" w:hint="eastAsia"/>
                <w:kern w:val="0"/>
                <w:sz w:val="24"/>
              </w:rPr>
              <w:t>标</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单位</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2005</w:t>
            </w:r>
            <w:r w:rsidRPr="008255CF">
              <w:rPr>
                <w:rFonts w:ascii="宋体" w:hAnsi="宋体" w:hint="eastAsia"/>
                <w:kern w:val="0"/>
                <w:sz w:val="24"/>
              </w:rPr>
              <w:t>年</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2010</w:t>
            </w:r>
            <w:r w:rsidRPr="008255CF">
              <w:rPr>
                <w:rFonts w:ascii="宋体" w:hAnsi="宋体" w:hint="eastAsia"/>
                <w:kern w:val="0"/>
                <w:sz w:val="24"/>
              </w:rPr>
              <w:t>年</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2015</w:t>
            </w:r>
            <w:r w:rsidRPr="008255CF">
              <w:rPr>
                <w:rFonts w:ascii="宋体" w:hAnsi="宋体" w:hint="eastAsia"/>
                <w:kern w:val="0"/>
                <w:sz w:val="24"/>
              </w:rPr>
              <w:t>年</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增长率</w:t>
            </w:r>
            <w:r w:rsidRPr="008255CF">
              <w:rPr>
                <w:kern w:val="0"/>
                <w:sz w:val="24"/>
              </w:rPr>
              <w:t>(%)</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年均增长</w:t>
            </w:r>
            <w:r w:rsidRPr="008255CF">
              <w:rPr>
                <w:kern w:val="0"/>
                <w:sz w:val="24"/>
              </w:rPr>
              <w:t>(%)</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一次能源消费总量</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万吨标准煤</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5258.5</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8297</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12283</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48</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8.16</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煤炭消费量</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万吨</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6458</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9583</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12040</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25.64</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4.67</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煤炭消费占比</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76.5</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74.7</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62</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-12.7</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 xml:space="preserve">　</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石油消费量</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万吨</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872.59</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994</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1506</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51.51</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8.66</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石油消费占比</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20.9</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17.3</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17.52</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0.22</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 xml:space="preserve">　</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天然气消费量</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亿立方米</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5.4</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17.45</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87</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398.57</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37.89</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天然气消费占比</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1.37</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2.8</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9.42</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6.62</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 xml:space="preserve">　</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非化石能源消费量</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万吨标准煤</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453.4</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1204</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165.55</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21.57</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非化石能源消费占比</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5.46</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9.8</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4.34</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 xml:space="preserve">　</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全社会用电量</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亿千瓦时</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378.23</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577</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1146</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98.61</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14.71</w:t>
            </w:r>
          </w:p>
        </w:tc>
      </w:tr>
      <w:tr w:rsidR="008255CF" w:rsidRPr="008255CF">
        <w:trPr>
          <w:trHeight w:val="315"/>
        </w:trPr>
        <w:tc>
          <w:tcPr>
            <w:tcW w:w="2380" w:type="dxa"/>
            <w:tcBorders>
              <w:top w:val="nil"/>
              <w:left w:val="single" w:sz="4" w:space="0" w:color="auto"/>
              <w:bottom w:val="single" w:sz="4" w:space="0" w:color="auto"/>
              <w:right w:val="single" w:sz="4" w:space="0" w:color="auto"/>
            </w:tcBorders>
            <w:shd w:val="clear" w:color="auto" w:fill="auto"/>
            <w:vAlign w:val="center"/>
          </w:tcPr>
          <w:p w:rsidR="008255CF" w:rsidRPr="008255CF" w:rsidRDefault="008255CF" w:rsidP="008255CF">
            <w:pPr>
              <w:widowControl/>
              <w:jc w:val="left"/>
              <w:rPr>
                <w:rFonts w:ascii="宋体" w:hAnsi="宋体" w:cs="宋体"/>
                <w:kern w:val="0"/>
                <w:sz w:val="24"/>
              </w:rPr>
            </w:pPr>
            <w:r w:rsidRPr="008255CF">
              <w:rPr>
                <w:rFonts w:ascii="宋体" w:hAnsi="宋体" w:cs="宋体" w:hint="eastAsia"/>
                <w:kern w:val="0"/>
                <w:sz w:val="24"/>
              </w:rPr>
              <w:t>统调供电负荷</w:t>
            </w:r>
          </w:p>
        </w:tc>
        <w:tc>
          <w:tcPr>
            <w:tcW w:w="14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rFonts w:ascii="宋体" w:hAnsi="宋体" w:cs="宋体"/>
                <w:kern w:val="0"/>
                <w:sz w:val="24"/>
              </w:rPr>
            </w:pPr>
            <w:r w:rsidRPr="008255CF">
              <w:rPr>
                <w:rFonts w:ascii="宋体" w:hAnsi="宋体" w:cs="宋体" w:hint="eastAsia"/>
                <w:kern w:val="0"/>
                <w:sz w:val="24"/>
              </w:rPr>
              <w:t>万千瓦</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872</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1600</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83.49</w:t>
            </w:r>
          </w:p>
        </w:tc>
        <w:tc>
          <w:tcPr>
            <w:tcW w:w="960" w:type="dxa"/>
            <w:tcBorders>
              <w:top w:val="nil"/>
              <w:left w:val="nil"/>
              <w:bottom w:val="single" w:sz="4" w:space="0" w:color="auto"/>
              <w:right w:val="single" w:sz="4" w:space="0" w:color="auto"/>
            </w:tcBorders>
            <w:shd w:val="clear" w:color="auto" w:fill="auto"/>
            <w:vAlign w:val="center"/>
          </w:tcPr>
          <w:p w:rsidR="008255CF" w:rsidRPr="008255CF" w:rsidRDefault="008255CF" w:rsidP="008255CF">
            <w:pPr>
              <w:widowControl/>
              <w:jc w:val="center"/>
              <w:rPr>
                <w:kern w:val="0"/>
                <w:sz w:val="24"/>
              </w:rPr>
            </w:pPr>
            <w:r w:rsidRPr="008255CF">
              <w:rPr>
                <w:kern w:val="0"/>
                <w:sz w:val="24"/>
              </w:rPr>
              <w:t>12.91</w:t>
            </w:r>
          </w:p>
        </w:tc>
      </w:tr>
    </w:tbl>
    <w:p w:rsidR="0013334E" w:rsidRDefault="0013334E" w:rsidP="00A7730D">
      <w:pPr>
        <w:snapToGrid w:val="0"/>
        <w:spacing w:line="384" w:lineRule="auto"/>
        <w:rPr>
          <w:rFonts w:ascii="黑体" w:eastAsia="黑体" w:hint="eastAsia"/>
          <w:sz w:val="30"/>
          <w:szCs w:val="30"/>
        </w:rPr>
      </w:pPr>
    </w:p>
    <w:p w:rsidR="00EF54E3" w:rsidRPr="008255CF" w:rsidRDefault="00EF54E3" w:rsidP="00A7730D">
      <w:pPr>
        <w:snapToGrid w:val="0"/>
        <w:spacing w:line="384" w:lineRule="auto"/>
        <w:rPr>
          <w:rFonts w:ascii="黑体" w:eastAsia="黑体" w:hint="eastAsia"/>
          <w:sz w:val="30"/>
          <w:szCs w:val="30"/>
        </w:rPr>
      </w:pPr>
      <w:r w:rsidRPr="008255CF">
        <w:rPr>
          <w:rFonts w:ascii="黑体" w:eastAsia="黑体" w:hint="eastAsia"/>
          <w:sz w:val="30"/>
          <w:szCs w:val="30"/>
        </w:rPr>
        <w:t xml:space="preserve">　　三、“十二五”能源发展指导思想、基本原则与发展目标</w:t>
      </w:r>
    </w:p>
    <w:p w:rsidR="00EF54E3" w:rsidRPr="008255CF" w:rsidRDefault="00EF54E3" w:rsidP="00A7730D">
      <w:pPr>
        <w:snapToGrid w:val="0"/>
        <w:spacing w:line="384" w:lineRule="auto"/>
        <w:rPr>
          <w:rFonts w:ascii="仿宋_GB2312" w:eastAsia="仿宋_GB2312" w:hint="eastAsia"/>
          <w:b/>
          <w:sz w:val="30"/>
          <w:szCs w:val="30"/>
        </w:rPr>
      </w:pPr>
      <w:r w:rsidRPr="008255CF">
        <w:rPr>
          <w:rFonts w:ascii="仿宋_GB2312" w:eastAsia="仿宋_GB2312" w:hint="eastAsia"/>
          <w:b/>
          <w:sz w:val="30"/>
          <w:szCs w:val="30"/>
        </w:rPr>
        <w:t xml:space="preserve">　　（一）指导思想。</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深入贯彻落实科学发展观，坚持“适度超前，节能优先；调整结构，科学发展；内外并举，综合平衡”的方针，以增强一次能源的供应保障能力为重点，以转变能源发展方式，推进能源结构调整为主线，大力促进传统能源产业改造升级和新兴能源产业发展，大力提升科技创新能力，实施煤炭、油气增储上产和“气化吉林”惠民工程，稳定水电，优化火电，促进风电、核电等清洁低碳能源发展，提升能源科技装备研发制造能力。实施能源消费总量调控，加强能源综合利用，大力推进节能减排，提高能效。构筑经济、清洁、安全、高效的能源保障体系，为全省经济平稳较快发展提供坚实的能源保障。</w:t>
      </w:r>
    </w:p>
    <w:p w:rsidR="00EF54E3" w:rsidRPr="008255CF" w:rsidRDefault="00EF54E3" w:rsidP="00A7730D">
      <w:pPr>
        <w:snapToGrid w:val="0"/>
        <w:spacing w:line="384" w:lineRule="auto"/>
        <w:rPr>
          <w:rFonts w:ascii="仿宋_GB2312" w:eastAsia="仿宋_GB2312" w:hint="eastAsia"/>
          <w:b/>
          <w:sz w:val="30"/>
          <w:szCs w:val="30"/>
        </w:rPr>
      </w:pPr>
      <w:r w:rsidRPr="008255CF">
        <w:rPr>
          <w:rFonts w:ascii="仿宋_GB2312" w:eastAsia="仿宋_GB2312" w:hint="eastAsia"/>
          <w:b/>
          <w:sz w:val="30"/>
          <w:szCs w:val="30"/>
        </w:rPr>
        <w:t xml:space="preserve">　　（二）基本原则。</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1</w:t>
      </w:r>
      <w:r w:rsidR="005F65C8" w:rsidRPr="008255CF">
        <w:rPr>
          <w:rFonts w:ascii="仿宋_GB2312" w:eastAsia="仿宋_GB2312" w:hint="eastAsia"/>
          <w:sz w:val="30"/>
          <w:szCs w:val="30"/>
        </w:rPr>
        <w:t>．</w:t>
      </w:r>
      <w:r w:rsidRPr="008255CF">
        <w:rPr>
          <w:rFonts w:ascii="仿宋_GB2312" w:eastAsia="仿宋_GB2312" w:hint="eastAsia"/>
          <w:sz w:val="30"/>
          <w:szCs w:val="30"/>
        </w:rPr>
        <w:t>坚持调整结构与扩大总量相结合。大力发展新能源和可再生能源，加快淘汰落后生产能力，推进能源产业优化升级。加快推进重点项目建设，提高能源供应保障能力。</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lastRenderedPageBreak/>
        <w:t xml:space="preserve">　　2</w:t>
      </w:r>
      <w:r w:rsidR="005F65C8" w:rsidRPr="008255CF">
        <w:rPr>
          <w:rFonts w:ascii="仿宋_GB2312" w:eastAsia="仿宋_GB2312" w:hint="eastAsia"/>
          <w:sz w:val="30"/>
          <w:szCs w:val="30"/>
        </w:rPr>
        <w:t>．</w:t>
      </w:r>
      <w:r w:rsidRPr="008255CF">
        <w:rPr>
          <w:rFonts w:ascii="仿宋_GB2312" w:eastAsia="仿宋_GB2312" w:hint="eastAsia"/>
          <w:sz w:val="30"/>
          <w:szCs w:val="30"/>
        </w:rPr>
        <w:t>坚持开发利用与节能减排相结合。在科学开发利用能源资源的同时，大力推进能源节约，提高能源利用效率。开展能源资源综合利用，发展循环经济，减少废弃物排放。</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3</w:t>
      </w:r>
      <w:r w:rsidR="005F65C8" w:rsidRPr="008255CF">
        <w:rPr>
          <w:rFonts w:ascii="仿宋_GB2312" w:eastAsia="仿宋_GB2312" w:hint="eastAsia"/>
          <w:sz w:val="30"/>
          <w:szCs w:val="30"/>
        </w:rPr>
        <w:t>．</w:t>
      </w:r>
      <w:r w:rsidRPr="008255CF">
        <w:rPr>
          <w:rFonts w:ascii="仿宋_GB2312" w:eastAsia="仿宋_GB2312" w:hint="eastAsia"/>
          <w:sz w:val="30"/>
          <w:szCs w:val="30"/>
        </w:rPr>
        <w:t>坚持重点突破与统筹兼顾相结合。发展战略性新兴能源产业、能源科技装备、农村能源，对传统能源升级改造，力争实现突破。统筹解决一次能源输入和二次能源输出问题。</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4</w:t>
      </w:r>
      <w:r w:rsidR="005F65C8" w:rsidRPr="008255CF">
        <w:rPr>
          <w:rFonts w:ascii="仿宋_GB2312" w:eastAsia="仿宋_GB2312" w:hint="eastAsia"/>
          <w:sz w:val="30"/>
          <w:szCs w:val="30"/>
        </w:rPr>
        <w:t>．</w:t>
      </w:r>
      <w:r w:rsidRPr="008255CF">
        <w:rPr>
          <w:rFonts w:ascii="仿宋_GB2312" w:eastAsia="仿宋_GB2312" w:hint="eastAsia"/>
          <w:sz w:val="30"/>
          <w:szCs w:val="30"/>
        </w:rPr>
        <w:t>坚持政府引导与市场调节相结合。落实国家能源政策法规，制订和完善地方能源政策和行业标准，发挥市场配置资源的基础性作用，鼓励各类市场主体投资能源产业，形成可持续发展的能源产业新格局。</w:t>
      </w:r>
    </w:p>
    <w:p w:rsidR="00EF54E3" w:rsidRPr="008255CF" w:rsidRDefault="00EF54E3" w:rsidP="00A7730D">
      <w:pPr>
        <w:snapToGrid w:val="0"/>
        <w:spacing w:line="384" w:lineRule="auto"/>
        <w:rPr>
          <w:rFonts w:ascii="仿宋_GB2312" w:eastAsia="仿宋_GB2312" w:hint="eastAsia"/>
          <w:b/>
          <w:sz w:val="30"/>
          <w:szCs w:val="30"/>
        </w:rPr>
      </w:pPr>
      <w:r w:rsidRPr="008255CF">
        <w:rPr>
          <w:rFonts w:ascii="仿宋_GB2312" w:eastAsia="仿宋_GB2312" w:hint="eastAsia"/>
          <w:b/>
          <w:sz w:val="30"/>
          <w:szCs w:val="30"/>
        </w:rPr>
        <w:t xml:space="preserve">　　（三）发展目标。</w:t>
      </w:r>
    </w:p>
    <w:p w:rsidR="00EF54E3" w:rsidRPr="008255CF" w:rsidRDefault="00EF54E3" w:rsidP="00A7730D">
      <w:pPr>
        <w:snapToGrid w:val="0"/>
        <w:spacing w:line="384" w:lineRule="auto"/>
        <w:rPr>
          <w:rFonts w:ascii="楷体_GB2312" w:eastAsia="楷体_GB2312" w:hint="eastAsia"/>
          <w:sz w:val="30"/>
          <w:szCs w:val="30"/>
        </w:rPr>
      </w:pPr>
      <w:r w:rsidRPr="008255CF">
        <w:rPr>
          <w:rFonts w:ascii="楷体_GB2312" w:eastAsia="楷体_GB2312" w:hint="eastAsia"/>
          <w:sz w:val="30"/>
          <w:szCs w:val="30"/>
        </w:rPr>
        <w:t xml:space="preserve">　　1</w:t>
      </w:r>
      <w:r w:rsidR="005F65C8" w:rsidRPr="008255CF">
        <w:rPr>
          <w:rFonts w:ascii="楷体_GB2312" w:eastAsia="楷体_GB2312" w:hint="eastAsia"/>
          <w:sz w:val="30"/>
          <w:szCs w:val="30"/>
        </w:rPr>
        <w:t>．</w:t>
      </w:r>
      <w:r w:rsidRPr="008255CF">
        <w:rPr>
          <w:rFonts w:ascii="楷体_GB2312" w:eastAsia="楷体_GB2312" w:hint="eastAsia"/>
          <w:sz w:val="30"/>
          <w:szCs w:val="30"/>
        </w:rPr>
        <w:t>能源生产。</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到2015年，一次能源生产总量达到5955万吨标准煤，比2010年增长36.99%，年均增长6.5%。</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（1）煤炭：4500万吨；</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（2）石油：800万吨；</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（3）天然气：47亿立方米；</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lastRenderedPageBreak/>
        <w:t xml:space="preserve">　　（4）页岩油：150万吨；</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（5）全口径发电量：1322亿千瓦时；</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（6）电力装机容量：3840.45万千瓦；</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（7）燃煤装机：1898.35万千瓦；</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（8）风电装机：1458万千瓦；</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（9）水电装机：370万千瓦；</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（10）光伏发电装机：20万千瓦；</w:t>
      </w:r>
    </w:p>
    <w:p w:rsidR="00EF54E3" w:rsidRPr="008255CF" w:rsidRDefault="00EF54E3" w:rsidP="00A7730D">
      <w:pPr>
        <w:snapToGrid w:val="0"/>
        <w:spacing w:line="384" w:lineRule="auto"/>
        <w:rPr>
          <w:rFonts w:ascii="仿宋_GB2312" w:eastAsia="仿宋_GB2312" w:hint="eastAsia"/>
          <w:sz w:val="30"/>
          <w:szCs w:val="30"/>
        </w:rPr>
      </w:pPr>
      <w:r w:rsidRPr="008255CF">
        <w:rPr>
          <w:rFonts w:ascii="仿宋_GB2312" w:eastAsia="仿宋_GB2312" w:hint="eastAsia"/>
          <w:sz w:val="30"/>
          <w:szCs w:val="30"/>
        </w:rPr>
        <w:t xml:space="preserve">　　（11）生物质发电及其他装机：94.05万千瓦；</w:t>
      </w:r>
    </w:p>
    <w:p w:rsidR="00EF54E3" w:rsidRDefault="00EF54E3" w:rsidP="00A7730D">
      <w:pPr>
        <w:snapToGrid w:val="0"/>
        <w:spacing w:line="384" w:lineRule="auto"/>
        <w:ind w:firstLine="600"/>
        <w:rPr>
          <w:rFonts w:ascii="仿宋_GB2312" w:eastAsia="仿宋_GB2312" w:hint="eastAsia"/>
          <w:sz w:val="30"/>
          <w:szCs w:val="30"/>
        </w:rPr>
      </w:pPr>
      <w:r w:rsidRPr="008255CF">
        <w:rPr>
          <w:rFonts w:ascii="仿宋_GB2312" w:eastAsia="仿宋_GB2312" w:hint="eastAsia"/>
          <w:sz w:val="30"/>
          <w:szCs w:val="30"/>
        </w:rPr>
        <w:t>（12）生物液体燃料：85万吨，其中，燃料乙醇80万吨，纤维素丁醇5万吨。</w:t>
      </w:r>
    </w:p>
    <w:p w:rsidR="00E56641" w:rsidRDefault="00E56641" w:rsidP="00A7730D">
      <w:pPr>
        <w:snapToGrid w:val="0"/>
        <w:spacing w:line="384" w:lineRule="auto"/>
        <w:ind w:firstLine="600"/>
        <w:rPr>
          <w:rFonts w:ascii="仿宋_GB2312" w:eastAsia="仿宋_GB2312" w:hint="eastAsia"/>
          <w:sz w:val="30"/>
          <w:szCs w:val="30"/>
        </w:rPr>
      </w:pPr>
    </w:p>
    <w:tbl>
      <w:tblPr>
        <w:tblW w:w="8480" w:type="dxa"/>
        <w:tblInd w:w="93" w:type="dxa"/>
        <w:tblLook w:val="0000"/>
      </w:tblPr>
      <w:tblGrid>
        <w:gridCol w:w="3121"/>
        <w:gridCol w:w="1460"/>
        <w:gridCol w:w="996"/>
        <w:gridCol w:w="996"/>
        <w:gridCol w:w="996"/>
        <w:gridCol w:w="911"/>
      </w:tblGrid>
      <w:tr w:rsidR="00DF2028" w:rsidRPr="00DF2028">
        <w:trPr>
          <w:trHeight w:val="375"/>
        </w:trPr>
        <w:tc>
          <w:tcPr>
            <w:tcW w:w="84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rPr>
                <w:rFonts w:ascii="楷体_GB2312" w:eastAsia="楷体_GB2312" w:hAnsi="宋体" w:cs="宋体"/>
                <w:kern w:val="0"/>
                <w:sz w:val="28"/>
                <w:szCs w:val="28"/>
              </w:rPr>
            </w:pPr>
            <w:r w:rsidRPr="00DF2028">
              <w:rPr>
                <w:rFonts w:ascii="楷体_GB2312" w:eastAsia="楷体_GB2312" w:hAnsi="宋体" w:cs="宋体" w:hint="eastAsia"/>
                <w:kern w:val="0"/>
                <w:sz w:val="28"/>
                <w:szCs w:val="28"/>
              </w:rPr>
              <w:t>专栏3          “十二五”能源生产指标</w:t>
            </w:r>
          </w:p>
        </w:tc>
      </w:tr>
      <w:tr w:rsidR="00DF2028" w:rsidRPr="00DF2028">
        <w:trPr>
          <w:trHeight w:val="600"/>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指</w:t>
            </w:r>
            <w:r w:rsidRPr="00DF2028">
              <w:rPr>
                <w:kern w:val="0"/>
                <w:sz w:val="24"/>
              </w:rPr>
              <w:t xml:space="preserve"> </w:t>
            </w:r>
            <w:r w:rsidRPr="00DF2028">
              <w:rPr>
                <w:rFonts w:ascii="宋体" w:hAnsi="宋体" w:cs="宋体" w:hint="eastAsia"/>
                <w:kern w:val="0"/>
                <w:sz w:val="24"/>
              </w:rPr>
              <w:t>标</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单位</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2010</w:t>
            </w:r>
            <w:r w:rsidRPr="00DF2028">
              <w:rPr>
                <w:rFonts w:ascii="宋体" w:hAnsi="宋体" w:hint="eastAsia"/>
                <w:kern w:val="0"/>
                <w:sz w:val="24"/>
              </w:rPr>
              <w:t>年</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2015</w:t>
            </w:r>
            <w:r w:rsidRPr="00DF2028">
              <w:rPr>
                <w:rFonts w:ascii="宋体" w:hAnsi="宋体" w:hint="eastAsia"/>
                <w:kern w:val="0"/>
                <w:sz w:val="24"/>
              </w:rPr>
              <w:t>年</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增长率</w:t>
            </w:r>
            <w:r w:rsidRPr="00DF2028">
              <w:rPr>
                <w:kern w:val="0"/>
                <w:sz w:val="24"/>
              </w:rPr>
              <w:t>(%)</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年均增长</w:t>
            </w:r>
            <w:r w:rsidRPr="00DF2028">
              <w:rPr>
                <w:kern w:val="0"/>
                <w:sz w:val="24"/>
              </w:rPr>
              <w:t>(%)</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一次能源生产总量</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万吨标准煤</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4347</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5955</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36.99</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6.5</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煤炭</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万吨</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4280</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4500</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5.14</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1.01</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石油</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万吨</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632.53</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800</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26.48</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4.81</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天然气</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亿立方米</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17.45</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47</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169.34</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21.92</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页岩油</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万吨标准煤</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6.7</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150</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2138.81</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86.21</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全口径发电量</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亿千瓦时</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658</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1322</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100.91</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14.97</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电力装机容量</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万千瓦</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2034.67</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3840.45</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88.75</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13.58</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燃煤装机容量</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万千瓦</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1375.44</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1898.35</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38.02</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6.65</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风电装机容量</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万千瓦</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220.88</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1458</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560.09</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45.85</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lastRenderedPageBreak/>
              <w:t>水电装机容量</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万千瓦</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427.15</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370</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-13.38</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光伏发电装机容量</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万千瓦</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20</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生物质及其他发电装机容量</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万千瓦</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11.2</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94.05</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739.29</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53.03</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生物质液体燃料</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万吨</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85</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生物质固体成型燃料</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万吨</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234</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r>
      <w:tr w:rsidR="00DF2028" w:rsidRPr="00DF202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生物质气体燃料</w:t>
            </w:r>
          </w:p>
        </w:tc>
        <w:tc>
          <w:tcPr>
            <w:tcW w:w="15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rFonts w:ascii="宋体" w:hAnsi="宋体" w:cs="宋体"/>
                <w:kern w:val="0"/>
                <w:sz w:val="24"/>
              </w:rPr>
            </w:pPr>
            <w:r w:rsidRPr="00DF2028">
              <w:rPr>
                <w:rFonts w:ascii="宋体" w:hAnsi="宋体" w:cs="宋体" w:hint="eastAsia"/>
                <w:kern w:val="0"/>
                <w:sz w:val="24"/>
              </w:rPr>
              <w:t>亿立方米</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10</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c>
          <w:tcPr>
            <w:tcW w:w="920" w:type="dxa"/>
            <w:tcBorders>
              <w:top w:val="nil"/>
              <w:left w:val="nil"/>
              <w:bottom w:val="single" w:sz="4" w:space="0" w:color="auto"/>
              <w:right w:val="single" w:sz="4" w:space="0" w:color="auto"/>
            </w:tcBorders>
            <w:shd w:val="clear" w:color="auto" w:fill="auto"/>
            <w:vAlign w:val="center"/>
          </w:tcPr>
          <w:p w:rsidR="00DF2028" w:rsidRPr="00DF2028" w:rsidRDefault="00DF2028" w:rsidP="00DF2028">
            <w:pPr>
              <w:widowControl/>
              <w:jc w:val="center"/>
              <w:rPr>
                <w:kern w:val="0"/>
                <w:sz w:val="24"/>
              </w:rPr>
            </w:pPr>
            <w:r w:rsidRPr="00DF2028">
              <w:rPr>
                <w:kern w:val="0"/>
                <w:sz w:val="24"/>
              </w:rPr>
              <w:t xml:space="preserve">　</w:t>
            </w:r>
          </w:p>
        </w:tc>
      </w:tr>
      <w:tr w:rsidR="00DF2028" w:rsidRPr="00DF2028">
        <w:trPr>
          <w:trHeight w:val="285"/>
        </w:trPr>
        <w:tc>
          <w:tcPr>
            <w:tcW w:w="84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028" w:rsidRPr="00DF2028" w:rsidRDefault="00DF2028" w:rsidP="00DF2028">
            <w:pPr>
              <w:widowControl/>
              <w:jc w:val="left"/>
              <w:rPr>
                <w:rFonts w:ascii="宋体" w:hAnsi="宋体" w:cs="宋体"/>
                <w:kern w:val="0"/>
                <w:sz w:val="24"/>
              </w:rPr>
            </w:pPr>
            <w:r w:rsidRPr="00DF2028">
              <w:rPr>
                <w:rFonts w:ascii="宋体" w:hAnsi="宋体" w:cs="宋体" w:hint="eastAsia"/>
                <w:kern w:val="0"/>
                <w:sz w:val="24"/>
              </w:rPr>
              <w:t>注</w:t>
            </w:r>
            <w:r w:rsidRPr="00DF2028">
              <w:rPr>
                <w:kern w:val="0"/>
                <w:sz w:val="24"/>
              </w:rPr>
              <w:t>:2015</w:t>
            </w:r>
            <w:r w:rsidRPr="00DF2028">
              <w:rPr>
                <w:rFonts w:ascii="宋体" w:hAnsi="宋体" w:cs="宋体" w:hint="eastAsia"/>
                <w:kern w:val="0"/>
                <w:sz w:val="24"/>
              </w:rPr>
              <w:t>年水电装机容量下降是由于丰满水电站重建且在</w:t>
            </w:r>
            <w:r w:rsidRPr="00DF2028">
              <w:rPr>
                <w:kern w:val="0"/>
                <w:sz w:val="24"/>
              </w:rPr>
              <w:t>2016</w:t>
            </w:r>
            <w:r w:rsidRPr="00DF2028">
              <w:rPr>
                <w:rFonts w:ascii="宋体" w:hAnsi="宋体" w:cs="宋体" w:hint="eastAsia"/>
                <w:kern w:val="0"/>
                <w:sz w:val="24"/>
              </w:rPr>
              <w:t>年投产。</w:t>
            </w:r>
          </w:p>
        </w:tc>
      </w:tr>
    </w:tbl>
    <w:p w:rsidR="00A7730D" w:rsidRPr="00931F66" w:rsidRDefault="00A7730D" w:rsidP="00931F66">
      <w:pPr>
        <w:snapToGrid w:val="0"/>
        <w:spacing w:line="360" w:lineRule="auto"/>
        <w:rPr>
          <w:rFonts w:ascii="仿宋_GB2312" w:eastAsia="仿宋_GB2312" w:hint="eastAsia"/>
          <w:sz w:val="30"/>
          <w:szCs w:val="30"/>
        </w:rPr>
      </w:pP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2</w:t>
      </w:r>
      <w:r w:rsidR="005F65C8" w:rsidRPr="00931F66">
        <w:rPr>
          <w:rFonts w:ascii="楷体_GB2312" w:eastAsia="楷体_GB2312" w:hint="eastAsia"/>
          <w:sz w:val="30"/>
          <w:szCs w:val="30"/>
        </w:rPr>
        <w:t>．</w:t>
      </w:r>
      <w:r w:rsidRPr="00931F66">
        <w:rPr>
          <w:rFonts w:ascii="楷体_GB2312" w:eastAsia="楷体_GB2312" w:hint="eastAsia"/>
          <w:sz w:val="30"/>
          <w:szCs w:val="30"/>
        </w:rPr>
        <w:t>能源结构。</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到2015年，煤炭占一次能源消费比重下降到62%，天然气占比提高到9.42%，非化石能源（含水电）占比提高到9.8%。风电装机占总装机比重提高到37.96%，单机30万千瓦及以上火电机组占火电装机比重达到70.2%。</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3</w:t>
      </w:r>
      <w:r w:rsidR="005F65C8" w:rsidRPr="00931F66">
        <w:rPr>
          <w:rFonts w:ascii="楷体_GB2312" w:eastAsia="楷体_GB2312" w:hint="eastAsia"/>
          <w:sz w:val="30"/>
          <w:szCs w:val="30"/>
        </w:rPr>
        <w:t>．</w:t>
      </w:r>
      <w:r w:rsidRPr="00931F66">
        <w:rPr>
          <w:rFonts w:ascii="楷体_GB2312" w:eastAsia="楷体_GB2312" w:hint="eastAsia"/>
          <w:sz w:val="30"/>
          <w:szCs w:val="30"/>
        </w:rPr>
        <w:t>节能减排。</w:t>
      </w:r>
    </w:p>
    <w:p w:rsidR="00EF54E3" w:rsidRPr="00931F66" w:rsidRDefault="00EF54E3" w:rsidP="00931F66">
      <w:pPr>
        <w:snapToGrid w:val="0"/>
        <w:spacing w:line="360" w:lineRule="auto"/>
        <w:ind w:firstLine="645"/>
        <w:rPr>
          <w:rFonts w:ascii="仿宋_GB2312" w:eastAsia="仿宋_GB2312" w:hint="eastAsia"/>
          <w:sz w:val="30"/>
          <w:szCs w:val="30"/>
        </w:rPr>
      </w:pPr>
      <w:r w:rsidRPr="00931F66">
        <w:rPr>
          <w:rFonts w:ascii="仿宋_GB2312" w:eastAsia="仿宋_GB2312" w:hint="eastAsia"/>
          <w:sz w:val="30"/>
          <w:szCs w:val="30"/>
        </w:rPr>
        <w:t>2015年，全社会单位GDP能耗比2010年下降16%；单位GDP二氧化碳排放量下降17%；燃煤火电平均供电煤耗降到</w:t>
      </w:r>
      <w:smartTag w:uri="urn:schemas-microsoft-com:office:smarttags" w:element="chmetcnv">
        <w:smartTagPr>
          <w:attr w:name="TCSC" w:val="0"/>
          <w:attr w:name="NumberType" w:val="1"/>
          <w:attr w:name="Negative" w:val="False"/>
          <w:attr w:name="HasSpace" w:val="False"/>
          <w:attr w:name="SourceValue" w:val="310"/>
          <w:attr w:name="UnitName" w:val="克"/>
        </w:smartTagPr>
        <w:r w:rsidRPr="00931F66">
          <w:rPr>
            <w:rFonts w:ascii="仿宋_GB2312" w:eastAsia="仿宋_GB2312" w:hint="eastAsia"/>
            <w:sz w:val="30"/>
            <w:szCs w:val="30"/>
          </w:rPr>
          <w:t>310克</w:t>
        </w:r>
      </w:smartTag>
      <w:r w:rsidRPr="00931F66">
        <w:rPr>
          <w:rFonts w:ascii="仿宋_GB2312" w:eastAsia="仿宋_GB2312" w:hint="eastAsia"/>
          <w:sz w:val="30"/>
          <w:szCs w:val="30"/>
        </w:rPr>
        <w:t>/千瓦时，综合线路损耗率降到6%；原煤入洗率达到64%，煤矸石综合利用率达到80%，煤层气抽采利用率达到30%；炼油能耗达到</w:t>
      </w:r>
      <w:smartTag w:uri="urn:schemas-microsoft-com:office:smarttags" w:element="chmetcnv">
        <w:smartTagPr>
          <w:attr w:name="TCSC" w:val="0"/>
          <w:attr w:name="NumberType" w:val="1"/>
          <w:attr w:name="Negative" w:val="False"/>
          <w:attr w:name="HasSpace" w:val="False"/>
          <w:attr w:name="SourceValue" w:val="65"/>
          <w:attr w:name="UnitName" w:val="千克"/>
        </w:smartTagPr>
        <w:r w:rsidRPr="00931F66">
          <w:rPr>
            <w:rFonts w:ascii="仿宋_GB2312" w:eastAsia="仿宋_GB2312" w:hint="eastAsia"/>
            <w:sz w:val="30"/>
            <w:szCs w:val="30"/>
          </w:rPr>
          <w:t>65千克</w:t>
        </w:r>
      </w:smartTag>
      <w:r w:rsidRPr="00931F66">
        <w:rPr>
          <w:rFonts w:ascii="仿宋_GB2312" w:eastAsia="仿宋_GB2312" w:hint="eastAsia"/>
          <w:sz w:val="30"/>
          <w:szCs w:val="30"/>
        </w:rPr>
        <w:t>标准油/吨。</w:t>
      </w:r>
    </w:p>
    <w:tbl>
      <w:tblPr>
        <w:tblW w:w="8300" w:type="dxa"/>
        <w:tblInd w:w="93" w:type="dxa"/>
        <w:tblLook w:val="0000"/>
      </w:tblPr>
      <w:tblGrid>
        <w:gridCol w:w="3800"/>
        <w:gridCol w:w="900"/>
        <w:gridCol w:w="900"/>
        <w:gridCol w:w="900"/>
        <w:gridCol w:w="900"/>
        <w:gridCol w:w="900"/>
      </w:tblGrid>
      <w:tr w:rsidR="00311CE5" w:rsidRPr="00311CE5">
        <w:trPr>
          <w:trHeight w:val="375"/>
        </w:trPr>
        <w:tc>
          <w:tcPr>
            <w:tcW w:w="8300" w:type="dxa"/>
            <w:gridSpan w:val="6"/>
            <w:tcBorders>
              <w:top w:val="nil"/>
              <w:left w:val="nil"/>
              <w:bottom w:val="nil"/>
              <w:right w:val="nil"/>
            </w:tcBorders>
            <w:shd w:val="clear" w:color="auto" w:fill="auto"/>
            <w:vAlign w:val="center"/>
          </w:tcPr>
          <w:p w:rsidR="00311CE5" w:rsidRPr="00311CE5" w:rsidRDefault="00311CE5" w:rsidP="00311CE5">
            <w:pPr>
              <w:widowControl/>
              <w:rPr>
                <w:rFonts w:ascii="楷体_GB2312" w:eastAsia="楷体_GB2312" w:hAnsi="宋体" w:cs="宋体"/>
                <w:kern w:val="0"/>
                <w:sz w:val="28"/>
                <w:szCs w:val="28"/>
              </w:rPr>
            </w:pPr>
            <w:r w:rsidRPr="00311CE5">
              <w:rPr>
                <w:rFonts w:ascii="楷体_GB2312" w:eastAsia="楷体_GB2312" w:hAnsi="宋体" w:cs="宋体" w:hint="eastAsia"/>
                <w:kern w:val="0"/>
                <w:sz w:val="28"/>
                <w:szCs w:val="28"/>
              </w:rPr>
              <w:t>专栏4          “十二五”节能减排指标</w:t>
            </w:r>
          </w:p>
        </w:tc>
      </w:tr>
      <w:tr w:rsidR="00311CE5" w:rsidRPr="00311CE5">
        <w:trPr>
          <w:trHeight w:val="123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center"/>
              <w:rPr>
                <w:rFonts w:ascii="宋体" w:hAnsi="宋体" w:cs="宋体"/>
                <w:kern w:val="0"/>
                <w:sz w:val="24"/>
              </w:rPr>
            </w:pPr>
            <w:r w:rsidRPr="00311CE5">
              <w:rPr>
                <w:rFonts w:ascii="宋体" w:hAnsi="宋体" w:cs="宋体" w:hint="eastAsia"/>
                <w:kern w:val="0"/>
                <w:sz w:val="24"/>
              </w:rPr>
              <w:t>项</w:t>
            </w:r>
            <w:r w:rsidRPr="00311CE5">
              <w:rPr>
                <w:kern w:val="0"/>
                <w:sz w:val="24"/>
              </w:rPr>
              <w:t xml:space="preserve"> </w:t>
            </w:r>
            <w:r w:rsidRPr="00311CE5">
              <w:rPr>
                <w:rFonts w:ascii="宋体" w:hAnsi="宋体" w:cs="宋体" w:hint="eastAsia"/>
                <w:kern w:val="0"/>
                <w:sz w:val="24"/>
              </w:rPr>
              <w:t>目</w:t>
            </w:r>
          </w:p>
        </w:tc>
        <w:tc>
          <w:tcPr>
            <w:tcW w:w="900" w:type="dxa"/>
            <w:tcBorders>
              <w:top w:val="single" w:sz="4" w:space="0" w:color="auto"/>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2005</w:t>
            </w:r>
            <w:r w:rsidRPr="00311CE5">
              <w:rPr>
                <w:rFonts w:ascii="宋体" w:hAnsi="宋体" w:hint="eastAsia"/>
                <w:kern w:val="0"/>
                <w:sz w:val="24"/>
              </w:rPr>
              <w:t>年</w:t>
            </w:r>
          </w:p>
        </w:tc>
        <w:tc>
          <w:tcPr>
            <w:tcW w:w="900" w:type="dxa"/>
            <w:tcBorders>
              <w:top w:val="single" w:sz="4" w:space="0" w:color="auto"/>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2010</w:t>
            </w:r>
            <w:r w:rsidRPr="00311CE5">
              <w:rPr>
                <w:rFonts w:ascii="宋体" w:hAnsi="宋体" w:hint="eastAsia"/>
                <w:kern w:val="0"/>
                <w:sz w:val="24"/>
              </w:rPr>
              <w:t>年</w:t>
            </w:r>
          </w:p>
        </w:tc>
        <w:tc>
          <w:tcPr>
            <w:tcW w:w="900" w:type="dxa"/>
            <w:tcBorders>
              <w:top w:val="single" w:sz="4" w:space="0" w:color="auto"/>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w:t>
            </w:r>
            <w:r w:rsidRPr="00311CE5">
              <w:rPr>
                <w:rFonts w:ascii="宋体" w:hAnsi="宋体" w:hint="eastAsia"/>
                <w:kern w:val="0"/>
                <w:sz w:val="24"/>
              </w:rPr>
              <w:t>十一五</w:t>
            </w:r>
            <w:r w:rsidRPr="00311CE5">
              <w:rPr>
                <w:kern w:val="0"/>
                <w:sz w:val="24"/>
              </w:rPr>
              <w:t>”</w:t>
            </w:r>
            <w:r w:rsidRPr="00311CE5">
              <w:rPr>
                <w:rFonts w:ascii="宋体" w:hAnsi="宋体" w:hint="eastAsia"/>
                <w:kern w:val="0"/>
                <w:sz w:val="24"/>
              </w:rPr>
              <w:t>比</w:t>
            </w:r>
            <w:r w:rsidRPr="00311CE5">
              <w:rPr>
                <w:kern w:val="0"/>
                <w:sz w:val="24"/>
              </w:rPr>
              <w:t>“</w:t>
            </w:r>
            <w:r w:rsidRPr="00311CE5">
              <w:rPr>
                <w:rFonts w:ascii="宋体" w:hAnsi="宋体" w:hint="eastAsia"/>
                <w:kern w:val="0"/>
                <w:sz w:val="24"/>
              </w:rPr>
              <w:t>十五</w:t>
            </w:r>
            <w:r w:rsidRPr="00311CE5">
              <w:rPr>
                <w:kern w:val="0"/>
                <w:sz w:val="24"/>
              </w:rPr>
              <w:t>”</w:t>
            </w:r>
            <w:r w:rsidRPr="00311CE5">
              <w:rPr>
                <w:rFonts w:ascii="宋体" w:hAnsi="宋体" w:hint="eastAsia"/>
                <w:kern w:val="0"/>
                <w:sz w:val="24"/>
              </w:rPr>
              <w:t>增、降</w:t>
            </w:r>
          </w:p>
        </w:tc>
        <w:tc>
          <w:tcPr>
            <w:tcW w:w="900" w:type="dxa"/>
            <w:tcBorders>
              <w:top w:val="single" w:sz="4" w:space="0" w:color="auto"/>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2015</w:t>
            </w:r>
            <w:r w:rsidRPr="00311CE5">
              <w:rPr>
                <w:rFonts w:ascii="宋体" w:hAnsi="宋体" w:hint="eastAsia"/>
                <w:kern w:val="0"/>
                <w:sz w:val="24"/>
              </w:rPr>
              <w:t>年</w:t>
            </w:r>
          </w:p>
        </w:tc>
        <w:tc>
          <w:tcPr>
            <w:tcW w:w="900" w:type="dxa"/>
            <w:tcBorders>
              <w:top w:val="single" w:sz="4" w:space="0" w:color="auto"/>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w:t>
            </w:r>
            <w:r w:rsidRPr="00311CE5">
              <w:rPr>
                <w:rFonts w:ascii="宋体" w:hAnsi="宋体" w:hint="eastAsia"/>
                <w:kern w:val="0"/>
                <w:sz w:val="24"/>
              </w:rPr>
              <w:t>十二五</w:t>
            </w:r>
            <w:r w:rsidRPr="00311CE5">
              <w:rPr>
                <w:kern w:val="0"/>
                <w:sz w:val="24"/>
              </w:rPr>
              <w:t>”</w:t>
            </w:r>
            <w:r w:rsidRPr="00311CE5">
              <w:rPr>
                <w:rFonts w:ascii="宋体" w:hAnsi="宋体" w:hint="eastAsia"/>
                <w:kern w:val="0"/>
                <w:sz w:val="24"/>
              </w:rPr>
              <w:t>比</w:t>
            </w:r>
            <w:r w:rsidRPr="00311CE5">
              <w:rPr>
                <w:kern w:val="0"/>
                <w:sz w:val="24"/>
              </w:rPr>
              <w:t>“</w:t>
            </w:r>
            <w:r w:rsidRPr="00311CE5">
              <w:rPr>
                <w:rFonts w:ascii="宋体" w:hAnsi="宋体" w:hint="eastAsia"/>
                <w:kern w:val="0"/>
                <w:sz w:val="24"/>
              </w:rPr>
              <w:t>十一五</w:t>
            </w:r>
            <w:r w:rsidRPr="00311CE5">
              <w:rPr>
                <w:kern w:val="0"/>
                <w:sz w:val="24"/>
              </w:rPr>
              <w:t>”</w:t>
            </w:r>
            <w:r w:rsidRPr="00311CE5">
              <w:rPr>
                <w:rFonts w:ascii="宋体" w:hAnsi="宋体" w:hint="eastAsia"/>
                <w:kern w:val="0"/>
                <w:sz w:val="24"/>
              </w:rPr>
              <w:t>增、降</w:t>
            </w:r>
          </w:p>
        </w:tc>
      </w:tr>
      <w:tr w:rsidR="00311CE5" w:rsidRPr="00311CE5">
        <w:trPr>
          <w:trHeight w:val="31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lastRenderedPageBreak/>
              <w:t>煤矿平均矿井回采率</w:t>
            </w:r>
            <w:r w:rsidRPr="00311CE5">
              <w:rPr>
                <w:kern w:val="0"/>
                <w:sz w:val="24"/>
              </w:rPr>
              <w:t>%</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50</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60</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10</w:t>
            </w:r>
          </w:p>
        </w:tc>
      </w:tr>
      <w:tr w:rsidR="00311CE5" w:rsidRPr="00311CE5">
        <w:trPr>
          <w:trHeight w:val="31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t>煤矸石利用率</w:t>
            </w:r>
            <w:r w:rsidRPr="00311CE5">
              <w:rPr>
                <w:kern w:val="0"/>
                <w:sz w:val="24"/>
              </w:rPr>
              <w:t>%</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70</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80</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10</w:t>
            </w:r>
          </w:p>
        </w:tc>
      </w:tr>
      <w:tr w:rsidR="00311CE5" w:rsidRPr="00311CE5">
        <w:trPr>
          <w:trHeight w:val="31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t>煤层气抽采利用率</w:t>
            </w:r>
            <w:r w:rsidRPr="00311CE5">
              <w:rPr>
                <w:kern w:val="0"/>
                <w:sz w:val="24"/>
              </w:rPr>
              <w:t>%</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3.08</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30</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26.92</w:t>
            </w:r>
          </w:p>
        </w:tc>
      </w:tr>
      <w:tr w:rsidR="00311CE5" w:rsidRPr="00311CE5">
        <w:trPr>
          <w:trHeight w:val="31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t>矿井水利用率</w:t>
            </w:r>
            <w:r w:rsidRPr="00311CE5">
              <w:rPr>
                <w:kern w:val="0"/>
                <w:sz w:val="24"/>
              </w:rPr>
              <w:t>%</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70</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75</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5</w:t>
            </w:r>
          </w:p>
        </w:tc>
      </w:tr>
      <w:tr w:rsidR="00311CE5" w:rsidRPr="00311CE5">
        <w:trPr>
          <w:trHeight w:val="31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t>原油采收率</w:t>
            </w:r>
            <w:r w:rsidRPr="00311CE5">
              <w:rPr>
                <w:kern w:val="0"/>
                <w:sz w:val="24"/>
              </w:rPr>
              <w:t>%</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26</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25</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-1</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25</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rFonts w:ascii="宋体" w:hAnsi="宋体" w:cs="宋体"/>
                <w:kern w:val="0"/>
                <w:sz w:val="24"/>
              </w:rPr>
            </w:pPr>
            <w:r w:rsidRPr="00311CE5">
              <w:rPr>
                <w:rFonts w:ascii="宋体" w:hAnsi="宋体" w:cs="宋体" w:hint="eastAsia"/>
                <w:kern w:val="0"/>
                <w:sz w:val="24"/>
              </w:rPr>
              <w:t>持平</w:t>
            </w:r>
          </w:p>
        </w:tc>
      </w:tr>
      <w:tr w:rsidR="00311CE5" w:rsidRPr="00311CE5">
        <w:trPr>
          <w:trHeight w:val="31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t>炼油能耗(千克标准油/吨)</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77</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69</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-8</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65</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-4</w:t>
            </w:r>
          </w:p>
        </w:tc>
      </w:tr>
      <w:tr w:rsidR="00311CE5" w:rsidRPr="00311CE5">
        <w:trPr>
          <w:trHeight w:val="28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t>火电供电标准煤煤耗(克/千瓦时)</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387</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334.6</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-52.4</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310</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-24.6</w:t>
            </w:r>
          </w:p>
        </w:tc>
      </w:tr>
      <w:tr w:rsidR="00311CE5" w:rsidRPr="00311CE5">
        <w:trPr>
          <w:trHeight w:val="31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t>火电平均厂用电率</w:t>
            </w:r>
            <w:r w:rsidRPr="00311CE5">
              <w:rPr>
                <w:kern w:val="0"/>
                <w:sz w:val="24"/>
              </w:rPr>
              <w:t>%</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14</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10</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-4</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8</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-2</w:t>
            </w:r>
          </w:p>
        </w:tc>
      </w:tr>
      <w:tr w:rsidR="00311CE5" w:rsidRPr="00311CE5">
        <w:trPr>
          <w:trHeight w:val="315"/>
        </w:trPr>
        <w:tc>
          <w:tcPr>
            <w:tcW w:w="380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left"/>
              <w:rPr>
                <w:rFonts w:ascii="宋体" w:hAnsi="宋体" w:cs="宋体"/>
                <w:kern w:val="0"/>
                <w:sz w:val="24"/>
              </w:rPr>
            </w:pPr>
            <w:r w:rsidRPr="00311CE5">
              <w:rPr>
                <w:rFonts w:ascii="宋体" w:hAnsi="宋体" w:cs="宋体" w:hint="eastAsia"/>
                <w:kern w:val="0"/>
                <w:sz w:val="24"/>
              </w:rPr>
              <w:t>线路损耗率</w:t>
            </w:r>
            <w:r w:rsidRPr="00311CE5">
              <w:rPr>
                <w:kern w:val="0"/>
                <w:sz w:val="24"/>
              </w:rPr>
              <w:t>%</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7.5</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6.42</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-1.08</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6</w:t>
            </w:r>
          </w:p>
        </w:tc>
        <w:tc>
          <w:tcPr>
            <w:tcW w:w="90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kern w:val="0"/>
                <w:sz w:val="24"/>
              </w:rPr>
            </w:pPr>
            <w:r w:rsidRPr="00311CE5">
              <w:rPr>
                <w:kern w:val="0"/>
                <w:sz w:val="24"/>
              </w:rPr>
              <w:t>-0.42</w:t>
            </w:r>
          </w:p>
        </w:tc>
      </w:tr>
    </w:tbl>
    <w:p w:rsidR="00A4123C" w:rsidRDefault="00A4123C" w:rsidP="00E56641">
      <w:pPr>
        <w:snapToGrid w:val="0"/>
        <w:spacing w:line="360" w:lineRule="auto"/>
        <w:rPr>
          <w:rFonts w:ascii="楷体_GB2312" w:eastAsia="楷体_GB2312" w:hint="eastAsia"/>
          <w:sz w:val="30"/>
          <w:szCs w:val="30"/>
        </w:rPr>
      </w:pPr>
    </w:p>
    <w:p w:rsidR="00EF54E3" w:rsidRPr="00931F66" w:rsidRDefault="00EF54E3" w:rsidP="00E56641">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4</w:t>
      </w:r>
      <w:r w:rsidR="005F65C8" w:rsidRPr="00931F66">
        <w:rPr>
          <w:rFonts w:ascii="楷体_GB2312" w:eastAsia="楷体_GB2312" w:hint="eastAsia"/>
          <w:sz w:val="30"/>
          <w:szCs w:val="30"/>
        </w:rPr>
        <w:t>．</w:t>
      </w:r>
      <w:r w:rsidRPr="00931F66">
        <w:rPr>
          <w:rFonts w:ascii="楷体_GB2312" w:eastAsia="楷体_GB2312" w:hint="eastAsia"/>
          <w:sz w:val="30"/>
          <w:szCs w:val="30"/>
        </w:rPr>
        <w:t>改善民生。</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建设国家级、省级绿色能源示范县10个，绿色能源示范镇50个；逐步消除薪柴的直接燃用；太阳能热水器集热面积400万平方米，其中城镇300万平方米，农村100万平方米；2015年全省县及县以上城市输气管道覆盖率100%，天然气气化率达到60%；秸秆能源化利用率20.4%；煤矿百万吨死亡率争取降到1.0以下。</w:t>
      </w:r>
    </w:p>
    <w:p w:rsidR="00EF54E3" w:rsidRPr="00931F66" w:rsidRDefault="00F04E2E" w:rsidP="00E56641">
      <w:pPr>
        <w:snapToGrid w:val="0"/>
        <w:spacing w:line="360" w:lineRule="auto"/>
        <w:rPr>
          <w:rFonts w:ascii="黑体" w:eastAsia="黑体" w:hint="eastAsia"/>
          <w:sz w:val="30"/>
          <w:szCs w:val="30"/>
        </w:rPr>
      </w:pPr>
      <w:r w:rsidRPr="00931F66">
        <w:rPr>
          <w:rFonts w:ascii="黑体" w:eastAsia="黑体" w:hint="eastAsia"/>
          <w:sz w:val="30"/>
          <w:szCs w:val="30"/>
        </w:rPr>
        <w:t xml:space="preserve">　　</w:t>
      </w:r>
      <w:r w:rsidR="00EF54E3" w:rsidRPr="00931F66">
        <w:rPr>
          <w:rFonts w:ascii="黑体" w:eastAsia="黑体" w:hint="eastAsia"/>
          <w:sz w:val="30"/>
          <w:szCs w:val="30"/>
        </w:rPr>
        <w:t>四、能源发展布局和主要任务</w:t>
      </w:r>
    </w:p>
    <w:p w:rsidR="00EF54E3" w:rsidRPr="00931F66" w:rsidRDefault="00EF54E3" w:rsidP="00E56641">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（一）“1212”能源发展布局。</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依据全省能源资源赋存分布状态和生产力布局，对全省能源开发空间和时序进行分析研究并做出相应安排，力求统筹兼顾，科学布局，有序发展。“十二五”期间，大力推进我省能源“一带、二网、十二大工程”建设（即：“1212”布局），优化我省区域能源</w:t>
      </w:r>
      <w:r w:rsidRPr="00931F66">
        <w:rPr>
          <w:rFonts w:ascii="仿宋_GB2312" w:eastAsia="仿宋_GB2312" w:hint="eastAsia"/>
          <w:sz w:val="30"/>
          <w:szCs w:val="30"/>
        </w:rPr>
        <w:lastRenderedPageBreak/>
        <w:t>布局，增强能源保障能力和可持续发展能力。</w:t>
      </w:r>
    </w:p>
    <w:p w:rsidR="00EF54E3" w:rsidRPr="00931F66" w:rsidRDefault="00EF54E3" w:rsidP="00E56641">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1</w:t>
      </w:r>
      <w:r w:rsidR="005F65C8" w:rsidRPr="00931F66">
        <w:rPr>
          <w:rFonts w:ascii="楷体_GB2312" w:eastAsia="楷体_GB2312" w:hint="eastAsia"/>
          <w:sz w:val="30"/>
          <w:szCs w:val="30"/>
        </w:rPr>
        <w:t>．</w:t>
      </w:r>
      <w:r w:rsidRPr="00931F66">
        <w:rPr>
          <w:rFonts w:ascii="楷体_GB2312" w:eastAsia="楷体_GB2312" w:hint="eastAsia"/>
          <w:sz w:val="30"/>
          <w:szCs w:val="30"/>
        </w:rPr>
        <w:t>一带。</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即“长吉图”低碳能源示范带。以长春市、吉林市、延吉市为依托，大力促进煤炭、火电、炼油等传统能源企业改造升级，加快推进丰满大坝重建和敦化抽水蓄能电站建设，推进农安等国家级绿色能源示范县建设。鼓励支持能源企事业单位构建低碳技术研究开发中心，重点推进长春市风机制造、太阳能电池组件、输变电设备能源装备产业园建设和农作物秸杆能源化利用，蛟河生物质能综合利用产业园建设，吉林市、延边州开发利用小水电。</w:t>
      </w:r>
    </w:p>
    <w:p w:rsidR="00EF54E3" w:rsidRPr="00931F66" w:rsidRDefault="00EF54E3" w:rsidP="00E56641">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2</w:t>
      </w:r>
      <w:r w:rsidR="005F65C8" w:rsidRPr="00931F66">
        <w:rPr>
          <w:rFonts w:ascii="楷体_GB2312" w:eastAsia="楷体_GB2312" w:hint="eastAsia"/>
          <w:sz w:val="30"/>
          <w:szCs w:val="30"/>
        </w:rPr>
        <w:t>．</w:t>
      </w:r>
      <w:r w:rsidRPr="00931F66">
        <w:rPr>
          <w:rFonts w:ascii="楷体_GB2312" w:eastAsia="楷体_GB2312" w:hint="eastAsia"/>
          <w:sz w:val="30"/>
          <w:szCs w:val="30"/>
        </w:rPr>
        <w:t>二网。</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1）加强现代吉林电网体系建设。着力发展500千伏输变电工程，建成“两横两纵”500千伏主干网架，满足负荷发展、新能源发电并网及电力跨区域输送需要。推进智能电网技术研究，为提高电力系统调节能力、调峰调频和电源接入能力创造条件。</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（2）推进油气输送管网建设。积极实施“气化吉林”惠民工程，支持和推进中石油、中石化等企业在我省建设石油和天然气管道，地级市城际管道联网并与中石油东北主干网联通。</w:t>
      </w:r>
    </w:p>
    <w:p w:rsidR="00EF54E3" w:rsidRPr="00931F66" w:rsidRDefault="00EF54E3" w:rsidP="00E56641">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3</w:t>
      </w:r>
      <w:r w:rsidR="005F65C8" w:rsidRPr="00931F66">
        <w:rPr>
          <w:rFonts w:ascii="楷体_GB2312" w:eastAsia="楷体_GB2312" w:hint="eastAsia"/>
          <w:sz w:val="30"/>
          <w:szCs w:val="30"/>
        </w:rPr>
        <w:t>．</w:t>
      </w:r>
      <w:r w:rsidRPr="00931F66">
        <w:rPr>
          <w:rFonts w:ascii="楷体_GB2312" w:eastAsia="楷体_GB2312" w:hint="eastAsia"/>
          <w:sz w:val="30"/>
          <w:szCs w:val="30"/>
        </w:rPr>
        <w:t>十二大工程。</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lastRenderedPageBreak/>
        <w:t xml:space="preserve">　　“十二五”期间，我省将重点建设千万千瓦风电工程，靖宇赤松核电工程，百万千瓦水电工程，以建设背压机组为主的热电联产工程，千万吨油气田工程，千万吨炼油结构调整工程，“气化吉林”惠民工程，百万吨页岩油工程，生物质能利用工程，风机研发制造工程，千万吨煤炭基地建设工程和百万辆新能源汽车基础设施工程等能源“十二大”重点工程。</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此外，积极推动从内蒙东部输入煤炭、煤制天然气，从俄罗斯输入石油、天然气，向东北、华北地区输出电力等重大能源战略举措。</w:t>
      </w:r>
    </w:p>
    <w:p w:rsidR="00EF54E3" w:rsidRPr="00931F66" w:rsidRDefault="00EF54E3" w:rsidP="00E56641">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（二）主要任务。</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“十二五”期间，按照省委、省政府“投资拉动、项目带动、创新驱动”总体战略要求，我省能源发展的主要任务是：</w:t>
      </w:r>
    </w:p>
    <w:p w:rsidR="00EF54E3" w:rsidRPr="00931F66" w:rsidRDefault="00EF54E3" w:rsidP="00E56641">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1</w:t>
      </w:r>
      <w:r w:rsidR="005F65C8" w:rsidRPr="00931F66">
        <w:rPr>
          <w:rFonts w:ascii="仿宋_GB2312" w:eastAsia="仿宋_GB2312" w:hint="eastAsia"/>
          <w:sz w:val="30"/>
          <w:szCs w:val="30"/>
        </w:rPr>
        <w:t>．</w:t>
      </w:r>
      <w:r w:rsidRPr="00931F66">
        <w:rPr>
          <w:rFonts w:ascii="楷体_GB2312" w:eastAsia="楷体_GB2312" w:hint="eastAsia"/>
          <w:sz w:val="30"/>
          <w:szCs w:val="30"/>
        </w:rPr>
        <w:t>加大能源资源勘探力度。</w:t>
      </w:r>
    </w:p>
    <w:p w:rsidR="00EF54E3" w:rsidRPr="00931F66" w:rsidRDefault="00EF54E3" w:rsidP="00E56641">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全力加大省内煤炭资源勘查力度。重点勘查长白煤田、珲春骆驼河子、庙岭，敦化黑石—大山等52个勘探项目，“十二五”期末争取提交煤炭资源储量5亿吨。大力支持中石油吉林油田和中石化东北油气分公司进行油气勘探开发和产能建设，以松辽盆地南部、伊通盆地为石油、天然气重点勘探区域，力争实现新增探</w:t>
      </w:r>
      <w:r w:rsidRPr="00931F66">
        <w:rPr>
          <w:rFonts w:ascii="仿宋_GB2312" w:eastAsia="仿宋_GB2312" w:hint="eastAsia"/>
          <w:sz w:val="30"/>
          <w:szCs w:val="30"/>
        </w:rPr>
        <w:lastRenderedPageBreak/>
        <w:t>明石油储量2.3亿吨，新增探明天然气储量1500亿立方米。</w:t>
      </w:r>
    </w:p>
    <w:p w:rsidR="00EF54E3" w:rsidRPr="00931F66" w:rsidRDefault="00EF54E3" w:rsidP="00E56641">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2</w:t>
      </w:r>
      <w:r w:rsidR="005F65C8" w:rsidRPr="00931F66">
        <w:rPr>
          <w:rFonts w:ascii="仿宋_GB2312" w:eastAsia="仿宋_GB2312" w:hint="eastAsia"/>
          <w:sz w:val="30"/>
          <w:szCs w:val="30"/>
        </w:rPr>
        <w:t>．</w:t>
      </w:r>
      <w:r w:rsidRPr="00931F66">
        <w:rPr>
          <w:rFonts w:ascii="楷体_GB2312" w:eastAsia="楷体_GB2312" w:hint="eastAsia"/>
          <w:sz w:val="30"/>
          <w:szCs w:val="30"/>
        </w:rPr>
        <w:t>积极推进煤炭工业稳定发展。</w:t>
      </w:r>
    </w:p>
    <w:p w:rsidR="00EF54E3" w:rsidRPr="00931F66" w:rsidRDefault="00EF54E3" w:rsidP="00E56641">
      <w:pPr>
        <w:snapToGrid w:val="0"/>
        <w:spacing w:line="360" w:lineRule="auto"/>
        <w:ind w:firstLine="645"/>
        <w:rPr>
          <w:rFonts w:ascii="仿宋_GB2312" w:eastAsia="仿宋_GB2312" w:hint="eastAsia"/>
          <w:sz w:val="30"/>
          <w:szCs w:val="30"/>
        </w:rPr>
      </w:pPr>
      <w:r w:rsidRPr="00931F66">
        <w:rPr>
          <w:rFonts w:ascii="仿宋_GB2312" w:eastAsia="仿宋_GB2312" w:hint="eastAsia"/>
          <w:sz w:val="30"/>
          <w:szCs w:val="30"/>
        </w:rPr>
        <w:t>按照“强化资源勘探、积极有序开发、扩大域外合作、发展洗选加工、清洁有效利用”的发展思路，巩固千万吨煤炭基地建设成果，实现稳产高产；推进舒兰水曲柳、珲春骆驼河子等重点煤矿建设，支持延边地区加快插鱼河煤矿、中信昊园一矿和二矿、珲矿集团板石二矿等新矿井建设，复建珲矿集团城西煤矿，尽快实现延边地区千万吨煤炭基地目标；支持龙家堡、松树、舒兰二矿、八连城等8处资源丰富的国有煤矿改扩建，稳定全省煤炭生产能力；2015年全省采煤机械化程度达到80%以上，掘进机械化程度达到50%以上；支持吉煤集团新建城西煤矿选煤厂、扩建龙家堡洗煤厂等5处选煤厂建设，增加原煤入洗能力500万吨；支持大型煤炭企业集团建设，推进煤炭企业兼并重组，提高煤矿产业集中度。大力实施煤矿安全改造升级，积极推进煤矿瓦斯抽采利用和综合治理，煤矿百万吨死亡率争取降到1.0以下。</w:t>
      </w:r>
    </w:p>
    <w:tbl>
      <w:tblPr>
        <w:tblW w:w="8280" w:type="dxa"/>
        <w:tblInd w:w="93" w:type="dxa"/>
        <w:tblLook w:val="0000"/>
      </w:tblPr>
      <w:tblGrid>
        <w:gridCol w:w="2120"/>
        <w:gridCol w:w="6160"/>
      </w:tblGrid>
      <w:tr w:rsidR="00311CE5" w:rsidRPr="00311CE5">
        <w:trPr>
          <w:trHeight w:val="435"/>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rPr>
                <w:rFonts w:ascii="楷体_GB2312" w:eastAsia="楷体_GB2312" w:hAnsi="宋体" w:cs="宋体"/>
                <w:kern w:val="0"/>
                <w:sz w:val="28"/>
                <w:szCs w:val="28"/>
              </w:rPr>
            </w:pPr>
            <w:r w:rsidRPr="00311CE5">
              <w:rPr>
                <w:rFonts w:ascii="楷体_GB2312" w:eastAsia="楷体_GB2312" w:hAnsi="宋体" w:cs="宋体" w:hint="eastAsia"/>
                <w:kern w:val="0"/>
                <w:sz w:val="28"/>
                <w:szCs w:val="28"/>
              </w:rPr>
              <w:t>专栏5         “十二五”煤炭工业建设重点</w:t>
            </w:r>
          </w:p>
        </w:tc>
      </w:tr>
      <w:tr w:rsidR="00311CE5" w:rsidRPr="00311CE5">
        <w:trPr>
          <w:trHeight w:val="285"/>
        </w:trPr>
        <w:tc>
          <w:tcPr>
            <w:tcW w:w="212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jc w:val="center"/>
              <w:rPr>
                <w:rFonts w:ascii="宋体" w:hAnsi="宋体" w:cs="宋体"/>
                <w:kern w:val="0"/>
                <w:sz w:val="24"/>
              </w:rPr>
            </w:pPr>
            <w:r w:rsidRPr="00311CE5">
              <w:rPr>
                <w:rFonts w:ascii="宋体" w:hAnsi="宋体" w:cs="宋体" w:hint="eastAsia"/>
                <w:kern w:val="0"/>
                <w:sz w:val="24"/>
              </w:rPr>
              <w:t>类型</w:t>
            </w:r>
          </w:p>
        </w:tc>
        <w:tc>
          <w:tcPr>
            <w:tcW w:w="616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jc w:val="center"/>
              <w:rPr>
                <w:rFonts w:ascii="宋体" w:hAnsi="宋体" w:cs="宋体"/>
                <w:kern w:val="0"/>
                <w:sz w:val="24"/>
              </w:rPr>
            </w:pPr>
            <w:r w:rsidRPr="00311CE5">
              <w:rPr>
                <w:rFonts w:ascii="宋体" w:hAnsi="宋体" w:cs="宋体" w:hint="eastAsia"/>
                <w:kern w:val="0"/>
                <w:sz w:val="24"/>
              </w:rPr>
              <w:t>拟建项目</w:t>
            </w:r>
          </w:p>
        </w:tc>
      </w:tr>
      <w:tr w:rsidR="00311CE5" w:rsidRPr="00311CE5">
        <w:trPr>
          <w:trHeight w:val="630"/>
        </w:trPr>
        <w:tc>
          <w:tcPr>
            <w:tcW w:w="212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rPr>
                <w:rFonts w:ascii="宋体" w:hAnsi="宋体" w:cs="宋体"/>
                <w:kern w:val="0"/>
                <w:sz w:val="24"/>
              </w:rPr>
            </w:pPr>
            <w:r w:rsidRPr="00311CE5">
              <w:rPr>
                <w:rFonts w:ascii="宋体" w:hAnsi="宋体" w:cs="宋体" w:hint="eastAsia"/>
                <w:kern w:val="0"/>
                <w:sz w:val="24"/>
              </w:rPr>
              <w:t>改扩建煤矿</w:t>
            </w:r>
          </w:p>
        </w:tc>
        <w:tc>
          <w:tcPr>
            <w:tcW w:w="616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rPr>
                <w:rFonts w:ascii="宋体" w:hAnsi="宋体" w:cs="宋体"/>
                <w:kern w:val="0"/>
                <w:sz w:val="24"/>
              </w:rPr>
            </w:pPr>
            <w:r w:rsidRPr="00311CE5">
              <w:rPr>
                <w:rFonts w:ascii="宋体" w:hAnsi="宋体" w:cs="宋体" w:hint="eastAsia"/>
                <w:kern w:val="0"/>
                <w:sz w:val="24"/>
              </w:rPr>
              <w:t>龙家堡煤矿、舒兰二矿、八连城煤矿、道清煤矿、八宝煤矿、永安煤矿、松树煤矿、龙马煤矿</w:t>
            </w:r>
          </w:p>
        </w:tc>
      </w:tr>
      <w:tr w:rsidR="00311CE5" w:rsidRPr="00311CE5">
        <w:trPr>
          <w:trHeight w:val="915"/>
        </w:trPr>
        <w:tc>
          <w:tcPr>
            <w:tcW w:w="212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rPr>
                <w:rFonts w:ascii="宋体" w:hAnsi="宋体" w:cs="宋体"/>
                <w:kern w:val="0"/>
                <w:sz w:val="24"/>
              </w:rPr>
            </w:pPr>
            <w:r w:rsidRPr="00311CE5">
              <w:rPr>
                <w:rFonts w:ascii="宋体" w:hAnsi="宋体" w:cs="宋体" w:hint="eastAsia"/>
                <w:kern w:val="0"/>
                <w:sz w:val="24"/>
              </w:rPr>
              <w:lastRenderedPageBreak/>
              <w:t>新建煤矿</w:t>
            </w:r>
          </w:p>
        </w:tc>
        <w:tc>
          <w:tcPr>
            <w:tcW w:w="616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rPr>
                <w:rFonts w:ascii="宋体" w:hAnsi="宋体" w:cs="宋体"/>
                <w:kern w:val="0"/>
                <w:sz w:val="24"/>
              </w:rPr>
            </w:pPr>
            <w:r w:rsidRPr="00311CE5">
              <w:rPr>
                <w:rFonts w:ascii="宋体" w:hAnsi="宋体" w:cs="宋体" w:hint="eastAsia"/>
                <w:kern w:val="0"/>
                <w:sz w:val="24"/>
              </w:rPr>
              <w:t>头道沟煤矿、板石二矿、城西煤矿复建、凤鸣煤矿、插鱼河煤矿、珲春中信昊园一矿、二矿、珲春骆驼河子煤矿、水曲柳煤矿、双阳朱家街煤矿</w:t>
            </w:r>
          </w:p>
        </w:tc>
      </w:tr>
      <w:tr w:rsidR="00311CE5" w:rsidRPr="00311CE5">
        <w:trPr>
          <w:trHeight w:val="930"/>
        </w:trPr>
        <w:tc>
          <w:tcPr>
            <w:tcW w:w="212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rPr>
                <w:rFonts w:ascii="宋体" w:hAnsi="宋体" w:cs="宋体"/>
                <w:kern w:val="0"/>
                <w:sz w:val="24"/>
              </w:rPr>
            </w:pPr>
            <w:r w:rsidRPr="00311CE5">
              <w:rPr>
                <w:rFonts w:ascii="宋体" w:hAnsi="宋体" w:cs="宋体" w:hint="eastAsia"/>
                <w:kern w:val="0"/>
                <w:sz w:val="24"/>
              </w:rPr>
              <w:t>地质勘探</w:t>
            </w:r>
          </w:p>
        </w:tc>
        <w:tc>
          <w:tcPr>
            <w:tcW w:w="616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rPr>
                <w:rFonts w:ascii="宋体" w:hAnsi="宋体" w:cs="宋体"/>
                <w:kern w:val="0"/>
                <w:sz w:val="24"/>
              </w:rPr>
            </w:pPr>
            <w:r w:rsidRPr="00311CE5">
              <w:rPr>
                <w:rFonts w:ascii="宋体" w:hAnsi="宋体" w:cs="宋体" w:hint="eastAsia"/>
                <w:kern w:val="0"/>
                <w:sz w:val="24"/>
              </w:rPr>
              <w:t>通化矿区、舒兰矿区、珲春矿区、杉松岗矿区、长白矿区、敦化黑石</w:t>
            </w:r>
            <w:r w:rsidRPr="00311CE5">
              <w:rPr>
                <w:kern w:val="0"/>
                <w:sz w:val="24"/>
              </w:rPr>
              <w:t>—</w:t>
            </w:r>
            <w:r w:rsidRPr="00311CE5">
              <w:rPr>
                <w:rFonts w:ascii="宋体" w:hAnsi="宋体" w:cs="宋体" w:hint="eastAsia"/>
                <w:kern w:val="0"/>
                <w:sz w:val="24"/>
              </w:rPr>
              <w:t>大山嘴子煤炭预查</w:t>
            </w:r>
            <w:r w:rsidRPr="00311CE5">
              <w:rPr>
                <w:kern w:val="0"/>
                <w:sz w:val="24"/>
              </w:rPr>
              <w:t>-</w:t>
            </w:r>
            <w:r w:rsidRPr="00311CE5">
              <w:rPr>
                <w:rFonts w:ascii="宋体" w:hAnsi="宋体" w:cs="宋体" w:hint="eastAsia"/>
                <w:kern w:val="0"/>
                <w:sz w:val="24"/>
              </w:rPr>
              <w:t>详查、万宝矿区、营城矿区、双阳矿区等</w:t>
            </w:r>
          </w:p>
        </w:tc>
      </w:tr>
      <w:tr w:rsidR="00311CE5" w:rsidRPr="00311CE5">
        <w:trPr>
          <w:trHeight w:val="1005"/>
        </w:trPr>
        <w:tc>
          <w:tcPr>
            <w:tcW w:w="2120" w:type="dxa"/>
            <w:tcBorders>
              <w:top w:val="nil"/>
              <w:left w:val="single" w:sz="4" w:space="0" w:color="auto"/>
              <w:bottom w:val="single" w:sz="4" w:space="0" w:color="auto"/>
              <w:right w:val="single" w:sz="4" w:space="0" w:color="auto"/>
            </w:tcBorders>
            <w:shd w:val="clear" w:color="auto" w:fill="auto"/>
            <w:vAlign w:val="center"/>
          </w:tcPr>
          <w:p w:rsidR="00311CE5" w:rsidRPr="00311CE5" w:rsidRDefault="00311CE5" w:rsidP="00311CE5">
            <w:pPr>
              <w:widowControl/>
              <w:rPr>
                <w:rFonts w:ascii="宋体" w:hAnsi="宋体" w:cs="宋体"/>
                <w:kern w:val="0"/>
                <w:sz w:val="24"/>
              </w:rPr>
            </w:pPr>
            <w:r w:rsidRPr="00311CE5">
              <w:rPr>
                <w:rFonts w:ascii="宋体" w:hAnsi="宋体" w:cs="宋体" w:hint="eastAsia"/>
                <w:kern w:val="0"/>
                <w:sz w:val="24"/>
              </w:rPr>
              <w:t>煤炭洗选加工、煤层气利用</w:t>
            </w:r>
          </w:p>
        </w:tc>
        <w:tc>
          <w:tcPr>
            <w:tcW w:w="6160" w:type="dxa"/>
            <w:tcBorders>
              <w:top w:val="nil"/>
              <w:left w:val="nil"/>
              <w:bottom w:val="single" w:sz="4" w:space="0" w:color="auto"/>
              <w:right w:val="single" w:sz="4" w:space="0" w:color="auto"/>
            </w:tcBorders>
            <w:shd w:val="clear" w:color="auto" w:fill="auto"/>
            <w:vAlign w:val="center"/>
          </w:tcPr>
          <w:p w:rsidR="00311CE5" w:rsidRPr="00311CE5" w:rsidRDefault="00311CE5" w:rsidP="00311CE5">
            <w:pPr>
              <w:widowControl/>
              <w:rPr>
                <w:rFonts w:ascii="宋体" w:hAnsi="宋体" w:cs="宋体"/>
                <w:kern w:val="0"/>
                <w:sz w:val="24"/>
              </w:rPr>
            </w:pPr>
            <w:r w:rsidRPr="00311CE5">
              <w:rPr>
                <w:rFonts w:ascii="宋体" w:hAnsi="宋体" w:cs="宋体" w:hint="eastAsia"/>
                <w:kern w:val="0"/>
                <w:sz w:val="24"/>
              </w:rPr>
              <w:t>新建城西煤矿选煤厂，梅河二井、四井选煤厂、西安斜井选煤厂、龙家堡选煤厂改扩建；九台、辽源北柳、珲春煤层气抽采利用工程</w:t>
            </w:r>
          </w:p>
        </w:tc>
      </w:tr>
    </w:tbl>
    <w:p w:rsidR="00931F66"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w:t>
      </w:r>
    </w:p>
    <w:p w:rsidR="00EF54E3" w:rsidRPr="00931F66" w:rsidRDefault="00EF54E3" w:rsidP="00931F66">
      <w:pPr>
        <w:snapToGrid w:val="0"/>
        <w:spacing w:line="360" w:lineRule="auto"/>
        <w:ind w:firstLineChars="200" w:firstLine="600"/>
        <w:rPr>
          <w:rFonts w:ascii="楷体_GB2312" w:eastAsia="楷体_GB2312" w:hint="eastAsia"/>
          <w:sz w:val="30"/>
          <w:szCs w:val="30"/>
        </w:rPr>
      </w:pPr>
      <w:r w:rsidRPr="00931F66">
        <w:rPr>
          <w:rFonts w:ascii="楷体_GB2312" w:eastAsia="楷体_GB2312" w:hint="eastAsia"/>
          <w:sz w:val="30"/>
          <w:szCs w:val="30"/>
        </w:rPr>
        <w:t>3</w:t>
      </w:r>
      <w:r w:rsidR="005F65C8" w:rsidRPr="00931F66">
        <w:rPr>
          <w:rFonts w:ascii="仿宋_GB2312" w:eastAsia="仿宋_GB2312" w:hint="eastAsia"/>
          <w:sz w:val="30"/>
          <w:szCs w:val="30"/>
        </w:rPr>
        <w:t>．</w:t>
      </w:r>
      <w:r w:rsidRPr="00931F66">
        <w:rPr>
          <w:rFonts w:ascii="楷体_GB2312" w:eastAsia="楷体_GB2312" w:hint="eastAsia"/>
          <w:sz w:val="30"/>
          <w:szCs w:val="30"/>
        </w:rPr>
        <w:t>大力推进电力结构调整。</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优化发展火电，重点推进中小城市背压机组建设；稳定发展水电，大力发展抽水蓄能电站；稳步发展核电，积极发展风电等新能源；强化现代电网体系建设。</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（1）抓好丰满水电站重建、敦化抽水蓄能电站和临江水电站建设，加快推进吉林红石抽水蓄能电站、通化抽水蓄能电站前期工作，争取开工建设第二座抽水蓄能电站。</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w:t>
      </w:r>
      <w:r w:rsidR="00F04E2E" w:rsidRPr="00931F66">
        <w:rPr>
          <w:rFonts w:ascii="仿宋_GB2312" w:eastAsia="仿宋_GB2312" w:hint="eastAsia"/>
          <w:sz w:val="30"/>
          <w:szCs w:val="30"/>
        </w:rPr>
        <w:t>（</w:t>
      </w:r>
      <w:r w:rsidRPr="00931F66">
        <w:rPr>
          <w:rFonts w:ascii="仿宋_GB2312" w:eastAsia="仿宋_GB2312" w:hint="eastAsia"/>
          <w:sz w:val="30"/>
          <w:szCs w:val="30"/>
        </w:rPr>
        <w:t>2）推进长山电厂、珲春电厂扩建等项目，继续推进“上大压小”工作，新建长春东南热电厂等城市热电联产项目，相应关停白山热电等88万千瓦小火电机组；积极推进和龙、德惠等中小城市背压机组试点建设。</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（3）按照国家核电发展中长期规划，争取开工建设靖宇赤松核电站一期工程，并着手第二座核电站前期工作。</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lastRenderedPageBreak/>
        <w:t xml:space="preserve">　　（4）强化现代电网体系建设，适应负荷发展、新能源发电并网及电力跨区域输送；着力发展500千伏输变电工程，“十二五”末期形成“两横两纵”的“井字型”500千伏主干网架，各地区形成220千伏双环受端电网；重点建设吉林东、长春南、吉林南、延吉、长岭、德惠等输变电工程，加快珲春电厂扩建送出工程及为西部千万千瓦风电基地电力送出配套的通榆、向阳风电场500千伏送出工程的建设；积极推进各电压等级电网协调发展，不断完善各地区电网和重点城市电网；加强农村电网改造升级建设。</w:t>
      </w:r>
    </w:p>
    <w:p w:rsidR="00EF54E3" w:rsidRPr="00931F66" w:rsidRDefault="00EF54E3" w:rsidP="00931F66">
      <w:pPr>
        <w:snapToGrid w:val="0"/>
        <w:spacing w:line="360" w:lineRule="auto"/>
        <w:ind w:firstLine="645"/>
        <w:rPr>
          <w:rFonts w:ascii="仿宋_GB2312" w:eastAsia="仿宋_GB2312" w:hint="eastAsia"/>
          <w:sz w:val="30"/>
          <w:szCs w:val="30"/>
        </w:rPr>
      </w:pPr>
      <w:r w:rsidRPr="00931F66">
        <w:rPr>
          <w:rFonts w:ascii="仿宋_GB2312" w:eastAsia="仿宋_GB2312" w:hint="eastAsia"/>
          <w:sz w:val="30"/>
          <w:szCs w:val="30"/>
        </w:rPr>
        <w:t>按照“统筹规划、分布实施、安全可靠”的原则，积极推进100万辆电动汽车充电站、充电桩等基础设施建设。到2015年，初步形成满足电动汽车需要的充电网络。</w:t>
      </w:r>
    </w:p>
    <w:tbl>
      <w:tblPr>
        <w:tblW w:w="8520" w:type="dxa"/>
        <w:tblInd w:w="93" w:type="dxa"/>
        <w:tblLook w:val="0000"/>
      </w:tblPr>
      <w:tblGrid>
        <w:gridCol w:w="1180"/>
        <w:gridCol w:w="1700"/>
        <w:gridCol w:w="5640"/>
      </w:tblGrid>
      <w:tr w:rsidR="00793D97" w:rsidRPr="00793D97">
        <w:trPr>
          <w:trHeight w:val="375"/>
        </w:trPr>
        <w:tc>
          <w:tcPr>
            <w:tcW w:w="8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楷体_GB2312" w:eastAsia="楷体_GB2312" w:hAnsi="宋体" w:cs="宋体"/>
                <w:kern w:val="0"/>
                <w:sz w:val="28"/>
                <w:szCs w:val="28"/>
              </w:rPr>
            </w:pPr>
            <w:r w:rsidRPr="00793D97">
              <w:rPr>
                <w:rFonts w:ascii="楷体_GB2312" w:eastAsia="楷体_GB2312" w:hAnsi="宋体" w:cs="宋体" w:hint="eastAsia"/>
                <w:kern w:val="0"/>
                <w:sz w:val="28"/>
                <w:szCs w:val="28"/>
              </w:rPr>
              <w:t>专栏6         “十二五”电力工业建设重点</w:t>
            </w:r>
          </w:p>
        </w:tc>
      </w:tr>
      <w:tr w:rsidR="00793D97" w:rsidRPr="00793D97">
        <w:trPr>
          <w:trHeight w:val="31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类</w:t>
            </w:r>
            <w:r w:rsidRPr="00793D97">
              <w:rPr>
                <w:kern w:val="0"/>
                <w:sz w:val="24"/>
              </w:rPr>
              <w:t xml:space="preserve"> </w:t>
            </w:r>
            <w:r w:rsidRPr="00793D97">
              <w:rPr>
                <w:rFonts w:ascii="宋体" w:hAnsi="宋体" w:cs="宋体" w:hint="eastAsia"/>
                <w:kern w:val="0"/>
                <w:sz w:val="24"/>
              </w:rPr>
              <w:t>型</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拟</w:t>
            </w:r>
            <w:r w:rsidRPr="00793D97">
              <w:rPr>
                <w:kern w:val="0"/>
                <w:sz w:val="24"/>
              </w:rPr>
              <w:t xml:space="preserve"> </w:t>
            </w:r>
            <w:r w:rsidRPr="00793D97">
              <w:rPr>
                <w:rFonts w:ascii="宋体" w:hAnsi="宋体" w:cs="宋体" w:hint="eastAsia"/>
                <w:kern w:val="0"/>
                <w:sz w:val="24"/>
              </w:rPr>
              <w:t>建</w:t>
            </w:r>
            <w:r w:rsidRPr="00793D97">
              <w:rPr>
                <w:kern w:val="0"/>
                <w:sz w:val="24"/>
              </w:rPr>
              <w:t xml:space="preserve"> </w:t>
            </w:r>
            <w:r w:rsidRPr="00793D97">
              <w:rPr>
                <w:rFonts w:ascii="宋体" w:hAnsi="宋体" w:cs="宋体" w:hint="eastAsia"/>
                <w:kern w:val="0"/>
                <w:sz w:val="24"/>
              </w:rPr>
              <w:t>项</w:t>
            </w:r>
            <w:r w:rsidRPr="00793D97">
              <w:rPr>
                <w:kern w:val="0"/>
                <w:sz w:val="24"/>
              </w:rPr>
              <w:t xml:space="preserve"> </w:t>
            </w:r>
            <w:r w:rsidRPr="00793D97">
              <w:rPr>
                <w:rFonts w:ascii="宋体" w:hAnsi="宋体" w:cs="宋体" w:hint="eastAsia"/>
                <w:kern w:val="0"/>
                <w:sz w:val="24"/>
              </w:rPr>
              <w:t>目</w:t>
            </w:r>
          </w:p>
        </w:tc>
      </w:tr>
      <w:tr w:rsidR="00793D97" w:rsidRPr="00793D97">
        <w:trPr>
          <w:trHeight w:val="600"/>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电源项目</w:t>
            </w: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热电联产</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扩建吉林热电厂、新建长春东南热电厂、梅河口综合利用热电厂等热电联产项目</w:t>
            </w:r>
          </w:p>
        </w:tc>
      </w:tr>
      <w:tr w:rsidR="00793D97" w:rsidRPr="00793D97">
        <w:trPr>
          <w:trHeight w:val="615"/>
        </w:trPr>
        <w:tc>
          <w:tcPr>
            <w:tcW w:w="1180" w:type="dxa"/>
            <w:vMerge/>
            <w:tcBorders>
              <w:top w:val="nil"/>
              <w:left w:val="single" w:sz="4" w:space="0" w:color="auto"/>
              <w:bottom w:val="single" w:sz="4" w:space="0" w:color="auto"/>
              <w:right w:val="single" w:sz="4" w:space="0" w:color="auto"/>
            </w:tcBorders>
            <w:vAlign w:val="center"/>
          </w:tcPr>
          <w:p w:rsidR="00793D97" w:rsidRPr="00793D97" w:rsidRDefault="00793D97" w:rsidP="00793D97">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背压机组</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在和龙、德惠等</w:t>
            </w:r>
            <w:r w:rsidRPr="00793D97">
              <w:rPr>
                <w:kern w:val="0"/>
                <w:sz w:val="24"/>
              </w:rPr>
              <w:t>8-10</w:t>
            </w:r>
            <w:r w:rsidRPr="00793D97">
              <w:rPr>
                <w:rFonts w:ascii="宋体" w:hAnsi="宋体" w:cs="宋体" w:hint="eastAsia"/>
                <w:kern w:val="0"/>
                <w:sz w:val="24"/>
              </w:rPr>
              <w:t>个县</w:t>
            </w:r>
            <w:r w:rsidRPr="00793D97">
              <w:rPr>
                <w:kern w:val="0"/>
                <w:sz w:val="24"/>
              </w:rPr>
              <w:t>(</w:t>
            </w:r>
            <w:r w:rsidRPr="00793D97">
              <w:rPr>
                <w:rFonts w:ascii="宋体" w:hAnsi="宋体" w:cs="宋体" w:hint="eastAsia"/>
                <w:kern w:val="0"/>
                <w:sz w:val="24"/>
              </w:rPr>
              <w:t>市</w:t>
            </w:r>
            <w:r w:rsidRPr="00793D97">
              <w:rPr>
                <w:kern w:val="0"/>
                <w:sz w:val="24"/>
              </w:rPr>
              <w:t>)</w:t>
            </w:r>
            <w:r w:rsidRPr="00793D97">
              <w:rPr>
                <w:rFonts w:ascii="宋体" w:hAnsi="宋体" w:cs="宋体" w:hint="eastAsia"/>
                <w:kern w:val="0"/>
                <w:sz w:val="24"/>
              </w:rPr>
              <w:t>各建设</w:t>
            </w:r>
            <w:r w:rsidRPr="00793D97">
              <w:rPr>
                <w:kern w:val="0"/>
                <w:sz w:val="24"/>
              </w:rPr>
              <w:t>2</w:t>
            </w:r>
            <w:r w:rsidRPr="00793D97">
              <w:rPr>
                <w:rFonts w:ascii="宋体" w:hAnsi="宋体" w:cs="宋体" w:hint="eastAsia"/>
                <w:kern w:val="0"/>
                <w:sz w:val="24"/>
              </w:rPr>
              <w:t>台背压机组供热</w:t>
            </w:r>
          </w:p>
        </w:tc>
      </w:tr>
      <w:tr w:rsidR="00793D97" w:rsidRPr="00793D97">
        <w:trPr>
          <w:trHeight w:val="315"/>
        </w:trPr>
        <w:tc>
          <w:tcPr>
            <w:tcW w:w="1180" w:type="dxa"/>
            <w:vMerge/>
            <w:tcBorders>
              <w:top w:val="nil"/>
              <w:left w:val="single" w:sz="4" w:space="0" w:color="auto"/>
              <w:bottom w:val="single" w:sz="4" w:space="0" w:color="auto"/>
              <w:right w:val="single" w:sz="4" w:space="0" w:color="auto"/>
            </w:tcBorders>
            <w:vAlign w:val="center"/>
          </w:tcPr>
          <w:p w:rsidR="00793D97" w:rsidRPr="00793D97" w:rsidRDefault="00793D97" w:rsidP="00793D97">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大型火电</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长山电厂扩建、珲春电厂</w:t>
            </w:r>
            <w:r w:rsidRPr="00793D97">
              <w:rPr>
                <w:kern w:val="0"/>
                <w:sz w:val="24"/>
              </w:rPr>
              <w:t>(</w:t>
            </w:r>
            <w:r w:rsidRPr="00793D97">
              <w:rPr>
                <w:rFonts w:ascii="宋体" w:hAnsi="宋体" w:cs="宋体" w:hint="eastAsia"/>
                <w:kern w:val="0"/>
                <w:sz w:val="24"/>
              </w:rPr>
              <w:t>三期</w:t>
            </w:r>
            <w:r w:rsidRPr="00793D97">
              <w:rPr>
                <w:kern w:val="0"/>
                <w:sz w:val="24"/>
              </w:rPr>
              <w:t>)</w:t>
            </w:r>
            <w:r w:rsidRPr="00793D97">
              <w:rPr>
                <w:rFonts w:ascii="宋体" w:hAnsi="宋体" w:cs="宋体" w:hint="eastAsia"/>
                <w:kern w:val="0"/>
                <w:sz w:val="24"/>
              </w:rPr>
              <w:t>扩建</w:t>
            </w:r>
          </w:p>
        </w:tc>
      </w:tr>
      <w:tr w:rsidR="00793D97" w:rsidRPr="00793D97">
        <w:trPr>
          <w:trHeight w:val="285"/>
        </w:trPr>
        <w:tc>
          <w:tcPr>
            <w:tcW w:w="1180" w:type="dxa"/>
            <w:vMerge/>
            <w:tcBorders>
              <w:top w:val="nil"/>
              <w:left w:val="single" w:sz="4" w:space="0" w:color="auto"/>
              <w:bottom w:val="single" w:sz="4" w:space="0" w:color="auto"/>
              <w:right w:val="single" w:sz="4" w:space="0" w:color="auto"/>
            </w:tcBorders>
            <w:vAlign w:val="center"/>
          </w:tcPr>
          <w:p w:rsidR="00793D97" w:rsidRPr="00793D97" w:rsidRDefault="00793D97" w:rsidP="00793D97">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核　电</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靖宇赤松核电站一期工程</w:t>
            </w:r>
          </w:p>
        </w:tc>
      </w:tr>
      <w:tr w:rsidR="00793D97" w:rsidRPr="00793D97">
        <w:trPr>
          <w:trHeight w:val="285"/>
        </w:trPr>
        <w:tc>
          <w:tcPr>
            <w:tcW w:w="1180" w:type="dxa"/>
            <w:vMerge/>
            <w:tcBorders>
              <w:top w:val="nil"/>
              <w:left w:val="single" w:sz="4" w:space="0" w:color="auto"/>
              <w:bottom w:val="single" w:sz="4" w:space="0" w:color="auto"/>
              <w:right w:val="single" w:sz="4" w:space="0" w:color="auto"/>
            </w:tcBorders>
            <w:vAlign w:val="center"/>
          </w:tcPr>
          <w:p w:rsidR="00793D97" w:rsidRPr="00793D97" w:rsidRDefault="00793D97" w:rsidP="00793D97">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水　电</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丰满水电站重建、临江水电站新建</w:t>
            </w:r>
          </w:p>
        </w:tc>
      </w:tr>
      <w:tr w:rsidR="00793D97" w:rsidRPr="00793D97">
        <w:trPr>
          <w:trHeight w:val="570"/>
        </w:trPr>
        <w:tc>
          <w:tcPr>
            <w:tcW w:w="1180" w:type="dxa"/>
            <w:vMerge/>
            <w:tcBorders>
              <w:top w:val="nil"/>
              <w:left w:val="single" w:sz="4" w:space="0" w:color="auto"/>
              <w:bottom w:val="single" w:sz="4" w:space="0" w:color="auto"/>
              <w:right w:val="single" w:sz="4" w:space="0" w:color="auto"/>
            </w:tcBorders>
            <w:vAlign w:val="center"/>
          </w:tcPr>
          <w:p w:rsidR="00793D97" w:rsidRPr="00793D97" w:rsidRDefault="00793D97" w:rsidP="00793D97">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抽水蓄能</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敦化抽水蓄能电站并争取开工建设第二座抽水蓄能电站</w:t>
            </w:r>
          </w:p>
        </w:tc>
      </w:tr>
      <w:tr w:rsidR="00793D97" w:rsidRPr="00793D97">
        <w:trPr>
          <w:trHeight w:val="315"/>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电网项目</w:t>
            </w: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特高压工程</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kern w:val="0"/>
                <w:sz w:val="24"/>
              </w:rPr>
            </w:pPr>
            <w:r w:rsidRPr="00793D97">
              <w:rPr>
                <w:kern w:val="0"/>
                <w:sz w:val="24"/>
              </w:rPr>
              <w:t>±800</w:t>
            </w:r>
            <w:r w:rsidRPr="00793D97">
              <w:rPr>
                <w:rFonts w:ascii="宋体" w:hAnsi="宋体" w:hint="eastAsia"/>
                <w:kern w:val="0"/>
                <w:sz w:val="24"/>
              </w:rPr>
              <w:t>千伏直流吉林省境内工程</w:t>
            </w:r>
          </w:p>
        </w:tc>
      </w:tr>
      <w:tr w:rsidR="00793D97" w:rsidRPr="00793D97">
        <w:trPr>
          <w:trHeight w:val="1245"/>
        </w:trPr>
        <w:tc>
          <w:tcPr>
            <w:tcW w:w="1180" w:type="dxa"/>
            <w:vMerge/>
            <w:tcBorders>
              <w:top w:val="nil"/>
              <w:left w:val="single" w:sz="4" w:space="0" w:color="auto"/>
              <w:bottom w:val="single" w:sz="4" w:space="0" w:color="auto"/>
              <w:right w:val="single" w:sz="4" w:space="0" w:color="auto"/>
            </w:tcBorders>
            <w:vAlign w:val="center"/>
          </w:tcPr>
          <w:p w:rsidR="00793D97" w:rsidRPr="00793D97" w:rsidRDefault="00793D97" w:rsidP="00793D97">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kern w:val="0"/>
                <w:sz w:val="24"/>
              </w:rPr>
            </w:pPr>
            <w:r w:rsidRPr="00793D97">
              <w:rPr>
                <w:kern w:val="0"/>
                <w:sz w:val="24"/>
              </w:rPr>
              <w:t>500</w:t>
            </w:r>
            <w:r w:rsidRPr="00793D97">
              <w:rPr>
                <w:rFonts w:ascii="宋体" w:hAnsi="宋体" w:hint="eastAsia"/>
                <w:kern w:val="0"/>
                <w:sz w:val="24"/>
              </w:rPr>
              <w:t>千伏工程</w:t>
            </w:r>
          </w:p>
        </w:tc>
        <w:tc>
          <w:tcPr>
            <w:tcW w:w="5640" w:type="dxa"/>
            <w:tcBorders>
              <w:top w:val="nil"/>
              <w:left w:val="nil"/>
              <w:bottom w:val="single" w:sz="4" w:space="0" w:color="auto"/>
              <w:right w:val="single" w:sz="4" w:space="0" w:color="auto"/>
            </w:tcBorders>
            <w:shd w:val="clear" w:color="auto" w:fill="auto"/>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平包东二回线、长春南、吉林东、延吉、珲春电厂三期送出输变电工程、乌兰浩特至白城、德惠、吉林南、长岭等</w:t>
            </w:r>
            <w:r w:rsidRPr="00793D97">
              <w:rPr>
                <w:kern w:val="0"/>
                <w:sz w:val="24"/>
              </w:rPr>
              <w:t>500</w:t>
            </w:r>
            <w:r w:rsidRPr="00793D97">
              <w:rPr>
                <w:rFonts w:ascii="宋体" w:hAnsi="宋体" w:cs="宋体" w:hint="eastAsia"/>
                <w:kern w:val="0"/>
                <w:sz w:val="24"/>
              </w:rPr>
              <w:t>千伏输变电工程，中部</w:t>
            </w:r>
            <w:r w:rsidRPr="00793D97">
              <w:rPr>
                <w:kern w:val="0"/>
                <w:sz w:val="24"/>
              </w:rPr>
              <w:t>500</w:t>
            </w:r>
            <w:r w:rsidRPr="00793D97">
              <w:rPr>
                <w:rFonts w:ascii="宋体" w:hAnsi="宋体" w:cs="宋体" w:hint="eastAsia"/>
                <w:kern w:val="0"/>
                <w:sz w:val="24"/>
              </w:rPr>
              <w:t>千伏电网完善工程，通榆、向阳</w:t>
            </w:r>
            <w:r w:rsidRPr="00793D97">
              <w:rPr>
                <w:kern w:val="0"/>
                <w:sz w:val="24"/>
              </w:rPr>
              <w:t>500</w:t>
            </w:r>
            <w:r w:rsidRPr="00793D97">
              <w:rPr>
                <w:rFonts w:ascii="宋体" w:hAnsi="宋体" w:cs="宋体" w:hint="eastAsia"/>
                <w:kern w:val="0"/>
                <w:sz w:val="24"/>
              </w:rPr>
              <w:t>千伏输变电工程</w:t>
            </w:r>
          </w:p>
        </w:tc>
      </w:tr>
      <w:tr w:rsidR="00793D97" w:rsidRPr="00793D97">
        <w:trPr>
          <w:trHeight w:val="330"/>
        </w:trPr>
        <w:tc>
          <w:tcPr>
            <w:tcW w:w="1180" w:type="dxa"/>
            <w:vMerge/>
            <w:tcBorders>
              <w:top w:val="nil"/>
              <w:left w:val="single" w:sz="4" w:space="0" w:color="auto"/>
              <w:bottom w:val="single" w:sz="4" w:space="0" w:color="auto"/>
              <w:right w:val="single" w:sz="4" w:space="0" w:color="auto"/>
            </w:tcBorders>
            <w:vAlign w:val="center"/>
          </w:tcPr>
          <w:p w:rsidR="00793D97" w:rsidRPr="00793D97" w:rsidRDefault="00793D97" w:rsidP="00793D97">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kern w:val="0"/>
                <w:sz w:val="24"/>
              </w:rPr>
            </w:pPr>
            <w:r w:rsidRPr="00793D97">
              <w:rPr>
                <w:kern w:val="0"/>
                <w:sz w:val="24"/>
              </w:rPr>
              <w:t>220</w:t>
            </w:r>
            <w:r w:rsidRPr="00793D97">
              <w:rPr>
                <w:rFonts w:ascii="宋体" w:hAnsi="宋体" w:hint="eastAsia"/>
                <w:kern w:val="0"/>
                <w:sz w:val="24"/>
              </w:rPr>
              <w:t>千伏工程</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共计</w:t>
            </w:r>
            <w:r w:rsidRPr="00793D97">
              <w:rPr>
                <w:kern w:val="0"/>
                <w:sz w:val="24"/>
              </w:rPr>
              <w:t>686</w:t>
            </w:r>
            <w:r w:rsidRPr="00793D97">
              <w:rPr>
                <w:rFonts w:ascii="宋体" w:hAnsi="宋体" w:cs="宋体" w:hint="eastAsia"/>
                <w:kern w:val="0"/>
                <w:sz w:val="24"/>
              </w:rPr>
              <w:t>万千伏安，</w:t>
            </w:r>
            <w:smartTag w:uri="urn:schemas-microsoft-com:office:smarttags" w:element="chmetcnv">
              <w:smartTagPr>
                <w:attr w:name="TCSC" w:val="0"/>
                <w:attr w:name="NumberType" w:val="1"/>
                <w:attr w:name="Negative" w:val="False"/>
                <w:attr w:name="HasSpace" w:val="False"/>
                <w:attr w:name="SourceValue" w:val="2502"/>
                <w:attr w:name="UnitName" w:val="公里"/>
              </w:smartTagPr>
              <w:r w:rsidRPr="00793D97">
                <w:rPr>
                  <w:kern w:val="0"/>
                  <w:sz w:val="24"/>
                </w:rPr>
                <w:t>2502</w:t>
              </w:r>
              <w:r w:rsidRPr="00793D97">
                <w:rPr>
                  <w:rFonts w:ascii="宋体" w:hAnsi="宋体" w:cs="宋体" w:hint="eastAsia"/>
                  <w:kern w:val="0"/>
                  <w:sz w:val="24"/>
                </w:rPr>
                <w:t>公里</w:t>
              </w:r>
            </w:smartTag>
          </w:p>
        </w:tc>
      </w:tr>
      <w:tr w:rsidR="00793D97" w:rsidRPr="00793D97">
        <w:trPr>
          <w:trHeight w:val="330"/>
        </w:trPr>
        <w:tc>
          <w:tcPr>
            <w:tcW w:w="1180" w:type="dxa"/>
            <w:vMerge/>
            <w:tcBorders>
              <w:top w:val="nil"/>
              <w:left w:val="single" w:sz="4" w:space="0" w:color="auto"/>
              <w:bottom w:val="single" w:sz="4" w:space="0" w:color="auto"/>
              <w:right w:val="single" w:sz="4" w:space="0" w:color="auto"/>
            </w:tcBorders>
            <w:vAlign w:val="center"/>
          </w:tcPr>
          <w:p w:rsidR="00793D97" w:rsidRPr="00793D97" w:rsidRDefault="00793D97" w:rsidP="00793D97">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kern w:val="0"/>
                <w:sz w:val="24"/>
              </w:rPr>
            </w:pPr>
            <w:r w:rsidRPr="00793D97">
              <w:rPr>
                <w:kern w:val="0"/>
                <w:sz w:val="24"/>
              </w:rPr>
              <w:t>66</w:t>
            </w:r>
            <w:r w:rsidRPr="00793D97">
              <w:rPr>
                <w:rFonts w:ascii="宋体" w:hAnsi="宋体" w:hint="eastAsia"/>
                <w:kern w:val="0"/>
                <w:sz w:val="24"/>
              </w:rPr>
              <w:t>千伏及以下</w:t>
            </w:r>
          </w:p>
        </w:tc>
        <w:tc>
          <w:tcPr>
            <w:tcW w:w="564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共计</w:t>
            </w:r>
            <w:r w:rsidRPr="00793D97">
              <w:rPr>
                <w:kern w:val="0"/>
                <w:sz w:val="24"/>
              </w:rPr>
              <w:t>845</w:t>
            </w:r>
            <w:r w:rsidRPr="00793D97">
              <w:rPr>
                <w:rFonts w:ascii="宋体" w:hAnsi="宋体" w:cs="宋体" w:hint="eastAsia"/>
                <w:kern w:val="0"/>
                <w:sz w:val="24"/>
              </w:rPr>
              <w:t>万千伏安，</w:t>
            </w:r>
            <w:smartTag w:uri="urn:schemas-microsoft-com:office:smarttags" w:element="chmetcnv">
              <w:smartTagPr>
                <w:attr w:name="TCSC" w:val="0"/>
                <w:attr w:name="NumberType" w:val="1"/>
                <w:attr w:name="Negative" w:val="False"/>
                <w:attr w:name="HasSpace" w:val="False"/>
                <w:attr w:name="SourceValue" w:val="43524"/>
                <w:attr w:name="UnitName" w:val="公里"/>
              </w:smartTagPr>
              <w:r w:rsidRPr="00793D97">
                <w:rPr>
                  <w:kern w:val="0"/>
                  <w:sz w:val="24"/>
                </w:rPr>
                <w:t>43524</w:t>
              </w:r>
              <w:r w:rsidRPr="00793D97">
                <w:rPr>
                  <w:rFonts w:ascii="宋体" w:hAnsi="宋体" w:cs="宋体" w:hint="eastAsia"/>
                  <w:kern w:val="0"/>
                  <w:sz w:val="24"/>
                </w:rPr>
                <w:t>公里</w:t>
              </w:r>
            </w:smartTag>
          </w:p>
        </w:tc>
      </w:tr>
    </w:tbl>
    <w:p w:rsidR="00EF54E3" w:rsidRPr="00931F66" w:rsidRDefault="00EF54E3" w:rsidP="00931F66">
      <w:pPr>
        <w:snapToGrid w:val="0"/>
        <w:spacing w:line="384" w:lineRule="auto"/>
        <w:ind w:firstLineChars="200" w:firstLine="600"/>
        <w:rPr>
          <w:rFonts w:ascii="楷体_GB2312" w:eastAsia="楷体_GB2312" w:hint="eastAsia"/>
          <w:sz w:val="30"/>
          <w:szCs w:val="30"/>
        </w:rPr>
      </w:pPr>
      <w:r w:rsidRPr="00931F66">
        <w:rPr>
          <w:rFonts w:ascii="楷体_GB2312" w:eastAsia="楷体_GB2312" w:hint="eastAsia"/>
          <w:sz w:val="30"/>
          <w:szCs w:val="30"/>
        </w:rPr>
        <w:t>4</w:t>
      </w:r>
      <w:r w:rsidR="005F65C8" w:rsidRPr="00931F66">
        <w:rPr>
          <w:rFonts w:ascii="仿宋_GB2312" w:eastAsia="仿宋_GB2312" w:hint="eastAsia"/>
          <w:sz w:val="30"/>
          <w:szCs w:val="30"/>
        </w:rPr>
        <w:t>．</w:t>
      </w:r>
      <w:r w:rsidRPr="00931F66">
        <w:rPr>
          <w:rFonts w:ascii="楷体_GB2312" w:eastAsia="楷体_GB2312" w:hint="eastAsia"/>
          <w:sz w:val="30"/>
          <w:szCs w:val="30"/>
        </w:rPr>
        <w:t>加强石油天然气供给能力建设。</w:t>
      </w:r>
    </w:p>
    <w:p w:rsidR="00EF54E3" w:rsidRPr="00931F66" w:rsidRDefault="00EF54E3" w:rsidP="00931F66">
      <w:pPr>
        <w:snapToGrid w:val="0"/>
        <w:spacing w:line="384" w:lineRule="auto"/>
        <w:rPr>
          <w:rFonts w:ascii="仿宋_GB2312" w:eastAsia="仿宋_GB2312" w:hint="eastAsia"/>
          <w:sz w:val="30"/>
          <w:szCs w:val="30"/>
        </w:rPr>
      </w:pPr>
      <w:r w:rsidRPr="00931F66">
        <w:rPr>
          <w:rFonts w:ascii="仿宋_GB2312" w:eastAsia="仿宋_GB2312" w:hint="eastAsia"/>
          <w:sz w:val="30"/>
          <w:szCs w:val="30"/>
        </w:rPr>
        <w:t xml:space="preserve">　　加强石油天然气勘探开发，推进油气并举增储上产和 “气化吉林”惠民工程。大力推进千万吨油气田、千万吨炼油结构调整和百万吨页岩油工程建设，建设一批下游配套工程，延伸产业链条。加快推进原油、成品油输油管线建设。推进庆铁线林源－新庙、垂杨－铁岭和庆铁四线吉林省境内段原油输油管线工程建设；加快推进吉林－长春－四平及长春机场航煤支线成品油输油管线建设；加快推进实施“气化吉林”惠民工程，推进沈阳－长春－哈尔滨输气管线在吉林省境内管段的建设，四平－辽源－通化－白山、松原－白城、吉林－延吉输气干线建设；建设长春高压外环、前大－松原、后五家子－四平等支线输气管网。到2015年，本省生产天然气47亿立方米；由中国石油陕－京－沈－长－哈主干线分配给吉林40亿立方米。此外，内蒙煤制气争取2015年形成20－40亿立方米供气能力，作为备用气源。全省</w:t>
      </w:r>
      <w:r w:rsidRPr="00931F66">
        <w:rPr>
          <w:rFonts w:ascii="仿宋_GB2312" w:eastAsia="仿宋_GB2312" w:hint="eastAsia"/>
          <w:sz w:val="30"/>
          <w:szCs w:val="30"/>
        </w:rPr>
        <w:lastRenderedPageBreak/>
        <w:t>地级市城际天然气管网与中石油天然气主干网联通，县及县以上城市输气管道覆盖率达到100%，天然气气化率从2010年的16%提高到60%。</w:t>
      </w:r>
    </w:p>
    <w:p w:rsidR="00EF54E3" w:rsidRDefault="00EF54E3" w:rsidP="00931F66">
      <w:pPr>
        <w:snapToGrid w:val="0"/>
        <w:spacing w:line="384" w:lineRule="auto"/>
        <w:ind w:firstLine="645"/>
        <w:rPr>
          <w:rFonts w:ascii="仿宋_GB2312" w:eastAsia="仿宋_GB2312" w:hint="eastAsia"/>
          <w:sz w:val="30"/>
          <w:szCs w:val="30"/>
        </w:rPr>
      </w:pPr>
      <w:r w:rsidRPr="00931F66">
        <w:rPr>
          <w:rFonts w:ascii="仿宋_GB2312" w:eastAsia="仿宋_GB2312" w:hint="eastAsia"/>
          <w:sz w:val="30"/>
          <w:szCs w:val="30"/>
        </w:rPr>
        <w:t>稳步推进油页岩开发和综合利用。支持吉林成大弘晟能源公司、汪清龙腾能源公司油页岩综合利用项目建设，建设农安、前郭、扶余油页岩综合利用项目；积极推进页岩油深加工，着重解决灰渣有效利用问题。</w:t>
      </w:r>
    </w:p>
    <w:p w:rsidR="00931F66" w:rsidRPr="00931F66" w:rsidRDefault="00931F66" w:rsidP="00931F66">
      <w:pPr>
        <w:snapToGrid w:val="0"/>
        <w:spacing w:line="384" w:lineRule="auto"/>
        <w:ind w:firstLine="645"/>
        <w:rPr>
          <w:rFonts w:ascii="仿宋_GB2312" w:eastAsia="仿宋_GB2312" w:hint="eastAsia"/>
          <w:sz w:val="30"/>
          <w:szCs w:val="30"/>
        </w:rPr>
      </w:pPr>
    </w:p>
    <w:tbl>
      <w:tblPr>
        <w:tblW w:w="8500" w:type="dxa"/>
        <w:tblInd w:w="93" w:type="dxa"/>
        <w:tblLook w:val="0000"/>
      </w:tblPr>
      <w:tblGrid>
        <w:gridCol w:w="1420"/>
        <w:gridCol w:w="7080"/>
      </w:tblGrid>
      <w:tr w:rsidR="00793D97" w:rsidRPr="00793D97">
        <w:trPr>
          <w:trHeight w:val="420"/>
        </w:trPr>
        <w:tc>
          <w:tcPr>
            <w:tcW w:w="8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楷体_GB2312" w:eastAsia="楷体_GB2312" w:hAnsi="宋体" w:cs="宋体"/>
                <w:kern w:val="0"/>
                <w:sz w:val="28"/>
                <w:szCs w:val="28"/>
              </w:rPr>
            </w:pPr>
            <w:r w:rsidRPr="00793D97">
              <w:rPr>
                <w:rFonts w:ascii="楷体_GB2312" w:eastAsia="楷体_GB2312" w:hAnsi="宋体" w:cs="宋体" w:hint="eastAsia"/>
                <w:kern w:val="0"/>
                <w:sz w:val="28"/>
                <w:szCs w:val="28"/>
              </w:rPr>
              <w:t>专栏7      “十二五”石油天然气工业建设重点</w:t>
            </w:r>
          </w:p>
        </w:tc>
      </w:tr>
      <w:tr w:rsidR="00793D97" w:rsidRPr="00793D97">
        <w:trPr>
          <w:trHeight w:val="452"/>
        </w:trPr>
        <w:tc>
          <w:tcPr>
            <w:tcW w:w="1420" w:type="dxa"/>
            <w:tcBorders>
              <w:top w:val="nil"/>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类</w:t>
            </w:r>
            <w:r w:rsidRPr="00793D97">
              <w:rPr>
                <w:kern w:val="0"/>
                <w:sz w:val="24"/>
              </w:rPr>
              <w:t xml:space="preserve"> </w:t>
            </w:r>
            <w:r w:rsidRPr="00793D97">
              <w:rPr>
                <w:rFonts w:ascii="宋体" w:hAnsi="宋体" w:cs="宋体" w:hint="eastAsia"/>
                <w:kern w:val="0"/>
                <w:sz w:val="24"/>
              </w:rPr>
              <w:t>型</w:t>
            </w:r>
          </w:p>
        </w:tc>
        <w:tc>
          <w:tcPr>
            <w:tcW w:w="708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拟建项目</w:t>
            </w:r>
          </w:p>
        </w:tc>
      </w:tr>
      <w:tr w:rsidR="00793D97" w:rsidRPr="00793D97">
        <w:trPr>
          <w:trHeight w:val="769"/>
        </w:trPr>
        <w:tc>
          <w:tcPr>
            <w:tcW w:w="1420" w:type="dxa"/>
            <w:tcBorders>
              <w:top w:val="nil"/>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油气勘探开发项目</w:t>
            </w:r>
          </w:p>
        </w:tc>
        <w:tc>
          <w:tcPr>
            <w:tcW w:w="708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中石油吉林油田千万吨油气田建设项目；中石化东北油气分公司</w:t>
            </w:r>
            <w:r w:rsidRPr="00793D97">
              <w:rPr>
                <w:kern w:val="0"/>
                <w:sz w:val="24"/>
              </w:rPr>
              <w:t>200</w:t>
            </w:r>
            <w:r w:rsidRPr="00793D97">
              <w:rPr>
                <w:rFonts w:ascii="宋体" w:hAnsi="宋体" w:cs="宋体" w:hint="eastAsia"/>
                <w:kern w:val="0"/>
                <w:sz w:val="24"/>
              </w:rPr>
              <w:t>万吨油气田建设项目。</w:t>
            </w:r>
          </w:p>
        </w:tc>
      </w:tr>
      <w:tr w:rsidR="00793D97" w:rsidRPr="00793D97">
        <w:trPr>
          <w:trHeight w:val="1698"/>
        </w:trPr>
        <w:tc>
          <w:tcPr>
            <w:tcW w:w="1420" w:type="dxa"/>
            <w:tcBorders>
              <w:top w:val="nil"/>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kern w:val="0"/>
                <w:sz w:val="24"/>
              </w:rPr>
            </w:pPr>
            <w:r w:rsidRPr="00793D97">
              <w:rPr>
                <w:kern w:val="0"/>
                <w:sz w:val="24"/>
              </w:rPr>
              <w:t>“</w:t>
            </w:r>
            <w:r w:rsidRPr="00793D97">
              <w:rPr>
                <w:rFonts w:ascii="宋体" w:hAnsi="宋体" w:hint="eastAsia"/>
                <w:kern w:val="0"/>
                <w:sz w:val="24"/>
              </w:rPr>
              <w:t>气化吉林</w:t>
            </w:r>
            <w:r w:rsidRPr="00793D97">
              <w:rPr>
                <w:kern w:val="0"/>
                <w:sz w:val="24"/>
              </w:rPr>
              <w:t>”</w:t>
            </w:r>
            <w:r w:rsidRPr="00793D97">
              <w:rPr>
                <w:rFonts w:ascii="宋体" w:hAnsi="宋体" w:hint="eastAsia"/>
                <w:kern w:val="0"/>
                <w:sz w:val="24"/>
              </w:rPr>
              <w:t>惠民工程</w:t>
            </w:r>
          </w:p>
        </w:tc>
        <w:tc>
          <w:tcPr>
            <w:tcW w:w="708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地级市城际天然气长输主干线</w:t>
            </w:r>
            <w:r w:rsidRPr="00793D97">
              <w:rPr>
                <w:kern w:val="0"/>
                <w:sz w:val="24"/>
              </w:rPr>
              <w:t>(</w:t>
            </w:r>
            <w:smartTag w:uri="urn:schemas-microsoft-com:office:smarttags" w:element="chmetcnv">
              <w:smartTagPr>
                <w:attr w:name="TCSC" w:val="0"/>
                <w:attr w:name="NumberType" w:val="1"/>
                <w:attr w:name="Negative" w:val="False"/>
                <w:attr w:name="HasSpace" w:val="False"/>
                <w:attr w:name="SourceValue" w:val="959"/>
                <w:attr w:name="UnitName" w:val="公里"/>
              </w:smartTagPr>
              <w:r w:rsidRPr="00793D97">
                <w:rPr>
                  <w:kern w:val="0"/>
                  <w:sz w:val="24"/>
                </w:rPr>
                <w:t>959</w:t>
              </w:r>
              <w:r w:rsidRPr="00793D97">
                <w:rPr>
                  <w:rFonts w:ascii="宋体" w:hAnsi="宋体" w:cs="宋体" w:hint="eastAsia"/>
                  <w:kern w:val="0"/>
                  <w:sz w:val="24"/>
                </w:rPr>
                <w:t>公里</w:t>
              </w:r>
            </w:smartTag>
            <w:r w:rsidRPr="00793D97">
              <w:rPr>
                <w:kern w:val="0"/>
                <w:sz w:val="24"/>
              </w:rPr>
              <w:t>)</w:t>
            </w:r>
            <w:r w:rsidRPr="00793D97">
              <w:rPr>
                <w:rFonts w:ascii="宋体" w:hAnsi="宋体" w:cs="宋体" w:hint="eastAsia"/>
                <w:kern w:val="0"/>
                <w:sz w:val="24"/>
              </w:rPr>
              <w:t>及支干线</w:t>
            </w:r>
            <w:r w:rsidRPr="00793D97">
              <w:rPr>
                <w:kern w:val="0"/>
                <w:sz w:val="24"/>
              </w:rPr>
              <w:t>(</w:t>
            </w:r>
            <w:smartTag w:uri="urn:schemas-microsoft-com:office:smarttags" w:element="chmetcnv">
              <w:smartTagPr>
                <w:attr w:name="TCSC" w:val="0"/>
                <w:attr w:name="NumberType" w:val="1"/>
                <w:attr w:name="Negative" w:val="False"/>
                <w:attr w:name="HasSpace" w:val="False"/>
                <w:attr w:name="SourceValue" w:val="306"/>
                <w:attr w:name="UnitName" w:val="公里"/>
              </w:smartTagPr>
              <w:r w:rsidRPr="00793D97">
                <w:rPr>
                  <w:kern w:val="0"/>
                  <w:sz w:val="24"/>
                </w:rPr>
                <w:t>306</w:t>
              </w:r>
              <w:r w:rsidRPr="00793D97">
                <w:rPr>
                  <w:rFonts w:ascii="宋体" w:hAnsi="宋体" w:cs="宋体" w:hint="eastAsia"/>
                  <w:kern w:val="0"/>
                  <w:sz w:val="24"/>
                </w:rPr>
                <w:t>公里</w:t>
              </w:r>
            </w:smartTag>
            <w:r w:rsidRPr="00793D97">
              <w:rPr>
                <w:kern w:val="0"/>
                <w:sz w:val="24"/>
              </w:rPr>
              <w:t>)</w:t>
            </w:r>
            <w:r w:rsidRPr="00793D97">
              <w:rPr>
                <w:rFonts w:ascii="宋体" w:hAnsi="宋体" w:cs="宋体" w:hint="eastAsia"/>
                <w:kern w:val="0"/>
                <w:sz w:val="24"/>
              </w:rPr>
              <w:t>建设；县及县以上城市天然气城区输气管线建设；</w:t>
            </w:r>
            <w:r w:rsidRPr="00793D97">
              <w:rPr>
                <w:kern w:val="0"/>
                <w:sz w:val="24"/>
              </w:rPr>
              <w:t>5</w:t>
            </w:r>
            <w:r w:rsidRPr="00793D97">
              <w:rPr>
                <w:rFonts w:ascii="宋体" w:hAnsi="宋体" w:cs="宋体" w:hint="eastAsia"/>
                <w:kern w:val="0"/>
                <w:sz w:val="24"/>
              </w:rPr>
              <w:t>个天然气接收门站、</w:t>
            </w:r>
            <w:r w:rsidRPr="00793D97">
              <w:rPr>
                <w:kern w:val="0"/>
                <w:sz w:val="24"/>
              </w:rPr>
              <w:t>27</w:t>
            </w:r>
            <w:r w:rsidRPr="00793D97">
              <w:rPr>
                <w:rFonts w:ascii="宋体" w:hAnsi="宋体" w:cs="宋体" w:hint="eastAsia"/>
                <w:kern w:val="0"/>
                <w:sz w:val="24"/>
              </w:rPr>
              <w:t>座天然气分输站、</w:t>
            </w:r>
            <w:r w:rsidRPr="00793D97">
              <w:rPr>
                <w:kern w:val="0"/>
                <w:sz w:val="24"/>
              </w:rPr>
              <w:t>9</w:t>
            </w:r>
            <w:r w:rsidRPr="00793D97">
              <w:rPr>
                <w:rFonts w:ascii="宋体" w:hAnsi="宋体" w:cs="宋体" w:hint="eastAsia"/>
                <w:kern w:val="0"/>
                <w:sz w:val="24"/>
              </w:rPr>
              <w:t>座</w:t>
            </w:r>
            <w:r w:rsidRPr="00793D97">
              <w:rPr>
                <w:kern w:val="0"/>
                <w:sz w:val="24"/>
              </w:rPr>
              <w:t>CNG</w:t>
            </w:r>
            <w:r w:rsidRPr="00793D97">
              <w:rPr>
                <w:rFonts w:ascii="宋体" w:hAnsi="宋体" w:cs="宋体" w:hint="eastAsia"/>
                <w:kern w:val="0"/>
                <w:sz w:val="24"/>
              </w:rPr>
              <w:t>加气母站和</w:t>
            </w:r>
            <w:r w:rsidRPr="00793D97">
              <w:rPr>
                <w:kern w:val="0"/>
                <w:sz w:val="24"/>
              </w:rPr>
              <w:t>4</w:t>
            </w:r>
            <w:r w:rsidRPr="00793D97">
              <w:rPr>
                <w:rFonts w:ascii="宋体" w:hAnsi="宋体" w:cs="宋体" w:hint="eastAsia"/>
                <w:kern w:val="0"/>
                <w:sz w:val="24"/>
              </w:rPr>
              <w:t>座</w:t>
            </w:r>
            <w:r w:rsidRPr="00793D97">
              <w:rPr>
                <w:kern w:val="0"/>
                <w:sz w:val="24"/>
              </w:rPr>
              <w:t>CNG/LNG</w:t>
            </w:r>
            <w:r w:rsidRPr="00793D97">
              <w:rPr>
                <w:rFonts w:ascii="宋体" w:hAnsi="宋体" w:cs="宋体" w:hint="eastAsia"/>
                <w:kern w:val="0"/>
                <w:sz w:val="24"/>
              </w:rPr>
              <w:t>合建站；天然气调峰储气库；天然气分布式能源、调峰电站；吉化公司合成氨</w:t>
            </w:r>
            <w:r w:rsidRPr="00793D97">
              <w:rPr>
                <w:kern w:val="0"/>
                <w:sz w:val="24"/>
              </w:rPr>
              <w:t>/</w:t>
            </w:r>
            <w:r w:rsidRPr="00793D97">
              <w:rPr>
                <w:rFonts w:ascii="宋体" w:hAnsi="宋体" w:cs="宋体" w:hint="eastAsia"/>
                <w:kern w:val="0"/>
                <w:sz w:val="24"/>
              </w:rPr>
              <w:t>合成气装置油改气项目等。</w:t>
            </w:r>
          </w:p>
        </w:tc>
      </w:tr>
      <w:tr w:rsidR="00793D97" w:rsidRPr="00793D97">
        <w:trPr>
          <w:trHeight w:val="772"/>
        </w:trPr>
        <w:tc>
          <w:tcPr>
            <w:tcW w:w="1420" w:type="dxa"/>
            <w:tcBorders>
              <w:top w:val="nil"/>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炼油结构调整项目</w:t>
            </w:r>
          </w:p>
        </w:tc>
        <w:tc>
          <w:tcPr>
            <w:tcW w:w="708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吉林石化公司</w:t>
            </w:r>
            <w:r w:rsidRPr="00793D97">
              <w:rPr>
                <w:kern w:val="0"/>
                <w:sz w:val="24"/>
              </w:rPr>
              <w:t>1500</w:t>
            </w:r>
            <w:r w:rsidRPr="00793D97">
              <w:rPr>
                <w:rFonts w:ascii="宋体" w:hAnsi="宋体" w:cs="宋体" w:hint="eastAsia"/>
                <w:kern w:val="0"/>
                <w:sz w:val="24"/>
              </w:rPr>
              <w:t>万吨</w:t>
            </w:r>
            <w:r w:rsidRPr="00793D97">
              <w:rPr>
                <w:kern w:val="0"/>
                <w:sz w:val="24"/>
              </w:rPr>
              <w:t>/</w:t>
            </w:r>
            <w:r w:rsidRPr="00793D97">
              <w:rPr>
                <w:rFonts w:ascii="宋体" w:hAnsi="宋体" w:cs="宋体" w:hint="eastAsia"/>
                <w:kern w:val="0"/>
                <w:sz w:val="24"/>
              </w:rPr>
              <w:t>年炼油结构调整技术改造项目。</w:t>
            </w:r>
          </w:p>
        </w:tc>
      </w:tr>
      <w:tr w:rsidR="00793D97" w:rsidRPr="00793D97">
        <w:trPr>
          <w:trHeight w:val="1080"/>
        </w:trPr>
        <w:tc>
          <w:tcPr>
            <w:tcW w:w="1420" w:type="dxa"/>
            <w:tcBorders>
              <w:top w:val="nil"/>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石油输送和应急储备建设项目</w:t>
            </w:r>
          </w:p>
        </w:tc>
        <w:tc>
          <w:tcPr>
            <w:tcW w:w="708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中石油东部原油输送主干线吉林省境内段工程项目；成品油管道吉林</w:t>
            </w:r>
            <w:r w:rsidRPr="00793D97">
              <w:rPr>
                <w:kern w:val="0"/>
                <w:sz w:val="24"/>
              </w:rPr>
              <w:t>-</w:t>
            </w:r>
            <w:r w:rsidRPr="00793D97">
              <w:rPr>
                <w:rFonts w:ascii="宋体" w:hAnsi="宋体" w:cs="宋体" w:hint="eastAsia"/>
                <w:kern w:val="0"/>
                <w:sz w:val="24"/>
              </w:rPr>
              <w:t>长春</w:t>
            </w:r>
            <w:r w:rsidRPr="00793D97">
              <w:rPr>
                <w:kern w:val="0"/>
                <w:sz w:val="24"/>
              </w:rPr>
              <w:t>-</w:t>
            </w:r>
            <w:r w:rsidRPr="00793D97">
              <w:rPr>
                <w:rFonts w:ascii="宋体" w:hAnsi="宋体" w:cs="宋体" w:hint="eastAsia"/>
                <w:kern w:val="0"/>
                <w:sz w:val="24"/>
              </w:rPr>
              <w:t>四平主线及长春机场航煤支线、成品油库建设项目；国家石油战略储备库工程项目。</w:t>
            </w:r>
          </w:p>
        </w:tc>
      </w:tr>
      <w:tr w:rsidR="00793D97" w:rsidRPr="00793D97">
        <w:trPr>
          <w:trHeight w:val="755"/>
        </w:trPr>
        <w:tc>
          <w:tcPr>
            <w:tcW w:w="1420" w:type="dxa"/>
            <w:tcBorders>
              <w:top w:val="nil"/>
              <w:left w:val="single" w:sz="4" w:space="0" w:color="auto"/>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油页岩建设项目</w:t>
            </w:r>
          </w:p>
        </w:tc>
        <w:tc>
          <w:tcPr>
            <w:tcW w:w="7080" w:type="dxa"/>
            <w:tcBorders>
              <w:top w:val="nil"/>
              <w:left w:val="nil"/>
              <w:bottom w:val="single" w:sz="4" w:space="0" w:color="auto"/>
              <w:right w:val="single" w:sz="4" w:space="0" w:color="auto"/>
            </w:tcBorders>
            <w:shd w:val="clear" w:color="auto" w:fill="auto"/>
            <w:vAlign w:val="center"/>
          </w:tcPr>
          <w:p w:rsidR="00793D97" w:rsidRPr="00793D97" w:rsidRDefault="00793D97" w:rsidP="00793D97">
            <w:pPr>
              <w:widowControl/>
              <w:rPr>
                <w:rFonts w:ascii="宋体" w:hAnsi="宋体" w:cs="宋体"/>
                <w:kern w:val="0"/>
                <w:sz w:val="24"/>
              </w:rPr>
            </w:pPr>
            <w:r w:rsidRPr="00793D97">
              <w:rPr>
                <w:rFonts w:ascii="宋体" w:hAnsi="宋体" w:cs="宋体" w:hint="eastAsia"/>
                <w:kern w:val="0"/>
                <w:sz w:val="24"/>
              </w:rPr>
              <w:t>桦甸、汪清、农安、扶余、前郭等油页岩开发综合利用项目。</w:t>
            </w:r>
          </w:p>
        </w:tc>
      </w:tr>
    </w:tbl>
    <w:p w:rsidR="0013334E" w:rsidRDefault="0013334E" w:rsidP="0013334E">
      <w:pPr>
        <w:snapToGrid w:val="0"/>
        <w:spacing w:line="391" w:lineRule="auto"/>
        <w:ind w:firstLineChars="200" w:firstLine="600"/>
        <w:rPr>
          <w:rFonts w:ascii="楷体_GB2312" w:eastAsia="楷体_GB2312" w:hint="eastAsia"/>
          <w:sz w:val="30"/>
          <w:szCs w:val="30"/>
        </w:rPr>
      </w:pPr>
    </w:p>
    <w:p w:rsidR="00EF54E3" w:rsidRPr="00931F66" w:rsidRDefault="00EF54E3" w:rsidP="0013334E">
      <w:pPr>
        <w:snapToGrid w:val="0"/>
        <w:spacing w:line="391" w:lineRule="auto"/>
        <w:ind w:firstLineChars="200" w:firstLine="600"/>
        <w:rPr>
          <w:rFonts w:ascii="楷体_GB2312" w:eastAsia="楷体_GB2312" w:hint="eastAsia"/>
          <w:sz w:val="30"/>
          <w:szCs w:val="30"/>
        </w:rPr>
      </w:pPr>
      <w:r w:rsidRPr="00931F66">
        <w:rPr>
          <w:rFonts w:ascii="楷体_GB2312" w:eastAsia="楷体_GB2312" w:hint="eastAsia"/>
          <w:sz w:val="30"/>
          <w:szCs w:val="30"/>
        </w:rPr>
        <w:lastRenderedPageBreak/>
        <w:t>5</w:t>
      </w:r>
      <w:r w:rsidR="005F65C8" w:rsidRPr="00931F66">
        <w:rPr>
          <w:rFonts w:ascii="仿宋_GB2312" w:eastAsia="仿宋_GB2312" w:hint="eastAsia"/>
          <w:sz w:val="30"/>
          <w:szCs w:val="30"/>
        </w:rPr>
        <w:t>．</w:t>
      </w:r>
      <w:r w:rsidRPr="00931F66">
        <w:rPr>
          <w:rFonts w:ascii="楷体_GB2312" w:eastAsia="楷体_GB2312" w:hint="eastAsia"/>
          <w:sz w:val="30"/>
          <w:szCs w:val="30"/>
        </w:rPr>
        <w:t>大力发展新能源和可再生能源。</w:t>
      </w:r>
    </w:p>
    <w:p w:rsidR="00EF54E3" w:rsidRPr="00931F66" w:rsidRDefault="00EF54E3" w:rsidP="0013334E">
      <w:pPr>
        <w:snapToGrid w:val="0"/>
        <w:spacing w:line="391" w:lineRule="auto"/>
        <w:ind w:firstLine="645"/>
        <w:rPr>
          <w:rFonts w:ascii="仿宋_GB2312" w:eastAsia="仿宋_GB2312" w:hint="eastAsia"/>
          <w:sz w:val="30"/>
          <w:szCs w:val="30"/>
        </w:rPr>
      </w:pPr>
      <w:r w:rsidRPr="00931F66">
        <w:rPr>
          <w:rFonts w:ascii="仿宋_GB2312" w:eastAsia="仿宋_GB2312" w:hint="eastAsia"/>
          <w:sz w:val="30"/>
          <w:szCs w:val="30"/>
        </w:rPr>
        <w:t>重点建设千万千瓦风电基地和生物质能源化利用工程；稳步推进太阳能、地热能开发利用；鼓励发展风电、光电、储能技术攻关和项目建设。积极有序开发风电，重点推进西部通榆、长岭等5个百万千瓦级风电基地建设，大力加强配套电网建设，扩大风电消纳和外送能力，到2015年，全省风电规划装机达到1458万千瓦。加强生物质能的综合开发利用，重点打造蛟河、农安等生物质能循环经济产业园，推进农林生物质发电、固化、气化、液化项目建设，到2015年，生物质发电装机达到94.05万千瓦；生物质气体、液体、固体颗粒燃料分别达到10亿立方米、85万吨和234万吨。在西部地区适度建设地面光伏并网电站，重点建设与既有建筑结合的用户侧光伏发电项目，促进太阳能热利用的实施推广。继续开发白山、延边等小水电基地的水电资源。积极开发地热资源，支持“暖房子”工程建设，逐步扩大地源热泵供热制冷面积。重点打造农安、公主岭等国家绿色能源示范县。积极开展分布式农村小型可再生能源设施示范建设。</w:t>
      </w:r>
    </w:p>
    <w:tbl>
      <w:tblPr>
        <w:tblW w:w="8440" w:type="dxa"/>
        <w:tblInd w:w="93" w:type="dxa"/>
        <w:tblLook w:val="0000"/>
      </w:tblPr>
      <w:tblGrid>
        <w:gridCol w:w="1240"/>
        <w:gridCol w:w="7200"/>
      </w:tblGrid>
      <w:tr w:rsidR="00622B98" w:rsidRPr="00622B98">
        <w:trPr>
          <w:trHeight w:val="780"/>
        </w:trPr>
        <w:tc>
          <w:tcPr>
            <w:tcW w:w="8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楷体_GB2312" w:eastAsia="楷体_GB2312" w:hAnsi="宋体" w:cs="宋体"/>
                <w:kern w:val="0"/>
                <w:sz w:val="28"/>
                <w:szCs w:val="28"/>
              </w:rPr>
            </w:pPr>
            <w:r w:rsidRPr="00622B98">
              <w:rPr>
                <w:rFonts w:ascii="楷体_GB2312" w:eastAsia="楷体_GB2312" w:hAnsi="宋体" w:cs="宋体" w:hint="eastAsia"/>
                <w:kern w:val="0"/>
                <w:sz w:val="28"/>
                <w:szCs w:val="28"/>
              </w:rPr>
              <w:lastRenderedPageBreak/>
              <w:t>专栏8    “十二五”新能源和可再生能源建设重点</w:t>
            </w:r>
          </w:p>
        </w:tc>
      </w:tr>
      <w:tr w:rsidR="00622B98" w:rsidRPr="00622B98">
        <w:trPr>
          <w:trHeight w:val="401"/>
        </w:trPr>
        <w:tc>
          <w:tcPr>
            <w:tcW w:w="124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类</w:t>
            </w:r>
            <w:r w:rsidRPr="00622B98">
              <w:rPr>
                <w:kern w:val="0"/>
                <w:sz w:val="24"/>
              </w:rPr>
              <w:t xml:space="preserve"> </w:t>
            </w:r>
            <w:r w:rsidRPr="00622B98">
              <w:rPr>
                <w:rFonts w:ascii="宋体" w:hAnsi="宋体" w:cs="宋体" w:hint="eastAsia"/>
                <w:kern w:val="0"/>
                <w:sz w:val="24"/>
              </w:rPr>
              <w:t>型</w:t>
            </w:r>
          </w:p>
        </w:tc>
        <w:tc>
          <w:tcPr>
            <w:tcW w:w="720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拟建项目</w:t>
            </w:r>
          </w:p>
        </w:tc>
      </w:tr>
      <w:tr w:rsidR="00622B98" w:rsidRPr="00622B98">
        <w:trPr>
          <w:trHeight w:val="1086"/>
        </w:trPr>
        <w:tc>
          <w:tcPr>
            <w:tcW w:w="124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风</w:t>
            </w:r>
            <w:r w:rsidRPr="00622B98">
              <w:rPr>
                <w:kern w:val="0"/>
                <w:sz w:val="24"/>
              </w:rPr>
              <w:t xml:space="preserve"> </w:t>
            </w:r>
            <w:r w:rsidRPr="00622B98">
              <w:rPr>
                <w:rFonts w:ascii="宋体" w:hAnsi="宋体" w:cs="宋体" w:hint="eastAsia"/>
                <w:kern w:val="0"/>
                <w:sz w:val="24"/>
              </w:rPr>
              <w:t>电</w:t>
            </w:r>
          </w:p>
        </w:tc>
        <w:tc>
          <w:tcPr>
            <w:tcW w:w="720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通榆、洮南、长岭、大安、四平等百万千瓦级风电基地，安白风电景观带项目，山门、那木斯、莲花山、腾字乡、三井子等风电场建设项目</w:t>
            </w:r>
          </w:p>
        </w:tc>
      </w:tr>
      <w:tr w:rsidR="00622B98" w:rsidRPr="00622B98">
        <w:trPr>
          <w:trHeight w:val="1071"/>
        </w:trPr>
        <w:tc>
          <w:tcPr>
            <w:tcW w:w="124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小水电</w:t>
            </w:r>
          </w:p>
        </w:tc>
        <w:tc>
          <w:tcPr>
            <w:tcW w:w="720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桦甸、磐石市辉发河、临江市鸭绿江水系支流、靖宇县头道松花江等、抚松县头道松花江等、集安鸭绿江、浑江等、敦化市牡丹江等、安图县二道松花江、长白县锦江流域</w:t>
            </w:r>
          </w:p>
        </w:tc>
      </w:tr>
      <w:tr w:rsidR="00622B98" w:rsidRPr="00622B98">
        <w:trPr>
          <w:trHeight w:val="1397"/>
        </w:trPr>
        <w:tc>
          <w:tcPr>
            <w:tcW w:w="124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生物质能</w:t>
            </w:r>
          </w:p>
        </w:tc>
        <w:tc>
          <w:tcPr>
            <w:tcW w:w="720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长春、四平、松原、白城等秸秆、林业生物质颗粒燃料项目、秸秆气化供热或供燃气项目、沼气工程及发电项目，长春、吉林、四平、白城、延边等农林生物质发电项目，松原、白城等农林生物质液体燃料项目</w:t>
            </w:r>
            <w:r w:rsidRPr="00622B98">
              <w:rPr>
                <w:kern w:val="0"/>
                <w:sz w:val="24"/>
              </w:rPr>
              <w:t>,8</w:t>
            </w:r>
            <w:r w:rsidRPr="00622B98">
              <w:rPr>
                <w:rFonts w:ascii="宋体" w:hAnsi="宋体" w:cs="宋体" w:hint="eastAsia"/>
                <w:kern w:val="0"/>
                <w:sz w:val="24"/>
              </w:rPr>
              <w:t>个地级市、延吉市垃圾能源化处理项目</w:t>
            </w:r>
          </w:p>
        </w:tc>
      </w:tr>
      <w:tr w:rsidR="00622B98" w:rsidRPr="00622B98">
        <w:trPr>
          <w:trHeight w:val="453"/>
        </w:trPr>
        <w:tc>
          <w:tcPr>
            <w:tcW w:w="124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太阳能</w:t>
            </w:r>
          </w:p>
        </w:tc>
        <w:tc>
          <w:tcPr>
            <w:tcW w:w="720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洮南、双辽、大安等新能源光伏发电项目</w:t>
            </w:r>
          </w:p>
        </w:tc>
      </w:tr>
      <w:tr w:rsidR="00622B98" w:rsidRPr="00622B98">
        <w:trPr>
          <w:trHeight w:val="459"/>
        </w:trPr>
        <w:tc>
          <w:tcPr>
            <w:tcW w:w="124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地热能</w:t>
            </w:r>
          </w:p>
        </w:tc>
        <w:tc>
          <w:tcPr>
            <w:tcW w:w="720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地源热泵供热项目</w:t>
            </w:r>
          </w:p>
        </w:tc>
      </w:tr>
    </w:tbl>
    <w:p w:rsidR="0013334E" w:rsidRDefault="0013334E" w:rsidP="0013334E">
      <w:pPr>
        <w:snapToGrid w:val="0"/>
        <w:spacing w:line="391" w:lineRule="auto"/>
        <w:rPr>
          <w:rFonts w:ascii="楷体_GB2312" w:eastAsia="楷体_GB2312" w:hint="eastAsia"/>
          <w:sz w:val="30"/>
          <w:szCs w:val="30"/>
        </w:rPr>
      </w:pPr>
    </w:p>
    <w:p w:rsidR="00EF54E3" w:rsidRPr="00931F66" w:rsidRDefault="00EF54E3" w:rsidP="0013334E">
      <w:pPr>
        <w:snapToGrid w:val="0"/>
        <w:spacing w:line="391" w:lineRule="auto"/>
        <w:rPr>
          <w:rFonts w:ascii="楷体_GB2312" w:eastAsia="楷体_GB2312" w:hint="eastAsia"/>
          <w:sz w:val="30"/>
          <w:szCs w:val="30"/>
        </w:rPr>
      </w:pPr>
      <w:r w:rsidRPr="00931F66">
        <w:rPr>
          <w:rFonts w:ascii="楷体_GB2312" w:eastAsia="楷体_GB2312" w:hint="eastAsia"/>
          <w:sz w:val="30"/>
          <w:szCs w:val="30"/>
        </w:rPr>
        <w:t xml:space="preserve">　　6</w:t>
      </w:r>
      <w:r w:rsidR="005F65C8" w:rsidRPr="00931F66">
        <w:rPr>
          <w:rFonts w:ascii="仿宋_GB2312" w:eastAsia="仿宋_GB2312" w:hint="eastAsia"/>
          <w:sz w:val="30"/>
          <w:szCs w:val="30"/>
        </w:rPr>
        <w:t>．</w:t>
      </w:r>
      <w:r w:rsidRPr="00931F66">
        <w:rPr>
          <w:rFonts w:ascii="楷体_GB2312" w:eastAsia="楷体_GB2312" w:hint="eastAsia"/>
          <w:sz w:val="30"/>
          <w:szCs w:val="30"/>
        </w:rPr>
        <w:t>着力推进能源装备制造产业发展。</w:t>
      </w:r>
    </w:p>
    <w:p w:rsidR="00EF54E3" w:rsidRPr="00931F66" w:rsidRDefault="00EF54E3" w:rsidP="0013334E">
      <w:pPr>
        <w:snapToGrid w:val="0"/>
        <w:spacing w:line="391" w:lineRule="auto"/>
        <w:ind w:firstLine="645"/>
        <w:rPr>
          <w:rFonts w:ascii="仿宋_GB2312" w:eastAsia="仿宋_GB2312" w:hint="eastAsia"/>
          <w:sz w:val="30"/>
          <w:szCs w:val="30"/>
        </w:rPr>
      </w:pPr>
      <w:r w:rsidRPr="00931F66">
        <w:rPr>
          <w:rFonts w:ascii="仿宋_GB2312" w:eastAsia="仿宋_GB2312" w:hint="eastAsia"/>
          <w:sz w:val="30"/>
          <w:szCs w:val="30"/>
        </w:rPr>
        <w:t>推进科技进步，培育示范工程，打造装备基地。重点推进风机研发制造工程。加快能源科技装备研发制造平台建设，支持我省能源骨干企业与科研院所、高校合作设立国家级、省级能源研发中心，加快新兴能源装备产业发展。配合全省千万千瓦风电基地建设，重点推进兵装集团长春高新区风、光、电三位一体新能源产业园、国电联合动力长春基地、吉林昊宇等能源装备制造基地建设；重点开发生产非晶硅薄膜电池制造技术成套设备；依托吉林昊宇公司，形成核电高压管件供应生产链；加快推进长春、</w:t>
      </w:r>
      <w:r w:rsidRPr="00931F66">
        <w:rPr>
          <w:rFonts w:ascii="仿宋_GB2312" w:eastAsia="仿宋_GB2312" w:hint="eastAsia"/>
          <w:sz w:val="30"/>
          <w:szCs w:val="30"/>
        </w:rPr>
        <w:lastRenderedPageBreak/>
        <w:t>辽源两市电动车高性能单体动力电池、电池材料的研发及其产业化应用，努力打造以锂离子动力电池为核心部件的高技术产业群。加快提升传统能源装备发展，巩固现有特种变压器优势，发展大容量、高电压电力变压器和高低压开关设备；推动吉林石油装备产品再制造工程；依托辽源煤矿机械有限公司等企业加快开发生产技术先进、具有自主知识产权的煤炭采掘、洗选加工等设备。</w:t>
      </w:r>
    </w:p>
    <w:tbl>
      <w:tblPr>
        <w:tblW w:w="8420" w:type="dxa"/>
        <w:tblInd w:w="93" w:type="dxa"/>
        <w:tblLook w:val="0000"/>
      </w:tblPr>
      <w:tblGrid>
        <w:gridCol w:w="1260"/>
        <w:gridCol w:w="7160"/>
      </w:tblGrid>
      <w:tr w:rsidR="00622B98" w:rsidRPr="00622B98">
        <w:trPr>
          <w:trHeight w:val="525"/>
        </w:trPr>
        <w:tc>
          <w:tcPr>
            <w:tcW w:w="8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楷体_GB2312" w:eastAsia="楷体_GB2312" w:hAnsi="宋体" w:cs="宋体"/>
                <w:kern w:val="0"/>
                <w:sz w:val="24"/>
              </w:rPr>
            </w:pPr>
            <w:r w:rsidRPr="00622B98">
              <w:rPr>
                <w:rFonts w:ascii="楷体_GB2312" w:eastAsia="楷体_GB2312" w:hAnsi="宋体" w:cs="宋体" w:hint="eastAsia"/>
                <w:kern w:val="0"/>
                <w:sz w:val="24"/>
              </w:rPr>
              <w:t>专栏9             “十二五”科技装备重点建设项目</w:t>
            </w:r>
          </w:p>
        </w:tc>
      </w:tr>
      <w:tr w:rsidR="00622B98" w:rsidRPr="00622B98">
        <w:trPr>
          <w:trHeight w:val="479"/>
        </w:trPr>
        <w:tc>
          <w:tcPr>
            <w:tcW w:w="126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类型</w:t>
            </w:r>
          </w:p>
        </w:tc>
        <w:tc>
          <w:tcPr>
            <w:tcW w:w="716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拟建项目</w:t>
            </w:r>
          </w:p>
        </w:tc>
      </w:tr>
      <w:tr w:rsidR="00622B98" w:rsidRPr="00622B98">
        <w:trPr>
          <w:trHeight w:val="2012"/>
        </w:trPr>
        <w:tc>
          <w:tcPr>
            <w:tcW w:w="126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新能源装备</w:t>
            </w:r>
          </w:p>
        </w:tc>
        <w:tc>
          <w:tcPr>
            <w:tcW w:w="716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中国兵装集团长春新能源产业园、国电联合动力长春基地、三一通榆风电产业园、歌美飒大安、华锐白城风机制造基地、辽源锂源高性能锂电池及磷酸亚铁材料，辽源星源磷酸亚铁锂电池材料，吉林庆达非晶硅薄膜太阳能电池、洮南光伏产业基地、吉林省宏宸年产纤维素乙醇、吉林吉安秸秆发酵丁醇、辽源惠宇</w:t>
            </w:r>
            <w:r w:rsidRPr="00622B98">
              <w:rPr>
                <w:kern w:val="0"/>
                <w:sz w:val="24"/>
              </w:rPr>
              <w:t>SR-1</w:t>
            </w:r>
            <w:r w:rsidRPr="00622B98">
              <w:rPr>
                <w:rFonts w:ascii="宋体" w:hAnsi="宋体" w:cs="宋体" w:hint="eastAsia"/>
                <w:kern w:val="0"/>
                <w:sz w:val="24"/>
              </w:rPr>
              <w:t>型生物质燃气节能装备项目</w:t>
            </w:r>
          </w:p>
        </w:tc>
      </w:tr>
      <w:tr w:rsidR="00622B98" w:rsidRPr="00622B98">
        <w:trPr>
          <w:trHeight w:val="762"/>
        </w:trPr>
        <w:tc>
          <w:tcPr>
            <w:tcW w:w="126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核电装备</w:t>
            </w:r>
          </w:p>
        </w:tc>
        <w:tc>
          <w:tcPr>
            <w:tcW w:w="716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吉林昊宇石化电力设备制造公司年产</w:t>
            </w:r>
            <w:r w:rsidRPr="00622B98">
              <w:rPr>
                <w:kern w:val="0"/>
                <w:sz w:val="24"/>
              </w:rPr>
              <w:t>8.5</w:t>
            </w:r>
            <w:r w:rsidRPr="00622B98">
              <w:rPr>
                <w:rFonts w:ascii="宋体" w:hAnsi="宋体" w:cs="宋体" w:hint="eastAsia"/>
                <w:kern w:val="0"/>
                <w:sz w:val="24"/>
              </w:rPr>
              <w:t>万吨核电管道及大型锻件项目</w:t>
            </w:r>
          </w:p>
        </w:tc>
      </w:tr>
      <w:tr w:rsidR="00622B98" w:rsidRPr="00622B98">
        <w:trPr>
          <w:trHeight w:val="431"/>
        </w:trPr>
        <w:tc>
          <w:tcPr>
            <w:tcW w:w="1260" w:type="dxa"/>
            <w:tcBorders>
              <w:top w:val="nil"/>
              <w:left w:val="single" w:sz="4" w:space="0" w:color="auto"/>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煤炭装备</w:t>
            </w:r>
          </w:p>
        </w:tc>
        <w:tc>
          <w:tcPr>
            <w:tcW w:w="7160" w:type="dxa"/>
            <w:tcBorders>
              <w:top w:val="nil"/>
              <w:left w:val="nil"/>
              <w:bottom w:val="single" w:sz="4" w:space="0" w:color="auto"/>
              <w:right w:val="single" w:sz="4" w:space="0" w:color="auto"/>
            </w:tcBorders>
            <w:shd w:val="clear" w:color="auto" w:fill="auto"/>
            <w:vAlign w:val="center"/>
          </w:tcPr>
          <w:p w:rsidR="00622B98" w:rsidRPr="00622B98" w:rsidRDefault="00622B98" w:rsidP="00622B98">
            <w:pPr>
              <w:widowControl/>
              <w:rPr>
                <w:rFonts w:ascii="宋体" w:hAnsi="宋体" w:cs="宋体"/>
                <w:kern w:val="0"/>
                <w:sz w:val="24"/>
              </w:rPr>
            </w:pPr>
            <w:r w:rsidRPr="00622B98">
              <w:rPr>
                <w:rFonts w:ascii="宋体" w:hAnsi="宋体" w:cs="宋体" w:hint="eastAsia"/>
                <w:kern w:val="0"/>
                <w:sz w:val="24"/>
              </w:rPr>
              <w:t>辽源煤机公司大特型采掘装备制造项目</w:t>
            </w:r>
          </w:p>
        </w:tc>
      </w:tr>
    </w:tbl>
    <w:p w:rsidR="0013334E" w:rsidRDefault="0013334E" w:rsidP="005535C6">
      <w:pPr>
        <w:snapToGrid w:val="0"/>
        <w:spacing w:line="391" w:lineRule="auto"/>
        <w:rPr>
          <w:rFonts w:ascii="楷体_GB2312" w:eastAsia="楷体_GB2312" w:hint="eastAsia"/>
          <w:sz w:val="30"/>
          <w:szCs w:val="30"/>
        </w:rPr>
      </w:pPr>
    </w:p>
    <w:p w:rsidR="00EF54E3" w:rsidRPr="00931F66" w:rsidRDefault="00EF54E3" w:rsidP="005535C6">
      <w:pPr>
        <w:snapToGrid w:val="0"/>
        <w:spacing w:line="391" w:lineRule="auto"/>
        <w:rPr>
          <w:rFonts w:ascii="楷体_GB2312" w:eastAsia="楷体_GB2312" w:hint="eastAsia"/>
          <w:sz w:val="30"/>
          <w:szCs w:val="30"/>
        </w:rPr>
      </w:pPr>
      <w:r w:rsidRPr="00931F66">
        <w:rPr>
          <w:rFonts w:ascii="楷体_GB2312" w:eastAsia="楷体_GB2312" w:hint="eastAsia"/>
          <w:sz w:val="30"/>
          <w:szCs w:val="30"/>
        </w:rPr>
        <w:t xml:space="preserve">　　7</w:t>
      </w:r>
      <w:r w:rsidR="005F65C8" w:rsidRPr="00931F66">
        <w:rPr>
          <w:rFonts w:ascii="仿宋_GB2312" w:eastAsia="仿宋_GB2312" w:hint="eastAsia"/>
          <w:sz w:val="30"/>
          <w:szCs w:val="30"/>
        </w:rPr>
        <w:t>．</w:t>
      </w:r>
      <w:r w:rsidRPr="00931F66">
        <w:rPr>
          <w:rFonts w:ascii="楷体_GB2312" w:eastAsia="楷体_GB2312" w:hint="eastAsia"/>
          <w:sz w:val="30"/>
          <w:szCs w:val="30"/>
        </w:rPr>
        <w:t>积极推进域外能源开发合作。</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积极参与蒙东地区国家综合能源基地建设。内蒙古东部地区与我省相邻，煤炭资源丰富，是我省实施域外煤炭开发合作重要</w:t>
      </w:r>
      <w:r w:rsidRPr="00931F66">
        <w:rPr>
          <w:rFonts w:ascii="仿宋_GB2312" w:eastAsia="仿宋_GB2312" w:hint="eastAsia"/>
          <w:sz w:val="30"/>
          <w:szCs w:val="30"/>
        </w:rPr>
        <w:lastRenderedPageBreak/>
        <w:t>地区之一。支持省内煤炭和天然气企业在内蒙古东部地区合作开发煤炭、煤制天然气，推进包尔呼顺等大型煤矿、煤制天然气工程开展前期工作；争取形成蒙东千万吨煤炭基地、煤制天然气基地和蒙吉能源运输通道。不断加强能源国际合作，支持省内能源企业参与中蒙边界“两山”铁路能源配套工程建设。争取在我省临近东北亚地区的蒙古国边界地带和俄罗斯远东地区开发建设煤炭生产基地。积极引进国内陕京线和俄罗斯石油、天然气。</w:t>
      </w:r>
    </w:p>
    <w:p w:rsidR="00EF54E3" w:rsidRPr="00931F66" w:rsidRDefault="00EF54E3" w:rsidP="005535C6">
      <w:pPr>
        <w:snapToGrid w:val="0"/>
        <w:spacing w:line="391" w:lineRule="auto"/>
        <w:rPr>
          <w:rFonts w:ascii="楷体_GB2312" w:eastAsia="楷体_GB2312" w:hint="eastAsia"/>
          <w:sz w:val="30"/>
          <w:szCs w:val="30"/>
        </w:rPr>
      </w:pPr>
      <w:r w:rsidRPr="00931F66">
        <w:rPr>
          <w:rFonts w:ascii="楷体_GB2312" w:eastAsia="楷体_GB2312" w:hint="eastAsia"/>
          <w:sz w:val="30"/>
          <w:szCs w:val="30"/>
        </w:rPr>
        <w:t xml:space="preserve">　　8</w:t>
      </w:r>
      <w:r w:rsidR="005F65C8" w:rsidRPr="00931F66">
        <w:rPr>
          <w:rFonts w:ascii="仿宋_GB2312" w:eastAsia="仿宋_GB2312" w:hint="eastAsia"/>
          <w:sz w:val="30"/>
          <w:szCs w:val="30"/>
        </w:rPr>
        <w:t>．</w:t>
      </w:r>
      <w:r w:rsidRPr="00931F66">
        <w:rPr>
          <w:rFonts w:ascii="楷体_GB2312" w:eastAsia="楷体_GB2312" w:hint="eastAsia"/>
          <w:sz w:val="30"/>
          <w:szCs w:val="30"/>
        </w:rPr>
        <w:t>积极推进科技进步与技术创新。</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强化国家级、省级能源研发（实验）中心和省级能源科技孵化器建设；积极支持先进输变电技术、风电并网、消纳及预测关键技术、智能电网和储能技术、电代煤采暖和工业热负荷电代煤技术研发；洁净煤利用、煤层气抽采利用研发；二氧化碳捕捉封存、吉林油田二氧化碳驱油规模化应用与埋存关键技术研发；核电配套技术研发；农林生物质发电、固化、气化、液化研发，太阳能发电和太阳能电池组件技术研发；推进风能、生物质能和太阳能等新能源企业标准建设。</w:t>
      </w:r>
    </w:p>
    <w:p w:rsidR="00EF54E3" w:rsidRPr="00931F66" w:rsidRDefault="00EF54E3" w:rsidP="005535C6">
      <w:pPr>
        <w:snapToGrid w:val="0"/>
        <w:spacing w:line="391" w:lineRule="auto"/>
        <w:rPr>
          <w:rFonts w:ascii="楷体_GB2312" w:eastAsia="楷体_GB2312" w:hint="eastAsia"/>
          <w:sz w:val="30"/>
          <w:szCs w:val="30"/>
        </w:rPr>
      </w:pPr>
      <w:r w:rsidRPr="00931F66">
        <w:rPr>
          <w:rFonts w:ascii="楷体_GB2312" w:eastAsia="楷体_GB2312" w:hint="eastAsia"/>
          <w:sz w:val="30"/>
          <w:szCs w:val="30"/>
        </w:rPr>
        <w:lastRenderedPageBreak/>
        <w:t xml:space="preserve">　　9</w:t>
      </w:r>
      <w:r w:rsidR="005F65C8" w:rsidRPr="00931F66">
        <w:rPr>
          <w:rFonts w:ascii="仿宋_GB2312" w:eastAsia="仿宋_GB2312" w:hint="eastAsia"/>
          <w:sz w:val="30"/>
          <w:szCs w:val="30"/>
        </w:rPr>
        <w:t>．</w:t>
      </w:r>
      <w:r w:rsidRPr="00931F66">
        <w:rPr>
          <w:rFonts w:ascii="楷体_GB2312" w:eastAsia="楷体_GB2312" w:hint="eastAsia"/>
          <w:sz w:val="30"/>
          <w:szCs w:val="30"/>
        </w:rPr>
        <w:t>大力推进农村能源建设。</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积极推进农安、公主岭等绿色能源示范县和绿色能源示范镇建设。积极开发利用农村生物质能源，充分利用农村秸秆等生物质能资源，大力加强农村沼气池建设，进一步扩大农村沼气应用规模，逐步消除秸秆等薪柴直接燃用。积极推进太阳能热水器、太阳灶建设，2015年集热面积达到100万平方米，大力改善农村用能质量；加大农村电网改造升级力度，提高农村电网用电可靠性。</w:t>
      </w:r>
    </w:p>
    <w:p w:rsidR="00EF54E3" w:rsidRPr="00931F66" w:rsidRDefault="00EF54E3" w:rsidP="005535C6">
      <w:pPr>
        <w:snapToGrid w:val="0"/>
        <w:spacing w:line="391" w:lineRule="auto"/>
        <w:rPr>
          <w:rFonts w:ascii="黑体" w:eastAsia="黑体" w:hint="eastAsia"/>
          <w:sz w:val="30"/>
          <w:szCs w:val="30"/>
        </w:rPr>
      </w:pPr>
      <w:r w:rsidRPr="00931F66">
        <w:rPr>
          <w:rFonts w:ascii="黑体" w:eastAsia="黑体" w:hint="eastAsia"/>
          <w:sz w:val="30"/>
          <w:szCs w:val="30"/>
        </w:rPr>
        <w:t xml:space="preserve">　　五、节能减排</w:t>
      </w:r>
    </w:p>
    <w:p w:rsidR="00EF54E3" w:rsidRPr="00931F66" w:rsidRDefault="00EF54E3" w:rsidP="005535C6">
      <w:pPr>
        <w:snapToGrid w:val="0"/>
        <w:spacing w:line="391" w:lineRule="auto"/>
        <w:rPr>
          <w:rFonts w:ascii="仿宋_GB2312" w:eastAsia="仿宋_GB2312" w:hint="eastAsia"/>
          <w:b/>
          <w:sz w:val="30"/>
          <w:szCs w:val="30"/>
        </w:rPr>
      </w:pPr>
      <w:r w:rsidRPr="00931F66">
        <w:rPr>
          <w:rFonts w:ascii="仿宋_GB2312" w:eastAsia="仿宋_GB2312" w:hint="eastAsia"/>
          <w:b/>
          <w:sz w:val="30"/>
          <w:szCs w:val="30"/>
        </w:rPr>
        <w:t xml:space="preserve">　　（一）节约利用能源资源。</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火电平均供电煤耗下降到</w:t>
      </w:r>
      <w:smartTag w:uri="urn:schemas-microsoft-com:office:smarttags" w:element="chmetcnv">
        <w:smartTagPr>
          <w:attr w:name="TCSC" w:val="0"/>
          <w:attr w:name="NumberType" w:val="1"/>
          <w:attr w:name="Negative" w:val="False"/>
          <w:attr w:name="HasSpace" w:val="False"/>
          <w:attr w:name="SourceValue" w:val="310"/>
          <w:attr w:name="UnitName" w:val="克"/>
        </w:smartTagPr>
        <w:r w:rsidRPr="00931F66">
          <w:rPr>
            <w:rFonts w:ascii="仿宋_GB2312" w:eastAsia="仿宋_GB2312" w:hint="eastAsia"/>
            <w:sz w:val="30"/>
            <w:szCs w:val="30"/>
          </w:rPr>
          <w:t>310克</w:t>
        </w:r>
      </w:smartTag>
      <w:r w:rsidRPr="00931F66">
        <w:rPr>
          <w:rFonts w:ascii="仿宋_GB2312" w:eastAsia="仿宋_GB2312" w:hint="eastAsia"/>
          <w:sz w:val="30"/>
          <w:szCs w:val="30"/>
        </w:rPr>
        <w:t>/千瓦时，比2010年降低7.35%；支持煤矿复采，稳步提高煤矿矿井回采率、油田油气采收率，运用三次采油技术，增加老油田可采储量；进一步提高原油加工深度和炼化一体化程度，采用热联合技术，节约热能和电能；炼油能耗达到</w:t>
      </w:r>
      <w:smartTag w:uri="urn:schemas-microsoft-com:office:smarttags" w:element="chmetcnv">
        <w:smartTagPr>
          <w:attr w:name="TCSC" w:val="0"/>
          <w:attr w:name="NumberType" w:val="1"/>
          <w:attr w:name="Negative" w:val="False"/>
          <w:attr w:name="HasSpace" w:val="False"/>
          <w:attr w:name="SourceValue" w:val="65"/>
          <w:attr w:name="UnitName" w:val="千克"/>
        </w:smartTagPr>
        <w:r w:rsidRPr="00931F66">
          <w:rPr>
            <w:rFonts w:ascii="仿宋_GB2312" w:eastAsia="仿宋_GB2312" w:hint="eastAsia"/>
            <w:sz w:val="30"/>
            <w:szCs w:val="30"/>
          </w:rPr>
          <w:t>65千克</w:t>
        </w:r>
      </w:smartTag>
      <w:r w:rsidRPr="00931F66">
        <w:rPr>
          <w:rFonts w:ascii="仿宋_GB2312" w:eastAsia="仿宋_GB2312" w:hint="eastAsia"/>
          <w:sz w:val="30"/>
          <w:szCs w:val="30"/>
        </w:rPr>
        <w:t>标准油/吨，比2010年下降</w:t>
      </w:r>
      <w:smartTag w:uri="urn:schemas-microsoft-com:office:smarttags" w:element="chmetcnv">
        <w:smartTagPr>
          <w:attr w:name="TCSC" w:val="0"/>
          <w:attr w:name="NumberType" w:val="1"/>
          <w:attr w:name="Negative" w:val="False"/>
          <w:attr w:name="HasSpace" w:val="False"/>
          <w:attr w:name="SourceValue" w:val="4"/>
          <w:attr w:name="UnitName" w:val="千克"/>
        </w:smartTagPr>
        <w:r w:rsidRPr="00931F66">
          <w:rPr>
            <w:rFonts w:ascii="仿宋_GB2312" w:eastAsia="仿宋_GB2312" w:hint="eastAsia"/>
            <w:sz w:val="30"/>
            <w:szCs w:val="30"/>
          </w:rPr>
          <w:t>4千克</w:t>
        </w:r>
      </w:smartTag>
      <w:r w:rsidRPr="00931F66">
        <w:rPr>
          <w:rFonts w:ascii="仿宋_GB2312" w:eastAsia="仿宋_GB2312" w:hint="eastAsia"/>
          <w:sz w:val="30"/>
          <w:szCs w:val="30"/>
        </w:rPr>
        <w:t>，推进油页岩干馏尾气、半焦和灰渣综合利用，提高资源利用率。</w:t>
      </w:r>
    </w:p>
    <w:p w:rsidR="00EF54E3" w:rsidRPr="00931F66" w:rsidRDefault="00EF54E3" w:rsidP="005535C6">
      <w:pPr>
        <w:snapToGrid w:val="0"/>
        <w:spacing w:line="391" w:lineRule="auto"/>
        <w:rPr>
          <w:rFonts w:ascii="仿宋_GB2312" w:eastAsia="仿宋_GB2312" w:hint="eastAsia"/>
          <w:b/>
          <w:sz w:val="30"/>
          <w:szCs w:val="30"/>
        </w:rPr>
      </w:pPr>
      <w:r w:rsidRPr="00931F66">
        <w:rPr>
          <w:rFonts w:ascii="仿宋_GB2312" w:eastAsia="仿宋_GB2312" w:hint="eastAsia"/>
          <w:b/>
          <w:sz w:val="30"/>
          <w:szCs w:val="30"/>
        </w:rPr>
        <w:t xml:space="preserve">　　（二）提高综合能效。</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lastRenderedPageBreak/>
        <w:t xml:space="preserve">　　推进火电“上大压小”，淘汰技术落后、耗能高的小火电机组，建设高效、清洁热电联产机组。加强对燃煤机组脱硫设施运行情况的在线监测。加强省内主干电网结构建设，加强城网和农网改造，合理布局220千伏电网及配电网，2015年综合线路损耗率降到6%，比2010年下降6.54%。加快90号低标号油品的退市工作。</w:t>
      </w:r>
    </w:p>
    <w:p w:rsidR="00EF54E3" w:rsidRPr="00931F66" w:rsidRDefault="00EF54E3" w:rsidP="005535C6">
      <w:pPr>
        <w:snapToGrid w:val="0"/>
        <w:spacing w:line="391" w:lineRule="auto"/>
        <w:rPr>
          <w:rFonts w:ascii="仿宋_GB2312" w:eastAsia="仿宋_GB2312" w:hint="eastAsia"/>
          <w:b/>
          <w:sz w:val="30"/>
          <w:szCs w:val="30"/>
        </w:rPr>
      </w:pPr>
      <w:r w:rsidRPr="00931F66">
        <w:rPr>
          <w:rFonts w:ascii="仿宋_GB2312" w:eastAsia="仿宋_GB2312" w:hint="eastAsia"/>
          <w:b/>
          <w:sz w:val="30"/>
          <w:szCs w:val="30"/>
        </w:rPr>
        <w:t xml:space="preserve">　　（三）加强需求侧管理。</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加强煤炭需求侧管理。推进产业结构优化升级，控制高耗能产业发展，降低煤炭消费强度。做好电力需求侧专项补贴项目的跟踪管理，搞好节电技术改造，加强电力需求侧研究和管理，提高用电能效水平。加强天然气用气管理，优先保证民用燃气和公共服务设施用气需要，确保重要工业用户用气和燃气汽车用气。</w:t>
      </w:r>
    </w:p>
    <w:p w:rsidR="00EF54E3" w:rsidRPr="00931F66" w:rsidRDefault="00EF54E3" w:rsidP="005535C6">
      <w:pPr>
        <w:snapToGrid w:val="0"/>
        <w:spacing w:line="391" w:lineRule="auto"/>
        <w:rPr>
          <w:rFonts w:ascii="仿宋_GB2312" w:eastAsia="仿宋_GB2312" w:hint="eastAsia"/>
          <w:b/>
          <w:sz w:val="30"/>
          <w:szCs w:val="30"/>
        </w:rPr>
      </w:pPr>
      <w:r w:rsidRPr="00931F66">
        <w:rPr>
          <w:rFonts w:ascii="仿宋_GB2312" w:eastAsia="仿宋_GB2312" w:hint="eastAsia"/>
          <w:b/>
          <w:sz w:val="30"/>
          <w:szCs w:val="30"/>
        </w:rPr>
        <w:t xml:space="preserve">　　（四）减少污染物排放。</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推进煤炭洗选加工和综合利用。2015年矿井水利用率达到75%，煤矸石综合利用率达到80%，抽采瓦斯1.55亿立方米，利用瓦斯总量4650万立方米，煤层气抽采利用率达到30%。加</w:t>
      </w:r>
      <w:r w:rsidRPr="00931F66">
        <w:rPr>
          <w:rFonts w:ascii="仿宋_GB2312" w:eastAsia="仿宋_GB2312" w:hint="eastAsia"/>
          <w:sz w:val="30"/>
          <w:szCs w:val="30"/>
        </w:rPr>
        <w:lastRenderedPageBreak/>
        <w:t>强燃煤发电企业脱硫、脱氮和除尘技术改造，减少二氧化硫、二氧化碳、氮氧化物排放；开展二氧化碳捕捉封存研究，积极支持吉林油田二氧化碳驱油规模化应用与埋存关键技术研究。加快能源企业污水处理设施建设，推动城市中水回用工程建设。</w:t>
      </w:r>
    </w:p>
    <w:p w:rsidR="00EF54E3" w:rsidRPr="00931F66" w:rsidRDefault="00EF54E3" w:rsidP="005535C6">
      <w:pPr>
        <w:snapToGrid w:val="0"/>
        <w:spacing w:line="391" w:lineRule="auto"/>
        <w:rPr>
          <w:rFonts w:ascii="黑体" w:eastAsia="黑体" w:hint="eastAsia"/>
          <w:sz w:val="30"/>
          <w:szCs w:val="30"/>
        </w:rPr>
      </w:pPr>
      <w:r w:rsidRPr="00931F66">
        <w:rPr>
          <w:rFonts w:ascii="黑体" w:eastAsia="黑体" w:hint="eastAsia"/>
          <w:sz w:val="30"/>
          <w:szCs w:val="30"/>
        </w:rPr>
        <w:t xml:space="preserve">　　六、合理控制能源消费总量</w:t>
      </w:r>
    </w:p>
    <w:p w:rsidR="00EF54E3" w:rsidRPr="00931F66" w:rsidRDefault="00EF54E3" w:rsidP="005535C6">
      <w:pPr>
        <w:snapToGrid w:val="0"/>
        <w:spacing w:line="391" w:lineRule="auto"/>
        <w:rPr>
          <w:rFonts w:ascii="仿宋_GB2312" w:eastAsia="仿宋_GB2312" w:hint="eastAsia"/>
          <w:b/>
          <w:sz w:val="30"/>
          <w:szCs w:val="30"/>
        </w:rPr>
      </w:pPr>
      <w:r w:rsidRPr="00931F66">
        <w:rPr>
          <w:rFonts w:ascii="仿宋_GB2312" w:eastAsia="仿宋_GB2312" w:hint="eastAsia"/>
          <w:b/>
          <w:sz w:val="30"/>
          <w:szCs w:val="30"/>
        </w:rPr>
        <w:t xml:space="preserve">　　（一）吉林省能源消费总量控制目标。</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到2015年，吉林省能源消费和排放总量控制目标为：</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一次能源消费总量12283万吨</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煤炭消费量12040万吨</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石油消费量1506万吨</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天然气消费量87亿立方米</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全社会用电量1146亿千瓦时</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单位GDP能耗0.96吨标准煤/万元，比2010年下降</w:t>
      </w:r>
      <w:r w:rsidR="00622B98" w:rsidRPr="00931F66">
        <w:rPr>
          <w:rFonts w:ascii="仿宋_GB2312" w:eastAsia="仿宋_GB2312" w:hint="eastAsia"/>
          <w:sz w:val="30"/>
          <w:szCs w:val="30"/>
        </w:rPr>
        <w:t>16%</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单位GDP二氧化碳排放下降</w:t>
      </w:r>
      <w:r w:rsidR="00622B98" w:rsidRPr="00931F66">
        <w:rPr>
          <w:rFonts w:ascii="仿宋_GB2312" w:eastAsia="仿宋_GB2312" w:hint="eastAsia"/>
          <w:sz w:val="30"/>
          <w:szCs w:val="30"/>
        </w:rPr>
        <w:t>17%</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火电供电标准煤耗</w:t>
      </w:r>
      <w:smartTag w:uri="urn:schemas-microsoft-com:office:smarttags" w:element="chmetcnv">
        <w:smartTagPr>
          <w:attr w:name="TCSC" w:val="0"/>
          <w:attr w:name="NumberType" w:val="1"/>
          <w:attr w:name="Negative" w:val="False"/>
          <w:attr w:name="HasSpace" w:val="False"/>
          <w:attr w:name="SourceValue" w:val="310"/>
          <w:attr w:name="UnitName" w:val="克"/>
        </w:smartTagPr>
        <w:r w:rsidRPr="00931F66">
          <w:rPr>
            <w:rFonts w:ascii="仿宋_GB2312" w:eastAsia="仿宋_GB2312" w:hint="eastAsia"/>
            <w:sz w:val="30"/>
            <w:szCs w:val="30"/>
          </w:rPr>
          <w:t>310克</w:t>
        </w:r>
      </w:smartTag>
      <w:r w:rsidRPr="00931F66">
        <w:rPr>
          <w:rFonts w:ascii="仿宋_GB2312" w:eastAsia="仿宋_GB2312" w:hint="eastAsia"/>
          <w:sz w:val="30"/>
          <w:szCs w:val="30"/>
        </w:rPr>
        <w:t>/千瓦时</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电网综合线损率</w:t>
      </w:r>
      <w:r w:rsidR="00622B98" w:rsidRPr="00931F66">
        <w:rPr>
          <w:rFonts w:ascii="仿宋_GB2312" w:eastAsia="仿宋_GB2312" w:hint="eastAsia"/>
          <w:sz w:val="30"/>
          <w:szCs w:val="30"/>
        </w:rPr>
        <w:t>6%</w:t>
      </w:r>
    </w:p>
    <w:p w:rsidR="00EF54E3" w:rsidRPr="00931F66" w:rsidRDefault="00EF54E3" w:rsidP="005535C6">
      <w:pPr>
        <w:snapToGrid w:val="0"/>
        <w:spacing w:line="391" w:lineRule="auto"/>
        <w:rPr>
          <w:rFonts w:ascii="仿宋_GB2312" w:eastAsia="仿宋_GB2312" w:hint="eastAsia"/>
          <w:sz w:val="30"/>
          <w:szCs w:val="30"/>
        </w:rPr>
      </w:pPr>
      <w:r w:rsidRPr="00931F66">
        <w:rPr>
          <w:rFonts w:ascii="仿宋_GB2312" w:eastAsia="仿宋_GB2312" w:hint="eastAsia"/>
          <w:sz w:val="30"/>
          <w:szCs w:val="30"/>
        </w:rPr>
        <w:t xml:space="preserve">　　煤电二氧化硫排放系数</w:t>
      </w:r>
      <w:smartTag w:uri="urn:schemas-microsoft-com:office:smarttags" w:element="chmetcnv">
        <w:smartTagPr>
          <w:attr w:name="TCSC" w:val="0"/>
          <w:attr w:name="NumberType" w:val="1"/>
          <w:attr w:name="Negative" w:val="False"/>
          <w:attr w:name="HasSpace" w:val="False"/>
          <w:attr w:name="SourceValue" w:val="2.6"/>
          <w:attr w:name="UnitName" w:val="克"/>
        </w:smartTagPr>
        <w:r w:rsidRPr="00931F66">
          <w:rPr>
            <w:rFonts w:ascii="仿宋_GB2312" w:eastAsia="仿宋_GB2312" w:hint="eastAsia"/>
            <w:sz w:val="30"/>
            <w:szCs w:val="30"/>
          </w:rPr>
          <w:t>2.6克</w:t>
        </w:r>
      </w:smartTag>
      <w:r w:rsidRPr="00931F66">
        <w:rPr>
          <w:rFonts w:ascii="仿宋_GB2312" w:eastAsia="仿宋_GB2312" w:hint="eastAsia"/>
          <w:sz w:val="30"/>
          <w:szCs w:val="30"/>
        </w:rPr>
        <w:t>/千瓦时</w:t>
      </w:r>
    </w:p>
    <w:p w:rsidR="00EF54E3" w:rsidRDefault="00EF54E3" w:rsidP="005535C6">
      <w:pPr>
        <w:snapToGrid w:val="0"/>
        <w:spacing w:line="391" w:lineRule="auto"/>
        <w:ind w:firstLine="645"/>
        <w:rPr>
          <w:rFonts w:ascii="仿宋_GB2312" w:eastAsia="仿宋_GB2312" w:hint="eastAsia"/>
          <w:sz w:val="30"/>
          <w:szCs w:val="30"/>
        </w:rPr>
      </w:pPr>
      <w:r w:rsidRPr="00931F66">
        <w:rPr>
          <w:rFonts w:ascii="仿宋_GB2312" w:eastAsia="仿宋_GB2312" w:hint="eastAsia"/>
          <w:sz w:val="30"/>
          <w:szCs w:val="30"/>
        </w:rPr>
        <w:lastRenderedPageBreak/>
        <w:t>煤电氮氧化物排放系数</w:t>
      </w:r>
      <w:smartTag w:uri="urn:schemas-microsoft-com:office:smarttags" w:element="chmetcnv">
        <w:smartTagPr>
          <w:attr w:name="TCSC" w:val="0"/>
          <w:attr w:name="NumberType" w:val="1"/>
          <w:attr w:name="Negative" w:val="False"/>
          <w:attr w:name="HasSpace" w:val="False"/>
          <w:attr w:name="SourceValue" w:val="1.2"/>
          <w:attr w:name="UnitName" w:val="克"/>
        </w:smartTagPr>
        <w:r w:rsidRPr="00931F66">
          <w:rPr>
            <w:rFonts w:ascii="仿宋_GB2312" w:eastAsia="仿宋_GB2312" w:hint="eastAsia"/>
            <w:sz w:val="30"/>
            <w:szCs w:val="30"/>
          </w:rPr>
          <w:t>1.2克</w:t>
        </w:r>
      </w:smartTag>
      <w:r w:rsidRPr="00931F66">
        <w:rPr>
          <w:rFonts w:ascii="仿宋_GB2312" w:eastAsia="仿宋_GB2312" w:hint="eastAsia"/>
          <w:sz w:val="30"/>
          <w:szCs w:val="30"/>
        </w:rPr>
        <w:t>/千瓦时</w:t>
      </w:r>
    </w:p>
    <w:p w:rsidR="005535C6" w:rsidRPr="00931F66" w:rsidRDefault="005535C6" w:rsidP="005535C6">
      <w:pPr>
        <w:snapToGrid w:val="0"/>
        <w:spacing w:line="391" w:lineRule="auto"/>
        <w:ind w:firstLine="645"/>
        <w:rPr>
          <w:rFonts w:ascii="仿宋_GB2312" w:eastAsia="仿宋_GB2312" w:hint="eastAsia"/>
          <w:sz w:val="30"/>
          <w:szCs w:val="30"/>
        </w:rPr>
      </w:pPr>
    </w:p>
    <w:tbl>
      <w:tblPr>
        <w:tblW w:w="8440" w:type="dxa"/>
        <w:tblInd w:w="93" w:type="dxa"/>
        <w:tblLook w:val="0000"/>
      </w:tblPr>
      <w:tblGrid>
        <w:gridCol w:w="1186"/>
        <w:gridCol w:w="2211"/>
        <w:gridCol w:w="1500"/>
        <w:gridCol w:w="859"/>
        <w:gridCol w:w="859"/>
        <w:gridCol w:w="934"/>
        <w:gridCol w:w="891"/>
      </w:tblGrid>
      <w:tr w:rsidR="00843BDB" w:rsidRPr="00843BDB">
        <w:trPr>
          <w:trHeight w:val="375"/>
        </w:trPr>
        <w:tc>
          <w:tcPr>
            <w:tcW w:w="84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43BDB" w:rsidRPr="00843BDB" w:rsidRDefault="00843BDB" w:rsidP="00843BDB">
            <w:pPr>
              <w:widowControl/>
              <w:rPr>
                <w:rFonts w:ascii="楷体_GB2312" w:eastAsia="楷体_GB2312" w:hAnsi="宋体" w:cs="宋体"/>
                <w:kern w:val="0"/>
                <w:sz w:val="28"/>
                <w:szCs w:val="28"/>
              </w:rPr>
            </w:pPr>
            <w:r w:rsidRPr="00843BDB">
              <w:rPr>
                <w:rFonts w:ascii="楷体_GB2312" w:eastAsia="楷体_GB2312" w:hAnsi="宋体" w:cs="宋体" w:hint="eastAsia"/>
                <w:kern w:val="0"/>
                <w:sz w:val="28"/>
                <w:szCs w:val="28"/>
              </w:rPr>
              <w:t>专栏10     吉林省“十二五”能源发展主要目标</w:t>
            </w:r>
          </w:p>
        </w:tc>
      </w:tr>
      <w:tr w:rsidR="00843BDB" w:rsidRPr="00843BDB">
        <w:trPr>
          <w:trHeight w:val="510"/>
        </w:trPr>
        <w:tc>
          <w:tcPr>
            <w:tcW w:w="1200" w:type="dxa"/>
            <w:tcBorders>
              <w:top w:val="nil"/>
              <w:left w:val="single" w:sz="4" w:space="0" w:color="auto"/>
              <w:bottom w:val="single" w:sz="4" w:space="0" w:color="auto"/>
              <w:right w:val="single" w:sz="4" w:space="0" w:color="auto"/>
            </w:tcBorders>
            <w:shd w:val="clear" w:color="auto" w:fill="auto"/>
            <w:vAlign w:val="center"/>
          </w:tcPr>
          <w:p w:rsidR="00843BDB" w:rsidRPr="00843BDB" w:rsidRDefault="00843BDB" w:rsidP="00843BDB">
            <w:pPr>
              <w:widowControl/>
              <w:jc w:val="center"/>
              <w:rPr>
                <w:rFonts w:ascii="宋体" w:hAnsi="宋体" w:cs="宋体"/>
                <w:kern w:val="0"/>
                <w:szCs w:val="21"/>
              </w:rPr>
            </w:pPr>
            <w:r w:rsidRPr="00843BDB">
              <w:rPr>
                <w:rFonts w:ascii="宋体" w:hAnsi="宋体" w:cs="宋体" w:hint="eastAsia"/>
                <w:kern w:val="0"/>
                <w:szCs w:val="21"/>
              </w:rPr>
              <w:t>类别</w:t>
            </w: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jc w:val="center"/>
              <w:rPr>
                <w:rFonts w:ascii="宋体" w:hAnsi="宋体" w:cs="宋体"/>
                <w:kern w:val="0"/>
                <w:szCs w:val="21"/>
              </w:rPr>
            </w:pPr>
            <w:r w:rsidRPr="00843BDB">
              <w:rPr>
                <w:rFonts w:ascii="宋体" w:hAnsi="宋体" w:cs="宋体" w:hint="eastAsia"/>
                <w:kern w:val="0"/>
                <w:szCs w:val="21"/>
              </w:rPr>
              <w:t>指</w:t>
            </w:r>
            <w:r w:rsidRPr="00843BDB">
              <w:rPr>
                <w:kern w:val="0"/>
                <w:szCs w:val="21"/>
              </w:rPr>
              <w:t xml:space="preserve"> </w:t>
            </w:r>
            <w:r w:rsidRPr="00843BDB">
              <w:rPr>
                <w:rFonts w:ascii="宋体" w:hAnsi="宋体" w:cs="宋体" w:hint="eastAsia"/>
                <w:kern w:val="0"/>
                <w:szCs w:val="21"/>
              </w:rPr>
              <w:t>标</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jc w:val="center"/>
              <w:rPr>
                <w:rFonts w:ascii="宋体" w:hAnsi="宋体" w:cs="宋体"/>
                <w:kern w:val="0"/>
                <w:szCs w:val="21"/>
              </w:rPr>
            </w:pPr>
            <w:r w:rsidRPr="00843BDB">
              <w:rPr>
                <w:rFonts w:ascii="宋体" w:hAnsi="宋体" w:cs="宋体" w:hint="eastAsia"/>
                <w:kern w:val="0"/>
                <w:szCs w:val="21"/>
              </w:rPr>
              <w:t>单</w:t>
            </w:r>
            <w:r w:rsidRPr="00843BDB">
              <w:rPr>
                <w:kern w:val="0"/>
                <w:szCs w:val="21"/>
              </w:rPr>
              <w:t xml:space="preserve"> </w:t>
            </w:r>
            <w:r w:rsidRPr="00843BDB">
              <w:rPr>
                <w:rFonts w:ascii="宋体" w:hAnsi="宋体" w:cs="宋体" w:hint="eastAsia"/>
                <w:kern w:val="0"/>
                <w:szCs w:val="21"/>
              </w:rPr>
              <w:t>位</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jc w:val="center"/>
              <w:rPr>
                <w:kern w:val="0"/>
                <w:szCs w:val="21"/>
              </w:rPr>
            </w:pPr>
            <w:r w:rsidRPr="00843BDB">
              <w:rPr>
                <w:kern w:val="0"/>
                <w:szCs w:val="21"/>
              </w:rPr>
              <w:t>2010</w:t>
            </w:r>
            <w:r w:rsidRPr="00843BDB">
              <w:rPr>
                <w:rFonts w:ascii="宋体" w:hAnsi="宋体" w:hint="eastAsia"/>
                <w:kern w:val="0"/>
                <w:szCs w:val="21"/>
              </w:rPr>
              <w:t>年</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jc w:val="center"/>
              <w:rPr>
                <w:kern w:val="0"/>
                <w:szCs w:val="21"/>
              </w:rPr>
            </w:pPr>
            <w:r w:rsidRPr="00843BDB">
              <w:rPr>
                <w:kern w:val="0"/>
                <w:szCs w:val="21"/>
              </w:rPr>
              <w:t>2015</w:t>
            </w:r>
            <w:r w:rsidRPr="00843BDB">
              <w:rPr>
                <w:rFonts w:ascii="宋体" w:hAnsi="宋体" w:hint="eastAsia"/>
                <w:kern w:val="0"/>
                <w:szCs w:val="21"/>
              </w:rPr>
              <w:t>年</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jc w:val="center"/>
              <w:rPr>
                <w:rFonts w:ascii="宋体" w:hAnsi="宋体" w:cs="宋体"/>
                <w:kern w:val="0"/>
                <w:szCs w:val="21"/>
              </w:rPr>
            </w:pPr>
            <w:r w:rsidRPr="00843BDB">
              <w:rPr>
                <w:rFonts w:ascii="宋体" w:hAnsi="宋体" w:cs="宋体" w:hint="eastAsia"/>
                <w:kern w:val="0"/>
                <w:szCs w:val="21"/>
              </w:rPr>
              <w:t>年均增长</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jc w:val="center"/>
              <w:rPr>
                <w:rFonts w:ascii="宋体" w:hAnsi="宋体" w:cs="宋体"/>
                <w:kern w:val="0"/>
                <w:szCs w:val="21"/>
              </w:rPr>
            </w:pPr>
            <w:r w:rsidRPr="00843BDB">
              <w:rPr>
                <w:rFonts w:ascii="宋体" w:hAnsi="宋体" w:cs="宋体" w:hint="eastAsia"/>
                <w:kern w:val="0"/>
                <w:szCs w:val="21"/>
              </w:rPr>
              <w:t>属性</w:t>
            </w:r>
          </w:p>
        </w:tc>
      </w:tr>
      <w:tr w:rsidR="00843BDB" w:rsidRPr="00843BDB">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能源消费总量及结构</w:t>
            </w: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一次能源消费总量</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亿吨标准煤</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0.8297</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1.2283</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8.16%</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煤炭消费量</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亿吨</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0.9583</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1.204</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4.67%</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煤炭消费比重</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74.7</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62</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[-12.7]</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石油消费量</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亿吨</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0.0994</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0.1506</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8.66%</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石油消费比重</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17.3</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17.52</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[0.22]</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天然气消费量</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亿立方米</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17.45</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87</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37.89%</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天然气消费比重</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2.8</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9.42</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[6.62]</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非化石能源消费量</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亿吨标准煤</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0.0453</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0.1203</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21.57%</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非化石能源消费比重</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5.46</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9.8</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[4.34]</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约束性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全社会用电量</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万亿千瓦时</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0.0577</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0.1146</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14.71%</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电力发展</w:t>
            </w: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电力装机容量</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亿千瓦</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0.2034</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0.384</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13.55%</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其中：水电</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亿千瓦</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0.0427</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0.037</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-13.38%</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 xml:space="preserve">      煤电</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亿千瓦</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0.1375</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0.1898</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6.65%</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节能环保</w:t>
            </w: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单位</w:t>
            </w:r>
            <w:r w:rsidRPr="00843BDB">
              <w:rPr>
                <w:kern w:val="0"/>
                <w:szCs w:val="21"/>
              </w:rPr>
              <w:t>GDP</w:t>
            </w:r>
            <w:r w:rsidRPr="00843BDB">
              <w:rPr>
                <w:rFonts w:ascii="宋体" w:hAnsi="宋体" w:cs="宋体" w:hint="eastAsia"/>
                <w:kern w:val="0"/>
                <w:szCs w:val="21"/>
              </w:rPr>
              <w:t>能耗</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吨标准煤</w:t>
            </w:r>
            <w:r w:rsidRPr="00843BDB">
              <w:rPr>
                <w:kern w:val="0"/>
                <w:szCs w:val="21"/>
              </w:rPr>
              <w:t>/</w:t>
            </w:r>
            <w:r w:rsidRPr="00843BDB">
              <w:rPr>
                <w:rFonts w:ascii="宋体" w:hAnsi="宋体" w:cs="宋体" w:hint="eastAsia"/>
                <w:kern w:val="0"/>
                <w:szCs w:val="21"/>
              </w:rPr>
              <w:t>万元</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1.14</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0.96</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[-16%]</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约束性</w:t>
            </w:r>
          </w:p>
        </w:tc>
      </w:tr>
      <w:tr w:rsidR="00843BDB" w:rsidRPr="00843BDB">
        <w:trPr>
          <w:trHeight w:val="52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单位</w:t>
            </w:r>
            <w:r w:rsidRPr="00843BDB">
              <w:rPr>
                <w:kern w:val="0"/>
                <w:szCs w:val="21"/>
              </w:rPr>
              <w:t>GDP</w:t>
            </w:r>
            <w:r w:rsidRPr="00843BDB">
              <w:rPr>
                <w:rFonts w:ascii="宋体" w:hAnsi="宋体" w:cs="宋体" w:hint="eastAsia"/>
                <w:kern w:val="0"/>
                <w:szCs w:val="21"/>
              </w:rPr>
              <w:t>二氧化碳排放下降</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[-17%]</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约束性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火电供电标准煤耗</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克</w:t>
            </w:r>
            <w:r w:rsidRPr="00843BDB">
              <w:rPr>
                <w:kern w:val="0"/>
                <w:szCs w:val="21"/>
              </w:rPr>
              <w:t>/</w:t>
            </w:r>
            <w:r w:rsidRPr="00843BDB">
              <w:rPr>
                <w:rFonts w:ascii="宋体" w:hAnsi="宋体" w:cs="宋体" w:hint="eastAsia"/>
                <w:kern w:val="0"/>
                <w:szCs w:val="21"/>
              </w:rPr>
              <w:t>千瓦时</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334.6</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310</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-1.42%</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电网综合线损率</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6.42</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6</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[-0.42]</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煤电二氧化硫排放系数</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克</w:t>
            </w:r>
            <w:r w:rsidRPr="00843BDB">
              <w:rPr>
                <w:kern w:val="0"/>
                <w:szCs w:val="21"/>
              </w:rPr>
              <w:t>/</w:t>
            </w:r>
            <w:r w:rsidRPr="00843BDB">
              <w:rPr>
                <w:rFonts w:ascii="宋体" w:hAnsi="宋体" w:cs="宋体" w:hint="eastAsia"/>
                <w:kern w:val="0"/>
                <w:szCs w:val="21"/>
              </w:rPr>
              <w:t>千瓦时</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2.7</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2.6</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-0.75%</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约束性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煤电氮氧化物排放系数</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克</w:t>
            </w:r>
            <w:r w:rsidRPr="00843BDB">
              <w:rPr>
                <w:kern w:val="0"/>
                <w:szCs w:val="21"/>
              </w:rPr>
              <w:t>/</w:t>
            </w:r>
            <w:r w:rsidRPr="00843BDB">
              <w:rPr>
                <w:rFonts w:ascii="宋体" w:hAnsi="宋体" w:cs="宋体" w:hint="eastAsia"/>
                <w:kern w:val="0"/>
                <w:szCs w:val="21"/>
              </w:rPr>
              <w:t>千瓦时</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2.6</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1.2</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-14.80%</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约束性</w:t>
            </w:r>
          </w:p>
        </w:tc>
      </w:tr>
      <w:tr w:rsidR="00843BDB" w:rsidRPr="00843BDB">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民生改善</w:t>
            </w: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居民人均生活用电量</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千瓦时</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362</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590</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10.20%</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绿色能源示范县</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个</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0</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10</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 xml:space="preserve">　</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县级城市燃气普及率</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20</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100</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37.97%</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1200" w:type="dxa"/>
            <w:vMerge/>
            <w:tcBorders>
              <w:top w:val="nil"/>
              <w:left w:val="single" w:sz="4" w:space="0" w:color="auto"/>
              <w:bottom w:val="single" w:sz="4" w:space="0" w:color="auto"/>
              <w:right w:val="single" w:sz="4" w:space="0" w:color="auto"/>
            </w:tcBorders>
            <w:vAlign w:val="center"/>
          </w:tcPr>
          <w:p w:rsidR="00843BDB" w:rsidRPr="00843BDB" w:rsidRDefault="00843BDB" w:rsidP="00843BDB">
            <w:pPr>
              <w:widowControl/>
              <w:jc w:val="left"/>
              <w:rPr>
                <w:rFonts w:ascii="宋体" w:hAnsi="宋体" w:cs="宋体"/>
                <w:kern w:val="0"/>
                <w:szCs w:val="21"/>
              </w:rPr>
            </w:pPr>
          </w:p>
        </w:tc>
        <w:tc>
          <w:tcPr>
            <w:tcW w:w="224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农网改造覆盖面</w:t>
            </w:r>
          </w:p>
        </w:tc>
        <w:tc>
          <w:tcPr>
            <w:tcW w:w="152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70</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100</w:t>
            </w:r>
          </w:p>
        </w:tc>
        <w:tc>
          <w:tcPr>
            <w:tcW w:w="86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kern w:val="0"/>
                <w:szCs w:val="21"/>
              </w:rPr>
            </w:pPr>
            <w:r w:rsidRPr="00843BDB">
              <w:rPr>
                <w:kern w:val="0"/>
                <w:szCs w:val="21"/>
              </w:rPr>
              <w:t>42.86</w:t>
            </w:r>
          </w:p>
        </w:tc>
        <w:tc>
          <w:tcPr>
            <w:tcW w:w="900" w:type="dxa"/>
            <w:tcBorders>
              <w:top w:val="nil"/>
              <w:left w:val="nil"/>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预期性</w:t>
            </w:r>
          </w:p>
        </w:tc>
      </w:tr>
      <w:tr w:rsidR="00843BDB" w:rsidRPr="00843BDB">
        <w:trPr>
          <w:trHeight w:val="285"/>
        </w:trPr>
        <w:tc>
          <w:tcPr>
            <w:tcW w:w="84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43BDB" w:rsidRPr="00843BDB" w:rsidRDefault="00843BDB" w:rsidP="00843BDB">
            <w:pPr>
              <w:widowControl/>
              <w:rPr>
                <w:rFonts w:ascii="宋体" w:hAnsi="宋体" w:cs="宋体"/>
                <w:kern w:val="0"/>
                <w:szCs w:val="21"/>
              </w:rPr>
            </w:pPr>
            <w:r w:rsidRPr="00843BDB">
              <w:rPr>
                <w:rFonts w:ascii="宋体" w:hAnsi="宋体" w:cs="宋体" w:hint="eastAsia"/>
                <w:kern w:val="0"/>
                <w:szCs w:val="21"/>
              </w:rPr>
              <w:t>注：</w:t>
            </w:r>
            <w:r w:rsidRPr="00843BDB">
              <w:rPr>
                <w:kern w:val="0"/>
                <w:szCs w:val="21"/>
              </w:rPr>
              <w:t>[ ]</w:t>
            </w:r>
            <w:r w:rsidRPr="00843BDB">
              <w:rPr>
                <w:rFonts w:ascii="宋体" w:hAnsi="宋体" w:cs="宋体" w:hint="eastAsia"/>
                <w:kern w:val="0"/>
                <w:szCs w:val="21"/>
              </w:rPr>
              <w:t>内为五年累计数。</w:t>
            </w:r>
          </w:p>
        </w:tc>
      </w:tr>
    </w:tbl>
    <w:p w:rsidR="005F2203" w:rsidRPr="005F2203" w:rsidRDefault="005F2203" w:rsidP="00931F66">
      <w:pPr>
        <w:snapToGrid w:val="0"/>
        <w:spacing w:line="360" w:lineRule="auto"/>
        <w:rPr>
          <w:rFonts w:ascii="仿宋_GB2312" w:eastAsia="仿宋_GB2312" w:hint="eastAsia"/>
          <w:b/>
          <w:szCs w:val="21"/>
        </w:rPr>
      </w:pP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（二）存在的困难和主要思路。</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1</w:t>
      </w:r>
      <w:r w:rsidR="005F65C8" w:rsidRPr="00931F66">
        <w:rPr>
          <w:rFonts w:ascii="仿宋_GB2312" w:eastAsia="仿宋_GB2312" w:hint="eastAsia"/>
          <w:sz w:val="30"/>
          <w:szCs w:val="30"/>
        </w:rPr>
        <w:t>．</w:t>
      </w:r>
      <w:r w:rsidRPr="00931F66">
        <w:rPr>
          <w:rFonts w:ascii="仿宋_GB2312" w:eastAsia="仿宋_GB2312" w:hint="eastAsia"/>
          <w:sz w:val="30"/>
          <w:szCs w:val="30"/>
        </w:rPr>
        <w:t>存在的困难。吉林省属于老工业基地，总体经济欠发达，</w:t>
      </w:r>
      <w:r w:rsidRPr="00931F66">
        <w:rPr>
          <w:rFonts w:ascii="仿宋_GB2312" w:eastAsia="仿宋_GB2312" w:hint="eastAsia"/>
          <w:sz w:val="30"/>
          <w:szCs w:val="30"/>
        </w:rPr>
        <w:lastRenderedPageBreak/>
        <w:t>工业能耗比重较大。2010年，吉林省三次产业和城乡居民生活用能占能源消费的比重分别为1.6%、71.7%、14%、12.7%。其中，一次产业能源消耗量及占能源消耗量的比重逐年下降；二次产业的增加值增长虽然带来了能耗的快速增长，但二次产业能耗的比重并没有上升；三次产业能耗增长缓慢；城乡居民生活能耗总量和比重均呈较快增长。从二产业内部结构看，重工业能耗所占比重较高，“十一五”我省重工业能耗占工业能耗比重达70%，高于全国平均水平10个百分点。石油、化工、冶金、有色、建材、电力六大高耗能行业能源消耗占全部工业能耗的68.84%。</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随着吉林省城镇化和工业化进程的不断加快，吉林省能源消费总量将随之不断增长，这是不可改变的客观规律，吉林省作为欠发达省份与南方发达省份相比，很难给予应有的能源消费总量指标。吉林省能源消费特点与我国能源消费特点基本一致，即化石能源在一次能源消费中比重较大，这种能源禀赋导致我省的能源结构调整难度很大。因此，降低单位能耗所需要付出的成本将大大提升。</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2</w:t>
      </w:r>
      <w:r w:rsidR="005F65C8" w:rsidRPr="00931F66">
        <w:rPr>
          <w:rFonts w:ascii="仿宋_GB2312" w:eastAsia="仿宋_GB2312" w:hint="eastAsia"/>
          <w:sz w:val="30"/>
          <w:szCs w:val="30"/>
        </w:rPr>
        <w:t>．</w:t>
      </w:r>
      <w:r w:rsidRPr="00931F66">
        <w:rPr>
          <w:rFonts w:ascii="仿宋_GB2312" w:eastAsia="仿宋_GB2312" w:hint="eastAsia"/>
          <w:sz w:val="30"/>
          <w:szCs w:val="30"/>
        </w:rPr>
        <w:t>主要思路。</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lastRenderedPageBreak/>
        <w:t xml:space="preserve">　　（1）在新能源以及清洁能源的利用上应加大力度，保证化石能源比例的逐年降低，从源头上扭转目前的用能形势；</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（2）在产业结构的调整、升级上应大力扶持新兴产业的发展，并积极促进节能环保产业的快速发展，以环保产业作为发展循环经济的契机，带动经济增长；</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（3）通过抑制高耗能行业的的规模化扩张有效地缓解用能压力。</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（三）主要任务和措施。</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1</w:t>
      </w:r>
      <w:r w:rsidR="00F04E2E" w:rsidRPr="00931F66">
        <w:rPr>
          <w:rFonts w:ascii="楷体_GB2312" w:eastAsia="楷体_GB2312" w:hint="eastAsia"/>
          <w:sz w:val="30"/>
          <w:szCs w:val="30"/>
        </w:rPr>
        <w:t>．</w:t>
      </w:r>
      <w:r w:rsidRPr="00931F66">
        <w:rPr>
          <w:rFonts w:ascii="楷体_GB2312" w:eastAsia="楷体_GB2312" w:hint="eastAsia"/>
          <w:sz w:val="30"/>
          <w:szCs w:val="30"/>
        </w:rPr>
        <w:t>加强行政干预，侧重过程管理。</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（1）认真贯彻执行《中华人民共和国节约能源法》等法律法规。加大合理控制能源消费总量的宣传力度，动员全社会参与控制能源消费总量。</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2）健全和加强能源消费管理体系。重点监督石油、化工、冶金、有色、建材、电力等六大行业，控制高耗能行业发展，对不符合节能标准的企业一律关停。制定预警预控方案，跟踪监测各地区单位国内生产总值能耗下降率、重点用能企业单位产品能耗下降率、高耗能行业产值增长等情况。适时对部分企业实行停产限产。</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lastRenderedPageBreak/>
        <w:t xml:space="preserve">　　（3）实行严格的固定资产投资项目节能评估和审查制度。固定资产投资项目立项时，实行严格的节能评估和审查，对未经节能审查或审查未能通过的项目，一律不予审批、核准。通过对全省固定资产投资项目的节能评估和审查，可以从总量上控制全省的能源消费总量。</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（4）积极探索出合理可行的能源消费总量责任分解机制，按市（州）和重点行业分解落实。逐步建立控制能源消费总量目标责任制，纳入各市（州）的日常考核。</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（5）全面推进合同能源管理。开展能源行业合同能源管理示范工程。支持专业节能服务公司同能源企业等用能单位合作，加快节能专项工程实施，全面促进节能降耗工作。</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2</w:t>
      </w:r>
      <w:r w:rsidR="00F04E2E" w:rsidRPr="00931F66">
        <w:rPr>
          <w:rFonts w:ascii="楷体_GB2312" w:eastAsia="楷体_GB2312" w:hint="eastAsia"/>
          <w:sz w:val="30"/>
          <w:szCs w:val="30"/>
        </w:rPr>
        <w:t>．</w:t>
      </w:r>
      <w:r w:rsidRPr="00931F66">
        <w:rPr>
          <w:rFonts w:ascii="楷体_GB2312" w:eastAsia="楷体_GB2312" w:hint="eastAsia"/>
          <w:sz w:val="30"/>
          <w:szCs w:val="30"/>
        </w:rPr>
        <w:t>调整产业结构，优化产业布局。</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2010年，吉林省三产结构为12.2</w:t>
      </w:r>
      <w:r w:rsidRPr="00931F66">
        <w:rPr>
          <w:rFonts w:ascii="仿宋_GB2312" w:eastAsia="仿宋_GB2312" w:hAnsi="宋体" w:cs="宋体" w:hint="eastAsia"/>
          <w:sz w:val="30"/>
          <w:szCs w:val="30"/>
        </w:rPr>
        <w:t>∶</w:t>
      </w:r>
      <w:r w:rsidRPr="00931F66">
        <w:rPr>
          <w:rFonts w:ascii="仿宋_GB2312" w:eastAsia="仿宋_GB2312" w:hint="eastAsia"/>
          <w:sz w:val="30"/>
          <w:szCs w:val="30"/>
        </w:rPr>
        <w:t>51.5</w:t>
      </w:r>
      <w:r w:rsidRPr="00931F66">
        <w:rPr>
          <w:rFonts w:ascii="仿宋_GB2312" w:eastAsia="仿宋_GB2312" w:hAnsi="宋体" w:cs="宋体" w:hint="eastAsia"/>
          <w:sz w:val="30"/>
          <w:szCs w:val="30"/>
        </w:rPr>
        <w:t>∶</w:t>
      </w:r>
      <w:r w:rsidRPr="00931F66">
        <w:rPr>
          <w:rFonts w:ascii="仿宋_GB2312" w:eastAsia="仿宋_GB2312" w:hint="eastAsia"/>
          <w:sz w:val="30"/>
          <w:szCs w:val="30"/>
        </w:rPr>
        <w:t>36.3；三次产业和城乡居民生活用电比重分别为1.6</w:t>
      </w:r>
      <w:r w:rsidRPr="00931F66">
        <w:rPr>
          <w:rFonts w:ascii="仿宋_GB2312" w:eastAsia="仿宋_GB2312" w:hAnsi="宋体" w:cs="宋体" w:hint="eastAsia"/>
          <w:sz w:val="30"/>
          <w:szCs w:val="30"/>
        </w:rPr>
        <w:t>∶</w:t>
      </w:r>
      <w:r w:rsidRPr="00931F66">
        <w:rPr>
          <w:rFonts w:ascii="仿宋_GB2312" w:eastAsia="仿宋_GB2312" w:hint="eastAsia"/>
          <w:sz w:val="30"/>
          <w:szCs w:val="30"/>
        </w:rPr>
        <w:t>71.7</w:t>
      </w:r>
      <w:r w:rsidRPr="00931F66">
        <w:rPr>
          <w:rFonts w:ascii="仿宋_GB2312" w:eastAsia="仿宋_GB2312" w:hAnsi="宋体" w:cs="宋体" w:hint="eastAsia"/>
          <w:sz w:val="30"/>
          <w:szCs w:val="30"/>
        </w:rPr>
        <w:t>∶</w:t>
      </w:r>
      <w:r w:rsidRPr="00931F66">
        <w:rPr>
          <w:rFonts w:ascii="仿宋_GB2312" w:eastAsia="仿宋_GB2312" w:hint="eastAsia"/>
          <w:sz w:val="30"/>
          <w:szCs w:val="30"/>
        </w:rPr>
        <w:t>14</w:t>
      </w:r>
      <w:r w:rsidRPr="00931F66">
        <w:rPr>
          <w:rFonts w:ascii="仿宋_GB2312" w:eastAsia="仿宋_GB2312" w:hAnsi="宋体" w:cs="宋体" w:hint="eastAsia"/>
          <w:sz w:val="30"/>
          <w:szCs w:val="30"/>
        </w:rPr>
        <w:t>∶</w:t>
      </w:r>
      <w:r w:rsidRPr="00931F66">
        <w:rPr>
          <w:rFonts w:ascii="仿宋_GB2312" w:eastAsia="仿宋_GB2312" w:hint="eastAsia"/>
          <w:sz w:val="30"/>
          <w:szCs w:val="30"/>
        </w:rPr>
        <w:t>12.7。二次产业中以传统的重工业为主，单位GDP能耗较大。因此，一方面要推动节能环保、信息技术、生物、高端设备制造和新材料、新能源、新能源汽车等新兴产业，调整传统的二次产业结构；另一方面要大力发展第三产业，以文化、旅游产业为载体，加快培育战略性</w:t>
      </w:r>
      <w:r w:rsidRPr="00931F66">
        <w:rPr>
          <w:rFonts w:ascii="仿宋_GB2312" w:eastAsia="仿宋_GB2312" w:hint="eastAsia"/>
          <w:sz w:val="30"/>
          <w:szCs w:val="30"/>
        </w:rPr>
        <w:lastRenderedPageBreak/>
        <w:t>新兴产业，努力使第三产业增加值的增长快于GDP增长，改变吉林省经济增长过于依赖第二产业，从而促进经济增长向第一、第二、第三产业协调发展转变。保证到2015年单位GDP能耗下降到0.96吨标准煤/万元。</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3</w:t>
      </w:r>
      <w:r w:rsidR="00F04E2E" w:rsidRPr="00931F66">
        <w:rPr>
          <w:rFonts w:ascii="楷体_GB2312" w:eastAsia="楷体_GB2312" w:hint="eastAsia"/>
          <w:sz w:val="30"/>
          <w:szCs w:val="30"/>
        </w:rPr>
        <w:t>．</w:t>
      </w:r>
      <w:r w:rsidRPr="00931F66">
        <w:rPr>
          <w:rFonts w:ascii="楷体_GB2312" w:eastAsia="楷体_GB2312" w:hint="eastAsia"/>
          <w:sz w:val="30"/>
          <w:szCs w:val="30"/>
        </w:rPr>
        <w:t>加快节能技术研究和推广。</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（1）鼓励节能提效科技创新。加快能源科技研发平台和科技孵化器建设，全力推进节约能源、提高能效的新技术、新工艺、新材料、新设备研究与开发，大力支持节能提效示范工程建设。</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2）大力推进工业节能。重点加强石油、化工、冶金、有色、建材、电力等六大高耗能行业的节能管理，强化措施落实，进一步推动节能提效。加快建设重点用能企业能源管理制度，切实加强行业分类指导，推进效能达标；落实国家要求，加快淘汰落后产能；积极推进工业节能技术进步；探索推进节能新机制，加强工业节能管理法规制度建设。</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3）推行绿色建筑和绿色交通。在大中城市积极推行建筑太阳能热利用与光伏发电，重点建设医院、学校、旅馆、饭店、游泳池、公共浴室等热水需求量大的公共建筑太阳能热水系统。在农村和小城镇推广使用太阳能热水系统、太阳房、太阳灶。加</w:t>
      </w:r>
      <w:r w:rsidRPr="00931F66">
        <w:rPr>
          <w:rFonts w:ascii="仿宋_GB2312" w:eastAsia="仿宋_GB2312" w:hint="eastAsia"/>
          <w:sz w:val="30"/>
          <w:szCs w:val="30"/>
        </w:rPr>
        <w:lastRenderedPageBreak/>
        <w:t>快开展地热能资源普查、勘探和规划，积极探索松辽沉降带地热能的综合开发利用。在白山、延边、四平和长春等地热资源富集地区，充分利用地热资源发展热电、疗养保健、温室种植等，重点在伊通建设地热供热示范区。在交通流量较大的城市修建轨道交通，加大城市公交系统改造力度，开辟公交专用车道，建设方便、快捷、舒适的出行环境，减缓私家车发展速度，实现绿色出行。</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（4）积极探索环境能源交易。推进二氧化碳、CDM、CERS、VER、二氧化硫、COD、NOX、NH3－N等能源利用权益交易。</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4</w:t>
      </w:r>
      <w:r w:rsidR="00F04E2E" w:rsidRPr="00931F66">
        <w:rPr>
          <w:rFonts w:ascii="楷体_GB2312" w:eastAsia="楷体_GB2312" w:hint="eastAsia"/>
          <w:sz w:val="30"/>
          <w:szCs w:val="30"/>
        </w:rPr>
        <w:t>．</w:t>
      </w:r>
      <w:r w:rsidRPr="00931F66">
        <w:rPr>
          <w:rFonts w:ascii="楷体_GB2312" w:eastAsia="楷体_GB2312" w:hint="eastAsia"/>
          <w:sz w:val="30"/>
          <w:szCs w:val="30"/>
        </w:rPr>
        <w:t>调整优化能源结构。</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（1）推进能源生产和利用方式变革，改变传统能源发展方式。</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煤炭行业：通过发展安全高效煤矿，推进煤炭资源整合和煤矿企业兼并重组，发展大型煤炭企业集团；有序开展煤制天然气、煤制液体燃料和煤基多联产研发示范，稳步推进产业化发展，逐步实现煤炭清洁利用。“十二五”期间新建洗煤厂1处，入洗能力120万吨，扩建、改造洗煤厂4处，增加入洗能力380万吨，“十二五”期末原煤入洗率64%，洗煤产量1778万吨。石油、天然</w:t>
      </w:r>
      <w:r w:rsidRPr="00931F66">
        <w:rPr>
          <w:rFonts w:ascii="仿宋_GB2312" w:eastAsia="仿宋_GB2312" w:hint="eastAsia"/>
          <w:sz w:val="30"/>
          <w:szCs w:val="30"/>
        </w:rPr>
        <w:lastRenderedPageBreak/>
        <w:t>气行业：加大石油、天然气资源勘探开发力度，推进石油天然气增储增产，尤其是天然气产量快速增长；同时推进煤层气、页岩气等非常规油气资源开发利用，提高能源利用效率。</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电力行业：积极发展清洁高效、大容量燃煤机组，优先发展大中城市热电联产机组，以及大型坑口燃煤电站和煤矸石等综合利用电站，加快推进“上大压小”工作，积极推进各类工业园区及和龙、德惠等中小城市背压机组建设试点。</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2）提高非化石能源比重。重点建设千万千瓦风电基地和生物质能源化利用工程；稳步推进太阳能、地热能开发利用；鼓励发展风电、光电、储能技术攻关和项目建设。积极有序开发风电，重点推进西部通榆、长岭等5个百万千瓦级风电基地建设；加强生物质能的综合开发利用；在西部地区适度建设大型地面光伏并网电站，重点建设与既有建筑结合的用户侧光伏发电项目；继续开发白山、延边等8个小水电基地的水电资源；积极开发地热资源，支持 “暖房子”工程建设，逐步扩大地源热泵供热制冷面积。到2015年，全省风电规划装机达到1458万千瓦；生物质发电装机94.05万千瓦，生物质气体、液体、固体颗粒燃料分别达到10亿立方米、85万吨和234万吨；新增水电装机42.5万</w:t>
      </w:r>
      <w:r w:rsidRPr="00931F66">
        <w:rPr>
          <w:rFonts w:ascii="仿宋_GB2312" w:eastAsia="仿宋_GB2312" w:hint="eastAsia"/>
          <w:sz w:val="30"/>
          <w:szCs w:val="30"/>
        </w:rPr>
        <w:lastRenderedPageBreak/>
        <w:t>千瓦。</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到2015年底，煤炭占一次能源消费比重下降到62%，天然气占比提高到9.42%，非化石能源（含水电）占比提高到9.8%。风电装机占总装机比重提高到37.96%，单机30万千瓦及以上火电机组所占火电装机比重达到70.2%。</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5</w:t>
      </w:r>
      <w:r w:rsidR="00F04E2E" w:rsidRPr="00931F66">
        <w:rPr>
          <w:rFonts w:ascii="楷体_GB2312" w:eastAsia="楷体_GB2312" w:hint="eastAsia"/>
          <w:sz w:val="30"/>
          <w:szCs w:val="30"/>
        </w:rPr>
        <w:t>．</w:t>
      </w:r>
      <w:r w:rsidRPr="00931F66">
        <w:rPr>
          <w:rFonts w:ascii="楷体_GB2312" w:eastAsia="楷体_GB2312" w:hint="eastAsia"/>
          <w:sz w:val="30"/>
          <w:szCs w:val="30"/>
        </w:rPr>
        <w:t>加快供能方式变革。</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1）支持分布式能源发展。“十二五”期间，重点做好秸秆固化颗粒燃料示范项目的推广工作，逐步减少广大农村地区的秸秆直燃量。做好偏远地区可再生能源建设，继续利用小型风电、离网式太阳能发电等分布式电源技术，解决分散住户的用电问题。规划建设小型风电10万千瓦，年节约标准煤7万吨；离网式太阳能发电装机2万千瓦，年节约标准煤1.4万吨。</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（2）继续做好热电联产建设。加快推进“上大压小”工作，新建长春东南热电厂、扩建吉林热电厂等大型城市热电联产项目，相应关停白山热电等88万千瓦小火电机组。积极推进和龙、德惠等8</w:t>
      </w:r>
      <w:r w:rsidR="005F2203">
        <w:rPr>
          <w:rFonts w:ascii="仿宋_GB2312" w:eastAsia="仿宋_GB2312" w:hint="eastAsia"/>
          <w:sz w:val="30"/>
          <w:szCs w:val="30"/>
        </w:rPr>
        <w:t>～</w:t>
      </w:r>
      <w:r w:rsidRPr="00931F66">
        <w:rPr>
          <w:rFonts w:ascii="仿宋_GB2312" w:eastAsia="仿宋_GB2312" w:hint="eastAsia"/>
          <w:sz w:val="30"/>
          <w:szCs w:val="30"/>
        </w:rPr>
        <w:t>10个中小城市背压机组试点工作，逐步替代并取消全省中小城市的小锅炉和区域锅炉房，降低供热煤耗。</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（3）构建坚强智能电网。积极开展智能电网技术研究和重</w:t>
      </w:r>
      <w:r w:rsidRPr="00931F66">
        <w:rPr>
          <w:rFonts w:ascii="仿宋_GB2312" w:eastAsia="仿宋_GB2312" w:hint="eastAsia"/>
          <w:sz w:val="30"/>
          <w:szCs w:val="30"/>
        </w:rPr>
        <w:lastRenderedPageBreak/>
        <w:t>点工程建设，全面提升电网的资源配置能力、安全稳定水平和经济运行效率，为提高电网电力调度、调峰调频和分布式电源接入能力创造条件。</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十二五”期间，规划建设长春南、德惠、吉林东、吉林南、长岭等500千伏变电站；新建松原－德惠、包家－吉林南、吉林南－东丰、松原－长岭、长岭－长春南500千伏同塔双回线路；考虑采用SVC、STATCOM等无功补偿装置，建设通榆－梨树风电送出系统；考虑采用轻型直流等输电技术或SVC、STATCOM等无功补偿装置的交流输电方式，建设向阳－长岭风电送出系统。</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4）重点推进新能源汽车发展。加快推进长春、辽源电动车高性能单体动力电池、电池材料的研发及其产业化应用，努力打造以锂离子动力电池为核心部件的高技术产业群。依托一汽集团，加快开发电动汽车项目，按照“统筹规划、分布实施、安全可靠”的原则，建设100万辆电动汽车充电站、充电桩等基础设施，到2015年，初步形成满足电动汽车需要的充电网络，为我省新能源汽车产业发展提供保障。预计运行电动汽车5万辆，减少石油消耗12.5万吨，折合标准煤17.9万吨。通过以上措施，</w:t>
      </w:r>
      <w:r w:rsidRPr="00931F66">
        <w:rPr>
          <w:rFonts w:ascii="仿宋_GB2312" w:eastAsia="仿宋_GB2312" w:hint="eastAsia"/>
          <w:sz w:val="30"/>
          <w:szCs w:val="30"/>
        </w:rPr>
        <w:lastRenderedPageBreak/>
        <w:t>年可节约标准煤148万吨。</w:t>
      </w:r>
    </w:p>
    <w:p w:rsidR="00EF54E3" w:rsidRPr="00931F66" w:rsidRDefault="00EF54E3" w:rsidP="00931F66">
      <w:pPr>
        <w:snapToGrid w:val="0"/>
        <w:spacing w:line="360" w:lineRule="auto"/>
        <w:rPr>
          <w:rFonts w:ascii="黑体" w:eastAsia="黑体" w:hint="eastAsia"/>
          <w:sz w:val="30"/>
          <w:szCs w:val="30"/>
        </w:rPr>
      </w:pPr>
      <w:r w:rsidRPr="00931F66">
        <w:rPr>
          <w:rFonts w:ascii="黑体" w:eastAsia="黑体" w:hint="eastAsia"/>
          <w:sz w:val="30"/>
          <w:szCs w:val="30"/>
        </w:rPr>
        <w:t xml:space="preserve">　　七、环境影响评价</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本规划从环境协调性和规划实施不良环境影响两方面进行分析，提出能源开发生产环保措施。</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（一）提高规划环境协调性。</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规划环境协调思路。积极发展清洁能源，大力调整能源结构，大力提高清洁能源占能源消费的比重，加快实施“气化吉林”惠民工程，推进火电“上大压小”工作，推进中小城市背压机组建设，积极开发生物质能源，开展农业废弃物资源化利用，大力发展风电，积极推进水电、核电、生物质、光伏发电等清洁能源建设，构建多元化能源保障格局。</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实现目标。合理利用土地资源，本着节约用地的原则，不占用基本农田、草原。最大限度提高废水的重复利用率，工业水源首选考虑利用城市中水和煤矿开采矿井水。合理利用废水、废气和废渣，加强垃圾处理，促进垃圾资源化利用，减少废弃物排放，为实现2020年污染物减排目标奠定基础。</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（二）规划实施不良环境影响分析。</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“十二五”我省能源开发规划建设中，对环境影响较大的建设</w:t>
      </w:r>
      <w:r w:rsidRPr="00931F66">
        <w:rPr>
          <w:rFonts w:ascii="仿宋_GB2312" w:eastAsia="仿宋_GB2312" w:hint="eastAsia"/>
          <w:sz w:val="30"/>
          <w:szCs w:val="30"/>
        </w:rPr>
        <w:lastRenderedPageBreak/>
        <w:t>项目主要为大中城市规划热电联产燃煤机组。其中环境空气污染因子主要为烟气中烟尘、二氧化硫、氮氧化物、二氧化碳等；各类生产废水和生活污水中主要污染因子为污染物化学需氧量（COD）、悬浮固体物（SS）及生物分解需氧量（BOD5），各类机械设备（设施）、空气动力和水流等噪声；燃煤产生灰渣和脱硫系统产生石膏，油页岩干馏产生灰渣等固体废弃物。</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我省能源项目建设对生态环境的影响主要为：一是土地的占用和扰动，使原有地表植被和土地功能发生变化；二是污染物废弃物排放对环境污染。</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（三）能源开发生产环保措施。</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1</w:t>
      </w:r>
      <w:r w:rsidR="005F65C8" w:rsidRPr="00931F66">
        <w:rPr>
          <w:rFonts w:ascii="楷体_GB2312" w:eastAsia="楷体_GB2312" w:hint="eastAsia"/>
          <w:sz w:val="30"/>
          <w:szCs w:val="30"/>
        </w:rPr>
        <w:t>．</w:t>
      </w:r>
      <w:r w:rsidRPr="00931F66">
        <w:rPr>
          <w:rFonts w:ascii="楷体_GB2312" w:eastAsia="楷体_GB2312" w:hint="eastAsia"/>
          <w:sz w:val="30"/>
          <w:szCs w:val="30"/>
        </w:rPr>
        <w:t>加强能源开发生产环保管理。</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加强煤矿矿区生态环境保护工作，加强油气管网建设运营的环境保护，严格实施燃煤电厂污染物排放控制措施，完善核电安全保障体系，加强水电开发环保工作，降低风电运行噪声和电磁辐射等区域环境影响，科学发展生物质能等其他新能源。</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2</w:t>
      </w:r>
      <w:r w:rsidR="005F65C8" w:rsidRPr="00931F66">
        <w:rPr>
          <w:rFonts w:ascii="楷体_GB2312" w:eastAsia="楷体_GB2312" w:hint="eastAsia"/>
          <w:sz w:val="30"/>
          <w:szCs w:val="30"/>
        </w:rPr>
        <w:t>．</w:t>
      </w:r>
      <w:r w:rsidRPr="00931F66">
        <w:rPr>
          <w:rFonts w:ascii="楷体_GB2312" w:eastAsia="楷体_GB2312" w:hint="eastAsia"/>
          <w:sz w:val="30"/>
          <w:szCs w:val="30"/>
        </w:rPr>
        <w:t>加强建设阶段环境保护。</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严格执行国家法律、法规等有关规定，强化各项能源开发项目的环境管理制度，做到合理规划和布局，严格执行环境影响评</w:t>
      </w:r>
      <w:r w:rsidRPr="00931F66">
        <w:rPr>
          <w:rFonts w:ascii="仿宋_GB2312" w:eastAsia="仿宋_GB2312" w:hint="eastAsia"/>
          <w:sz w:val="30"/>
          <w:szCs w:val="30"/>
        </w:rPr>
        <w:lastRenderedPageBreak/>
        <w:t>价和“三同时”制度。项目建设要符合国家和地方产业政策、发展规划，符合污染物排放标准和总量控制要求，认真制定各项环境保护措施、生态保护和恢复措施，并保证落到实处。</w:t>
      </w:r>
    </w:p>
    <w:p w:rsidR="00EF54E3" w:rsidRPr="00931F66" w:rsidRDefault="00EF54E3" w:rsidP="00931F66">
      <w:pPr>
        <w:snapToGrid w:val="0"/>
        <w:spacing w:line="360" w:lineRule="auto"/>
        <w:rPr>
          <w:rFonts w:ascii="楷体_GB2312" w:eastAsia="楷体_GB2312" w:hint="eastAsia"/>
          <w:sz w:val="30"/>
          <w:szCs w:val="30"/>
        </w:rPr>
      </w:pPr>
      <w:r w:rsidRPr="00931F66">
        <w:rPr>
          <w:rFonts w:ascii="楷体_GB2312" w:eastAsia="楷体_GB2312" w:hint="eastAsia"/>
          <w:sz w:val="30"/>
          <w:szCs w:val="30"/>
        </w:rPr>
        <w:t xml:space="preserve">　　3</w:t>
      </w:r>
      <w:r w:rsidR="005F65C8" w:rsidRPr="00931F66">
        <w:rPr>
          <w:rFonts w:ascii="楷体_GB2312" w:eastAsia="楷体_GB2312" w:hint="eastAsia"/>
          <w:sz w:val="30"/>
          <w:szCs w:val="30"/>
        </w:rPr>
        <w:t>．</w:t>
      </w:r>
      <w:r w:rsidRPr="00931F66">
        <w:rPr>
          <w:rFonts w:ascii="楷体_GB2312" w:eastAsia="楷体_GB2312" w:hint="eastAsia"/>
          <w:sz w:val="30"/>
          <w:szCs w:val="30"/>
        </w:rPr>
        <w:t>加强生产阶段环境保护。</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建立健全环境管理和环境监测机构，不断完善日常环境管理。对于污染类项目环保设施运行情况实时进行监控，确保环保设施安全稳定运行，满足污染物达标排放、总量控制要求和完成节能减排约束性控制指标。对于煤矿和油母页岩开采，实施全过程环境管理，严格执行各生产环节环境保护措施及生态保护和恢复措施，强化煤矸石和油页岩灰渣综合利用。</w:t>
      </w:r>
    </w:p>
    <w:p w:rsidR="00EF54E3" w:rsidRPr="00931F66" w:rsidRDefault="00EF54E3" w:rsidP="00931F66">
      <w:pPr>
        <w:snapToGrid w:val="0"/>
        <w:spacing w:line="360" w:lineRule="auto"/>
        <w:rPr>
          <w:rFonts w:ascii="黑体" w:eastAsia="黑体" w:hint="eastAsia"/>
          <w:sz w:val="30"/>
          <w:szCs w:val="30"/>
        </w:rPr>
      </w:pPr>
      <w:r w:rsidRPr="00931F66">
        <w:rPr>
          <w:rFonts w:ascii="黑体" w:eastAsia="黑体" w:hint="eastAsia"/>
          <w:sz w:val="30"/>
          <w:szCs w:val="30"/>
        </w:rPr>
        <w:t xml:space="preserve">　　八、保障措施</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（一）强化能源行业管理。</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认真贯彻执行国家能源政策法规和能源行业规章、标准，加快煤、电、油、气、新能源等省级能源行业管理办法和行业标准的制定和实施，推动能源企业标准化建设。研究制定油页岩开采技术规范等能源产业政策，抓紧编制《吉林省油页岩开发整体规划》。建立和完善能源信息统计体系，加强能源经济运行分析和能源市场需求预测预警，规范能源信息报告和发布制度，为政府</w:t>
      </w:r>
      <w:r w:rsidRPr="00931F66">
        <w:rPr>
          <w:rFonts w:ascii="仿宋_GB2312" w:eastAsia="仿宋_GB2312" w:hint="eastAsia"/>
          <w:sz w:val="30"/>
          <w:szCs w:val="30"/>
        </w:rPr>
        <w:lastRenderedPageBreak/>
        <w:t>决策提供信息支持。</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（二）推进能源体制机制改革。</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支持建设大型能源企业集团，建立现代能源产业体系，推进煤炭企业兼并整合重组，提高产业集中度；支持电力体制改革，进一步研究发、供、用电市场交易机制。</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（三）拓宽能源行业投融资渠道。</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积极探索建立能源产业投资基金，提高直接融资能力。引导创业资本进入能源领域，支持企业发行债券和上市融资，吸引更多社会资金；以“长吉图开发开放先导区”建设为契机，大胆先行先试，鼓励海外投资和民营资本进入我省能源领域。</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（四）加快推进西部能源储运通道建设。</w:t>
      </w:r>
    </w:p>
    <w:p w:rsidR="00EF54E3" w:rsidRPr="00931F66" w:rsidRDefault="00EF54E3" w:rsidP="00931F66">
      <w:pPr>
        <w:snapToGrid w:val="0"/>
        <w:spacing w:line="360" w:lineRule="auto"/>
        <w:rPr>
          <w:rFonts w:ascii="仿宋_GB2312" w:eastAsia="仿宋_GB2312" w:hint="eastAsia"/>
          <w:sz w:val="30"/>
          <w:szCs w:val="30"/>
        </w:rPr>
      </w:pPr>
      <w:r w:rsidRPr="00931F66">
        <w:rPr>
          <w:rFonts w:ascii="仿宋_GB2312" w:eastAsia="仿宋_GB2312" w:hint="eastAsia"/>
          <w:sz w:val="30"/>
          <w:szCs w:val="30"/>
        </w:rPr>
        <w:t xml:space="preserve">　　探索能源战略储备基地建设，积极引导能源商业储备。争取在吉林市建设国家石油战略储备基地。进一步加强与内蒙古自治区有关部门合作，积极争取铁路等部门支持霍林河－白城、长春－白城复线、霍林河－长岭－长春铁路货运专线等蒙煤入吉铁路项目建设，构建蒙东地区煤炭进入我省的便利运输通道。</w:t>
      </w:r>
    </w:p>
    <w:p w:rsidR="00EF54E3" w:rsidRPr="00931F66" w:rsidRDefault="00EF54E3" w:rsidP="00931F66">
      <w:pPr>
        <w:snapToGrid w:val="0"/>
        <w:spacing w:line="360" w:lineRule="auto"/>
        <w:rPr>
          <w:rFonts w:ascii="仿宋_GB2312" w:eastAsia="仿宋_GB2312" w:hint="eastAsia"/>
          <w:b/>
          <w:sz w:val="30"/>
          <w:szCs w:val="30"/>
        </w:rPr>
      </w:pPr>
      <w:r w:rsidRPr="00931F66">
        <w:rPr>
          <w:rFonts w:ascii="仿宋_GB2312" w:eastAsia="仿宋_GB2312" w:hint="eastAsia"/>
          <w:b/>
          <w:sz w:val="30"/>
          <w:szCs w:val="30"/>
        </w:rPr>
        <w:t xml:space="preserve">　　（五）大力促进能源相关产业跃升。</w:t>
      </w:r>
    </w:p>
    <w:p w:rsidR="00EF54E3" w:rsidRPr="00931F66" w:rsidRDefault="00EF54E3" w:rsidP="005F2203">
      <w:pPr>
        <w:snapToGrid w:val="0"/>
        <w:spacing w:line="360" w:lineRule="auto"/>
        <w:ind w:firstLine="420"/>
        <w:rPr>
          <w:rFonts w:ascii="仿宋_GB2312" w:eastAsia="仿宋_GB2312" w:hint="eastAsia"/>
          <w:sz w:val="30"/>
          <w:szCs w:val="30"/>
        </w:rPr>
      </w:pPr>
      <w:r w:rsidRPr="00931F66">
        <w:rPr>
          <w:rFonts w:ascii="仿宋_GB2312" w:eastAsia="仿宋_GB2312" w:hint="eastAsia"/>
          <w:sz w:val="30"/>
          <w:szCs w:val="30"/>
        </w:rPr>
        <w:t>通过大力推进工业化、城镇化和农业现代化，特别是通过实</w:t>
      </w:r>
      <w:r w:rsidRPr="00931F66">
        <w:rPr>
          <w:rFonts w:ascii="仿宋_GB2312" w:eastAsia="仿宋_GB2312" w:hint="eastAsia"/>
          <w:sz w:val="30"/>
          <w:szCs w:val="30"/>
        </w:rPr>
        <w:lastRenderedPageBreak/>
        <w:t>施“长吉图”开发开放带动战略，在节能前提下，拉动用电增长，鼓励采用电采暖、地源热泵等能源替代供暖供热系统，促进技术水平先进的高载能产业向能源富集地区发展。同时，要以市场机制为引导，推进能源各行业之间，能源与相关产业之间的重组与融合，为我省相关产业发展和跃升提供重要保障。</w:t>
      </w:r>
    </w:p>
    <w:sectPr w:rsidR="00EF54E3" w:rsidRPr="00931F66">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EE0" w:rsidRDefault="00F34EE0">
      <w:r>
        <w:separator/>
      </w:r>
    </w:p>
  </w:endnote>
  <w:endnote w:type="continuationSeparator" w:id="1">
    <w:p w:rsidR="00F34EE0" w:rsidRDefault="00F34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ȭхڢ, ڌ墬 Verdana">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0B" w:rsidRDefault="00BE2B0B" w:rsidP="00793D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2B0B" w:rsidRDefault="00BE2B0B" w:rsidP="00F04E2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0B" w:rsidRDefault="00BE2B0B" w:rsidP="00793D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7159A">
      <w:rPr>
        <w:rStyle w:val="a4"/>
        <w:noProof/>
      </w:rPr>
      <w:t>42</w:t>
    </w:r>
    <w:r>
      <w:rPr>
        <w:rStyle w:val="a4"/>
      </w:rPr>
      <w:fldChar w:fldCharType="end"/>
    </w:r>
  </w:p>
  <w:p w:rsidR="00BE2B0B" w:rsidRDefault="00BE2B0B" w:rsidP="00F04E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EE0" w:rsidRDefault="00F34EE0">
      <w:r>
        <w:separator/>
      </w:r>
    </w:p>
  </w:footnote>
  <w:footnote w:type="continuationSeparator" w:id="1">
    <w:p w:rsidR="00F34EE0" w:rsidRDefault="00F34E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4E3"/>
    <w:rsid w:val="0013334E"/>
    <w:rsid w:val="00152A2B"/>
    <w:rsid w:val="001B2AD6"/>
    <w:rsid w:val="00311CE5"/>
    <w:rsid w:val="004B214E"/>
    <w:rsid w:val="00540F85"/>
    <w:rsid w:val="00544DB0"/>
    <w:rsid w:val="005535C6"/>
    <w:rsid w:val="005B0D96"/>
    <w:rsid w:val="005F2203"/>
    <w:rsid w:val="005F65C8"/>
    <w:rsid w:val="00622B98"/>
    <w:rsid w:val="00670048"/>
    <w:rsid w:val="00694665"/>
    <w:rsid w:val="006A4884"/>
    <w:rsid w:val="006F56AF"/>
    <w:rsid w:val="0077335E"/>
    <w:rsid w:val="00793D97"/>
    <w:rsid w:val="008255CF"/>
    <w:rsid w:val="00843BDB"/>
    <w:rsid w:val="008E3B0B"/>
    <w:rsid w:val="00917937"/>
    <w:rsid w:val="00931F66"/>
    <w:rsid w:val="009649B6"/>
    <w:rsid w:val="009F3FC2"/>
    <w:rsid w:val="00A409AD"/>
    <w:rsid w:val="00A4123C"/>
    <w:rsid w:val="00A7159A"/>
    <w:rsid w:val="00A7730D"/>
    <w:rsid w:val="00BE2B0B"/>
    <w:rsid w:val="00CD150F"/>
    <w:rsid w:val="00D72D7F"/>
    <w:rsid w:val="00DF2028"/>
    <w:rsid w:val="00E13FDF"/>
    <w:rsid w:val="00E56641"/>
    <w:rsid w:val="00EF0603"/>
    <w:rsid w:val="00EF54E3"/>
    <w:rsid w:val="00F04E2E"/>
    <w:rsid w:val="00F34EE0"/>
    <w:rsid w:val="00F7170E"/>
    <w:rsid w:val="00FB583C"/>
    <w:rsid w:val="00FC3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eadline-content2">
    <w:name w:val="headline-content2"/>
    <w:basedOn w:val="a0"/>
    <w:rsid w:val="00EF54E3"/>
  </w:style>
  <w:style w:type="paragraph" w:styleId="a3">
    <w:name w:val="footer"/>
    <w:basedOn w:val="a"/>
    <w:rsid w:val="00F04E2E"/>
    <w:pPr>
      <w:tabs>
        <w:tab w:val="center" w:pos="4153"/>
        <w:tab w:val="right" w:pos="8306"/>
      </w:tabs>
      <w:snapToGrid w:val="0"/>
      <w:jc w:val="left"/>
    </w:pPr>
    <w:rPr>
      <w:sz w:val="18"/>
      <w:szCs w:val="18"/>
    </w:rPr>
  </w:style>
  <w:style w:type="character" w:styleId="a4">
    <w:name w:val="page number"/>
    <w:basedOn w:val="a0"/>
    <w:rsid w:val="00F04E2E"/>
  </w:style>
  <w:style w:type="paragraph" w:styleId="a5">
    <w:name w:val="header"/>
    <w:basedOn w:val="a"/>
    <w:link w:val="Char"/>
    <w:rsid w:val="00A40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409AD"/>
    <w:rPr>
      <w:kern w:val="2"/>
      <w:sz w:val="18"/>
      <w:szCs w:val="18"/>
    </w:rPr>
  </w:style>
</w:styles>
</file>

<file path=word/webSettings.xml><?xml version="1.0" encoding="utf-8"?>
<w:webSettings xmlns:r="http://schemas.openxmlformats.org/officeDocument/2006/relationships" xmlns:w="http://schemas.openxmlformats.org/wordprocessingml/2006/main">
  <w:divs>
    <w:div w:id="7945667">
      <w:bodyDiv w:val="1"/>
      <w:marLeft w:val="0"/>
      <w:marRight w:val="0"/>
      <w:marTop w:val="0"/>
      <w:marBottom w:val="0"/>
      <w:divBdr>
        <w:top w:val="none" w:sz="0" w:space="0" w:color="auto"/>
        <w:left w:val="none" w:sz="0" w:space="0" w:color="auto"/>
        <w:bottom w:val="none" w:sz="0" w:space="0" w:color="auto"/>
        <w:right w:val="none" w:sz="0" w:space="0" w:color="auto"/>
      </w:divBdr>
    </w:div>
    <w:div w:id="48967138">
      <w:bodyDiv w:val="1"/>
      <w:marLeft w:val="0"/>
      <w:marRight w:val="0"/>
      <w:marTop w:val="0"/>
      <w:marBottom w:val="0"/>
      <w:divBdr>
        <w:top w:val="none" w:sz="0" w:space="0" w:color="auto"/>
        <w:left w:val="none" w:sz="0" w:space="0" w:color="auto"/>
        <w:bottom w:val="none" w:sz="0" w:space="0" w:color="auto"/>
        <w:right w:val="none" w:sz="0" w:space="0" w:color="auto"/>
      </w:divBdr>
    </w:div>
    <w:div w:id="62073741">
      <w:bodyDiv w:val="1"/>
      <w:marLeft w:val="0"/>
      <w:marRight w:val="0"/>
      <w:marTop w:val="0"/>
      <w:marBottom w:val="0"/>
      <w:divBdr>
        <w:top w:val="none" w:sz="0" w:space="0" w:color="auto"/>
        <w:left w:val="none" w:sz="0" w:space="0" w:color="auto"/>
        <w:bottom w:val="none" w:sz="0" w:space="0" w:color="auto"/>
        <w:right w:val="none" w:sz="0" w:space="0" w:color="auto"/>
      </w:divBdr>
    </w:div>
    <w:div w:id="144013060">
      <w:bodyDiv w:val="1"/>
      <w:marLeft w:val="0"/>
      <w:marRight w:val="0"/>
      <w:marTop w:val="0"/>
      <w:marBottom w:val="0"/>
      <w:divBdr>
        <w:top w:val="none" w:sz="0" w:space="0" w:color="auto"/>
        <w:left w:val="none" w:sz="0" w:space="0" w:color="auto"/>
        <w:bottom w:val="none" w:sz="0" w:space="0" w:color="auto"/>
        <w:right w:val="none" w:sz="0" w:space="0" w:color="auto"/>
      </w:divBdr>
    </w:div>
    <w:div w:id="145244719">
      <w:bodyDiv w:val="1"/>
      <w:marLeft w:val="0"/>
      <w:marRight w:val="0"/>
      <w:marTop w:val="0"/>
      <w:marBottom w:val="0"/>
      <w:divBdr>
        <w:top w:val="none" w:sz="0" w:space="0" w:color="auto"/>
        <w:left w:val="none" w:sz="0" w:space="0" w:color="auto"/>
        <w:bottom w:val="none" w:sz="0" w:space="0" w:color="auto"/>
        <w:right w:val="none" w:sz="0" w:space="0" w:color="auto"/>
      </w:divBdr>
    </w:div>
    <w:div w:id="168837059">
      <w:bodyDiv w:val="1"/>
      <w:marLeft w:val="0"/>
      <w:marRight w:val="0"/>
      <w:marTop w:val="0"/>
      <w:marBottom w:val="0"/>
      <w:divBdr>
        <w:top w:val="none" w:sz="0" w:space="0" w:color="auto"/>
        <w:left w:val="none" w:sz="0" w:space="0" w:color="auto"/>
        <w:bottom w:val="none" w:sz="0" w:space="0" w:color="auto"/>
        <w:right w:val="none" w:sz="0" w:space="0" w:color="auto"/>
      </w:divBdr>
    </w:div>
    <w:div w:id="195312842">
      <w:bodyDiv w:val="1"/>
      <w:marLeft w:val="0"/>
      <w:marRight w:val="0"/>
      <w:marTop w:val="0"/>
      <w:marBottom w:val="0"/>
      <w:divBdr>
        <w:top w:val="none" w:sz="0" w:space="0" w:color="auto"/>
        <w:left w:val="none" w:sz="0" w:space="0" w:color="auto"/>
        <w:bottom w:val="none" w:sz="0" w:space="0" w:color="auto"/>
        <w:right w:val="none" w:sz="0" w:space="0" w:color="auto"/>
      </w:divBdr>
    </w:div>
    <w:div w:id="206114755">
      <w:bodyDiv w:val="1"/>
      <w:marLeft w:val="0"/>
      <w:marRight w:val="0"/>
      <w:marTop w:val="0"/>
      <w:marBottom w:val="0"/>
      <w:divBdr>
        <w:top w:val="none" w:sz="0" w:space="0" w:color="auto"/>
        <w:left w:val="none" w:sz="0" w:space="0" w:color="auto"/>
        <w:bottom w:val="none" w:sz="0" w:space="0" w:color="auto"/>
        <w:right w:val="none" w:sz="0" w:space="0" w:color="auto"/>
      </w:divBdr>
    </w:div>
    <w:div w:id="277181978">
      <w:bodyDiv w:val="1"/>
      <w:marLeft w:val="0"/>
      <w:marRight w:val="0"/>
      <w:marTop w:val="0"/>
      <w:marBottom w:val="0"/>
      <w:divBdr>
        <w:top w:val="none" w:sz="0" w:space="0" w:color="auto"/>
        <w:left w:val="none" w:sz="0" w:space="0" w:color="auto"/>
        <w:bottom w:val="none" w:sz="0" w:space="0" w:color="auto"/>
        <w:right w:val="none" w:sz="0" w:space="0" w:color="auto"/>
      </w:divBdr>
    </w:div>
    <w:div w:id="288977577">
      <w:bodyDiv w:val="1"/>
      <w:marLeft w:val="0"/>
      <w:marRight w:val="0"/>
      <w:marTop w:val="0"/>
      <w:marBottom w:val="0"/>
      <w:divBdr>
        <w:top w:val="none" w:sz="0" w:space="0" w:color="auto"/>
        <w:left w:val="none" w:sz="0" w:space="0" w:color="auto"/>
        <w:bottom w:val="none" w:sz="0" w:space="0" w:color="auto"/>
        <w:right w:val="none" w:sz="0" w:space="0" w:color="auto"/>
      </w:divBdr>
      <w:divsChild>
        <w:div w:id="1909798783">
          <w:marLeft w:val="0"/>
          <w:marRight w:val="0"/>
          <w:marTop w:val="0"/>
          <w:marBottom w:val="0"/>
          <w:divBdr>
            <w:top w:val="none" w:sz="0" w:space="0" w:color="auto"/>
            <w:left w:val="none" w:sz="0" w:space="0" w:color="auto"/>
            <w:bottom w:val="none" w:sz="0" w:space="0" w:color="auto"/>
            <w:right w:val="none" w:sz="0" w:space="0" w:color="auto"/>
          </w:divBdr>
          <w:divsChild>
            <w:div w:id="641079644">
              <w:marLeft w:val="0"/>
              <w:marRight w:val="0"/>
              <w:marTop w:val="0"/>
              <w:marBottom w:val="0"/>
              <w:divBdr>
                <w:top w:val="none" w:sz="0" w:space="0" w:color="auto"/>
                <w:left w:val="none" w:sz="0" w:space="0" w:color="auto"/>
                <w:bottom w:val="none" w:sz="0" w:space="0" w:color="auto"/>
                <w:right w:val="none" w:sz="0" w:space="0" w:color="auto"/>
              </w:divBdr>
              <w:divsChild>
                <w:div w:id="1506897238">
                  <w:marLeft w:val="0"/>
                  <w:marRight w:val="0"/>
                  <w:marTop w:val="0"/>
                  <w:marBottom w:val="0"/>
                  <w:divBdr>
                    <w:top w:val="none" w:sz="0" w:space="0" w:color="auto"/>
                    <w:left w:val="none" w:sz="0" w:space="0" w:color="auto"/>
                    <w:bottom w:val="none" w:sz="0" w:space="0" w:color="auto"/>
                    <w:right w:val="none" w:sz="0" w:space="0" w:color="auto"/>
                  </w:divBdr>
                  <w:divsChild>
                    <w:div w:id="1978560365">
                      <w:marLeft w:val="0"/>
                      <w:marRight w:val="0"/>
                      <w:marTop w:val="210"/>
                      <w:marBottom w:val="0"/>
                      <w:divBdr>
                        <w:top w:val="none" w:sz="0" w:space="0" w:color="auto"/>
                        <w:left w:val="none" w:sz="0" w:space="0" w:color="auto"/>
                        <w:bottom w:val="none" w:sz="0" w:space="0" w:color="auto"/>
                        <w:right w:val="none" w:sz="0" w:space="0" w:color="auto"/>
                      </w:divBdr>
                      <w:divsChild>
                        <w:div w:id="451478354">
                          <w:marLeft w:val="0"/>
                          <w:marRight w:val="0"/>
                          <w:marTop w:val="0"/>
                          <w:marBottom w:val="0"/>
                          <w:divBdr>
                            <w:top w:val="none" w:sz="0" w:space="0" w:color="auto"/>
                            <w:left w:val="none" w:sz="0" w:space="0" w:color="auto"/>
                            <w:bottom w:val="none" w:sz="0" w:space="0" w:color="auto"/>
                            <w:right w:val="none" w:sz="0" w:space="0" w:color="auto"/>
                          </w:divBdr>
                          <w:divsChild>
                            <w:div w:id="727338337">
                              <w:marLeft w:val="0"/>
                              <w:marRight w:val="0"/>
                              <w:marTop w:val="0"/>
                              <w:marBottom w:val="0"/>
                              <w:divBdr>
                                <w:top w:val="none" w:sz="0" w:space="0" w:color="auto"/>
                                <w:left w:val="none" w:sz="0" w:space="0" w:color="auto"/>
                                <w:bottom w:val="none" w:sz="0" w:space="0" w:color="auto"/>
                                <w:right w:val="none" w:sz="0" w:space="0" w:color="auto"/>
                              </w:divBdr>
                              <w:divsChild>
                                <w:div w:id="1557427883">
                                  <w:marLeft w:val="0"/>
                                  <w:marRight w:val="0"/>
                                  <w:marTop w:val="0"/>
                                  <w:marBottom w:val="0"/>
                                  <w:divBdr>
                                    <w:top w:val="none" w:sz="0" w:space="0" w:color="auto"/>
                                    <w:left w:val="none" w:sz="0" w:space="0" w:color="auto"/>
                                    <w:bottom w:val="none" w:sz="0" w:space="0" w:color="auto"/>
                                    <w:right w:val="none" w:sz="0" w:space="0" w:color="auto"/>
                                  </w:divBdr>
                                  <w:divsChild>
                                    <w:div w:id="5098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392161">
      <w:bodyDiv w:val="1"/>
      <w:marLeft w:val="0"/>
      <w:marRight w:val="0"/>
      <w:marTop w:val="0"/>
      <w:marBottom w:val="0"/>
      <w:divBdr>
        <w:top w:val="none" w:sz="0" w:space="0" w:color="auto"/>
        <w:left w:val="none" w:sz="0" w:space="0" w:color="auto"/>
        <w:bottom w:val="none" w:sz="0" w:space="0" w:color="auto"/>
        <w:right w:val="none" w:sz="0" w:space="0" w:color="auto"/>
      </w:divBdr>
    </w:div>
    <w:div w:id="458962886">
      <w:bodyDiv w:val="1"/>
      <w:marLeft w:val="0"/>
      <w:marRight w:val="0"/>
      <w:marTop w:val="0"/>
      <w:marBottom w:val="0"/>
      <w:divBdr>
        <w:top w:val="none" w:sz="0" w:space="0" w:color="auto"/>
        <w:left w:val="none" w:sz="0" w:space="0" w:color="auto"/>
        <w:bottom w:val="none" w:sz="0" w:space="0" w:color="auto"/>
        <w:right w:val="none" w:sz="0" w:space="0" w:color="auto"/>
      </w:divBdr>
    </w:div>
    <w:div w:id="469130665">
      <w:bodyDiv w:val="1"/>
      <w:marLeft w:val="0"/>
      <w:marRight w:val="0"/>
      <w:marTop w:val="0"/>
      <w:marBottom w:val="0"/>
      <w:divBdr>
        <w:top w:val="none" w:sz="0" w:space="0" w:color="auto"/>
        <w:left w:val="none" w:sz="0" w:space="0" w:color="auto"/>
        <w:bottom w:val="none" w:sz="0" w:space="0" w:color="auto"/>
        <w:right w:val="none" w:sz="0" w:space="0" w:color="auto"/>
      </w:divBdr>
    </w:div>
    <w:div w:id="477455962">
      <w:bodyDiv w:val="1"/>
      <w:marLeft w:val="0"/>
      <w:marRight w:val="0"/>
      <w:marTop w:val="0"/>
      <w:marBottom w:val="0"/>
      <w:divBdr>
        <w:top w:val="none" w:sz="0" w:space="0" w:color="auto"/>
        <w:left w:val="none" w:sz="0" w:space="0" w:color="auto"/>
        <w:bottom w:val="none" w:sz="0" w:space="0" w:color="auto"/>
        <w:right w:val="none" w:sz="0" w:space="0" w:color="auto"/>
      </w:divBdr>
    </w:div>
    <w:div w:id="515387831">
      <w:bodyDiv w:val="1"/>
      <w:marLeft w:val="0"/>
      <w:marRight w:val="0"/>
      <w:marTop w:val="0"/>
      <w:marBottom w:val="0"/>
      <w:divBdr>
        <w:top w:val="none" w:sz="0" w:space="0" w:color="auto"/>
        <w:left w:val="none" w:sz="0" w:space="0" w:color="auto"/>
        <w:bottom w:val="none" w:sz="0" w:space="0" w:color="auto"/>
        <w:right w:val="none" w:sz="0" w:space="0" w:color="auto"/>
      </w:divBdr>
    </w:div>
    <w:div w:id="588580800">
      <w:bodyDiv w:val="1"/>
      <w:marLeft w:val="0"/>
      <w:marRight w:val="0"/>
      <w:marTop w:val="0"/>
      <w:marBottom w:val="0"/>
      <w:divBdr>
        <w:top w:val="none" w:sz="0" w:space="0" w:color="auto"/>
        <w:left w:val="none" w:sz="0" w:space="0" w:color="auto"/>
        <w:bottom w:val="none" w:sz="0" w:space="0" w:color="auto"/>
        <w:right w:val="none" w:sz="0" w:space="0" w:color="auto"/>
      </w:divBdr>
    </w:div>
    <w:div w:id="628753146">
      <w:bodyDiv w:val="1"/>
      <w:marLeft w:val="0"/>
      <w:marRight w:val="0"/>
      <w:marTop w:val="0"/>
      <w:marBottom w:val="0"/>
      <w:divBdr>
        <w:top w:val="none" w:sz="0" w:space="0" w:color="auto"/>
        <w:left w:val="none" w:sz="0" w:space="0" w:color="auto"/>
        <w:bottom w:val="none" w:sz="0" w:space="0" w:color="auto"/>
        <w:right w:val="none" w:sz="0" w:space="0" w:color="auto"/>
      </w:divBdr>
    </w:div>
    <w:div w:id="637491730">
      <w:bodyDiv w:val="1"/>
      <w:marLeft w:val="0"/>
      <w:marRight w:val="0"/>
      <w:marTop w:val="0"/>
      <w:marBottom w:val="0"/>
      <w:divBdr>
        <w:top w:val="none" w:sz="0" w:space="0" w:color="auto"/>
        <w:left w:val="none" w:sz="0" w:space="0" w:color="auto"/>
        <w:bottom w:val="none" w:sz="0" w:space="0" w:color="auto"/>
        <w:right w:val="none" w:sz="0" w:space="0" w:color="auto"/>
      </w:divBdr>
    </w:div>
    <w:div w:id="664475296">
      <w:bodyDiv w:val="1"/>
      <w:marLeft w:val="0"/>
      <w:marRight w:val="0"/>
      <w:marTop w:val="0"/>
      <w:marBottom w:val="0"/>
      <w:divBdr>
        <w:top w:val="none" w:sz="0" w:space="0" w:color="auto"/>
        <w:left w:val="none" w:sz="0" w:space="0" w:color="auto"/>
        <w:bottom w:val="none" w:sz="0" w:space="0" w:color="auto"/>
        <w:right w:val="none" w:sz="0" w:space="0" w:color="auto"/>
      </w:divBdr>
    </w:div>
    <w:div w:id="774132062">
      <w:bodyDiv w:val="1"/>
      <w:marLeft w:val="0"/>
      <w:marRight w:val="0"/>
      <w:marTop w:val="0"/>
      <w:marBottom w:val="0"/>
      <w:divBdr>
        <w:top w:val="none" w:sz="0" w:space="0" w:color="auto"/>
        <w:left w:val="none" w:sz="0" w:space="0" w:color="auto"/>
        <w:bottom w:val="none" w:sz="0" w:space="0" w:color="auto"/>
        <w:right w:val="none" w:sz="0" w:space="0" w:color="auto"/>
      </w:divBdr>
    </w:div>
    <w:div w:id="837504199">
      <w:bodyDiv w:val="1"/>
      <w:marLeft w:val="0"/>
      <w:marRight w:val="0"/>
      <w:marTop w:val="0"/>
      <w:marBottom w:val="0"/>
      <w:divBdr>
        <w:top w:val="none" w:sz="0" w:space="0" w:color="auto"/>
        <w:left w:val="none" w:sz="0" w:space="0" w:color="auto"/>
        <w:bottom w:val="none" w:sz="0" w:space="0" w:color="auto"/>
        <w:right w:val="none" w:sz="0" w:space="0" w:color="auto"/>
      </w:divBdr>
    </w:div>
    <w:div w:id="989090306">
      <w:bodyDiv w:val="1"/>
      <w:marLeft w:val="0"/>
      <w:marRight w:val="0"/>
      <w:marTop w:val="0"/>
      <w:marBottom w:val="0"/>
      <w:divBdr>
        <w:top w:val="none" w:sz="0" w:space="0" w:color="auto"/>
        <w:left w:val="none" w:sz="0" w:space="0" w:color="auto"/>
        <w:bottom w:val="none" w:sz="0" w:space="0" w:color="auto"/>
        <w:right w:val="none" w:sz="0" w:space="0" w:color="auto"/>
      </w:divBdr>
    </w:div>
    <w:div w:id="995844194">
      <w:bodyDiv w:val="1"/>
      <w:marLeft w:val="0"/>
      <w:marRight w:val="0"/>
      <w:marTop w:val="0"/>
      <w:marBottom w:val="0"/>
      <w:divBdr>
        <w:top w:val="none" w:sz="0" w:space="0" w:color="auto"/>
        <w:left w:val="none" w:sz="0" w:space="0" w:color="auto"/>
        <w:bottom w:val="none" w:sz="0" w:space="0" w:color="auto"/>
        <w:right w:val="none" w:sz="0" w:space="0" w:color="auto"/>
      </w:divBdr>
    </w:div>
    <w:div w:id="1071343605">
      <w:bodyDiv w:val="1"/>
      <w:marLeft w:val="0"/>
      <w:marRight w:val="0"/>
      <w:marTop w:val="0"/>
      <w:marBottom w:val="0"/>
      <w:divBdr>
        <w:top w:val="none" w:sz="0" w:space="0" w:color="auto"/>
        <w:left w:val="none" w:sz="0" w:space="0" w:color="auto"/>
        <w:bottom w:val="none" w:sz="0" w:space="0" w:color="auto"/>
        <w:right w:val="none" w:sz="0" w:space="0" w:color="auto"/>
      </w:divBdr>
    </w:div>
    <w:div w:id="1078091653">
      <w:bodyDiv w:val="1"/>
      <w:marLeft w:val="0"/>
      <w:marRight w:val="0"/>
      <w:marTop w:val="0"/>
      <w:marBottom w:val="0"/>
      <w:divBdr>
        <w:top w:val="none" w:sz="0" w:space="0" w:color="auto"/>
        <w:left w:val="none" w:sz="0" w:space="0" w:color="auto"/>
        <w:bottom w:val="none" w:sz="0" w:space="0" w:color="auto"/>
        <w:right w:val="none" w:sz="0" w:space="0" w:color="auto"/>
      </w:divBdr>
    </w:div>
    <w:div w:id="1180853153">
      <w:bodyDiv w:val="1"/>
      <w:marLeft w:val="0"/>
      <w:marRight w:val="0"/>
      <w:marTop w:val="0"/>
      <w:marBottom w:val="0"/>
      <w:divBdr>
        <w:top w:val="none" w:sz="0" w:space="0" w:color="auto"/>
        <w:left w:val="none" w:sz="0" w:space="0" w:color="auto"/>
        <w:bottom w:val="none" w:sz="0" w:space="0" w:color="auto"/>
        <w:right w:val="none" w:sz="0" w:space="0" w:color="auto"/>
      </w:divBdr>
    </w:div>
    <w:div w:id="1201551290">
      <w:bodyDiv w:val="1"/>
      <w:marLeft w:val="0"/>
      <w:marRight w:val="0"/>
      <w:marTop w:val="0"/>
      <w:marBottom w:val="0"/>
      <w:divBdr>
        <w:top w:val="none" w:sz="0" w:space="0" w:color="auto"/>
        <w:left w:val="none" w:sz="0" w:space="0" w:color="auto"/>
        <w:bottom w:val="none" w:sz="0" w:space="0" w:color="auto"/>
        <w:right w:val="none" w:sz="0" w:space="0" w:color="auto"/>
      </w:divBdr>
    </w:div>
    <w:div w:id="1239364489">
      <w:bodyDiv w:val="1"/>
      <w:marLeft w:val="0"/>
      <w:marRight w:val="0"/>
      <w:marTop w:val="0"/>
      <w:marBottom w:val="0"/>
      <w:divBdr>
        <w:top w:val="none" w:sz="0" w:space="0" w:color="auto"/>
        <w:left w:val="none" w:sz="0" w:space="0" w:color="auto"/>
        <w:bottom w:val="none" w:sz="0" w:space="0" w:color="auto"/>
        <w:right w:val="none" w:sz="0" w:space="0" w:color="auto"/>
      </w:divBdr>
    </w:div>
    <w:div w:id="1254389552">
      <w:bodyDiv w:val="1"/>
      <w:marLeft w:val="0"/>
      <w:marRight w:val="0"/>
      <w:marTop w:val="0"/>
      <w:marBottom w:val="0"/>
      <w:divBdr>
        <w:top w:val="none" w:sz="0" w:space="0" w:color="auto"/>
        <w:left w:val="none" w:sz="0" w:space="0" w:color="auto"/>
        <w:bottom w:val="none" w:sz="0" w:space="0" w:color="auto"/>
        <w:right w:val="none" w:sz="0" w:space="0" w:color="auto"/>
      </w:divBdr>
      <w:divsChild>
        <w:div w:id="433945384">
          <w:marLeft w:val="0"/>
          <w:marRight w:val="0"/>
          <w:marTop w:val="0"/>
          <w:marBottom w:val="0"/>
          <w:divBdr>
            <w:top w:val="none" w:sz="0" w:space="0" w:color="auto"/>
            <w:left w:val="none" w:sz="0" w:space="0" w:color="auto"/>
            <w:bottom w:val="none" w:sz="0" w:space="0" w:color="auto"/>
            <w:right w:val="none" w:sz="0" w:space="0" w:color="auto"/>
          </w:divBdr>
          <w:divsChild>
            <w:div w:id="22021334">
              <w:marLeft w:val="0"/>
              <w:marRight w:val="0"/>
              <w:marTop w:val="0"/>
              <w:marBottom w:val="0"/>
              <w:divBdr>
                <w:top w:val="none" w:sz="0" w:space="0" w:color="auto"/>
                <w:left w:val="none" w:sz="0" w:space="0" w:color="auto"/>
                <w:bottom w:val="none" w:sz="0" w:space="0" w:color="auto"/>
                <w:right w:val="none" w:sz="0" w:space="0" w:color="auto"/>
              </w:divBdr>
              <w:divsChild>
                <w:div w:id="376585167">
                  <w:marLeft w:val="0"/>
                  <w:marRight w:val="0"/>
                  <w:marTop w:val="0"/>
                  <w:marBottom w:val="0"/>
                  <w:divBdr>
                    <w:top w:val="none" w:sz="0" w:space="0" w:color="auto"/>
                    <w:left w:val="none" w:sz="0" w:space="0" w:color="auto"/>
                    <w:bottom w:val="none" w:sz="0" w:space="0" w:color="auto"/>
                    <w:right w:val="none" w:sz="0" w:space="0" w:color="auto"/>
                  </w:divBdr>
                  <w:divsChild>
                    <w:div w:id="366411920">
                      <w:marLeft w:val="0"/>
                      <w:marRight w:val="0"/>
                      <w:marTop w:val="210"/>
                      <w:marBottom w:val="0"/>
                      <w:divBdr>
                        <w:top w:val="none" w:sz="0" w:space="0" w:color="auto"/>
                        <w:left w:val="none" w:sz="0" w:space="0" w:color="auto"/>
                        <w:bottom w:val="none" w:sz="0" w:space="0" w:color="auto"/>
                        <w:right w:val="none" w:sz="0" w:space="0" w:color="auto"/>
                      </w:divBdr>
                      <w:divsChild>
                        <w:div w:id="588927713">
                          <w:marLeft w:val="0"/>
                          <w:marRight w:val="0"/>
                          <w:marTop w:val="0"/>
                          <w:marBottom w:val="0"/>
                          <w:divBdr>
                            <w:top w:val="none" w:sz="0" w:space="0" w:color="auto"/>
                            <w:left w:val="none" w:sz="0" w:space="0" w:color="auto"/>
                            <w:bottom w:val="none" w:sz="0" w:space="0" w:color="auto"/>
                            <w:right w:val="none" w:sz="0" w:space="0" w:color="auto"/>
                          </w:divBdr>
                          <w:divsChild>
                            <w:div w:id="1496796853">
                              <w:marLeft w:val="0"/>
                              <w:marRight w:val="0"/>
                              <w:marTop w:val="0"/>
                              <w:marBottom w:val="0"/>
                              <w:divBdr>
                                <w:top w:val="none" w:sz="0" w:space="0" w:color="auto"/>
                                <w:left w:val="none" w:sz="0" w:space="0" w:color="auto"/>
                                <w:bottom w:val="none" w:sz="0" w:space="0" w:color="auto"/>
                                <w:right w:val="none" w:sz="0" w:space="0" w:color="auto"/>
                              </w:divBdr>
                              <w:divsChild>
                                <w:div w:id="1412385232">
                                  <w:marLeft w:val="0"/>
                                  <w:marRight w:val="0"/>
                                  <w:marTop w:val="0"/>
                                  <w:marBottom w:val="0"/>
                                  <w:divBdr>
                                    <w:top w:val="none" w:sz="0" w:space="0" w:color="auto"/>
                                    <w:left w:val="none" w:sz="0" w:space="0" w:color="auto"/>
                                    <w:bottom w:val="none" w:sz="0" w:space="0" w:color="auto"/>
                                    <w:right w:val="none" w:sz="0" w:space="0" w:color="auto"/>
                                  </w:divBdr>
                                  <w:divsChild>
                                    <w:div w:id="793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65852">
      <w:bodyDiv w:val="1"/>
      <w:marLeft w:val="0"/>
      <w:marRight w:val="0"/>
      <w:marTop w:val="0"/>
      <w:marBottom w:val="0"/>
      <w:divBdr>
        <w:top w:val="none" w:sz="0" w:space="0" w:color="auto"/>
        <w:left w:val="none" w:sz="0" w:space="0" w:color="auto"/>
        <w:bottom w:val="none" w:sz="0" w:space="0" w:color="auto"/>
        <w:right w:val="none" w:sz="0" w:space="0" w:color="auto"/>
      </w:divBdr>
    </w:div>
    <w:div w:id="1315452537">
      <w:bodyDiv w:val="1"/>
      <w:marLeft w:val="0"/>
      <w:marRight w:val="0"/>
      <w:marTop w:val="0"/>
      <w:marBottom w:val="0"/>
      <w:divBdr>
        <w:top w:val="none" w:sz="0" w:space="0" w:color="auto"/>
        <w:left w:val="none" w:sz="0" w:space="0" w:color="auto"/>
        <w:bottom w:val="none" w:sz="0" w:space="0" w:color="auto"/>
        <w:right w:val="none" w:sz="0" w:space="0" w:color="auto"/>
      </w:divBdr>
    </w:div>
    <w:div w:id="1324966657">
      <w:bodyDiv w:val="1"/>
      <w:marLeft w:val="0"/>
      <w:marRight w:val="0"/>
      <w:marTop w:val="0"/>
      <w:marBottom w:val="0"/>
      <w:divBdr>
        <w:top w:val="none" w:sz="0" w:space="0" w:color="auto"/>
        <w:left w:val="none" w:sz="0" w:space="0" w:color="auto"/>
        <w:bottom w:val="none" w:sz="0" w:space="0" w:color="auto"/>
        <w:right w:val="none" w:sz="0" w:space="0" w:color="auto"/>
      </w:divBdr>
    </w:div>
    <w:div w:id="1334844922">
      <w:bodyDiv w:val="1"/>
      <w:marLeft w:val="0"/>
      <w:marRight w:val="0"/>
      <w:marTop w:val="0"/>
      <w:marBottom w:val="0"/>
      <w:divBdr>
        <w:top w:val="none" w:sz="0" w:space="0" w:color="auto"/>
        <w:left w:val="none" w:sz="0" w:space="0" w:color="auto"/>
        <w:bottom w:val="none" w:sz="0" w:space="0" w:color="auto"/>
        <w:right w:val="none" w:sz="0" w:space="0" w:color="auto"/>
      </w:divBdr>
    </w:div>
    <w:div w:id="1437679583">
      <w:bodyDiv w:val="1"/>
      <w:marLeft w:val="0"/>
      <w:marRight w:val="0"/>
      <w:marTop w:val="0"/>
      <w:marBottom w:val="0"/>
      <w:divBdr>
        <w:top w:val="none" w:sz="0" w:space="0" w:color="auto"/>
        <w:left w:val="none" w:sz="0" w:space="0" w:color="auto"/>
        <w:bottom w:val="none" w:sz="0" w:space="0" w:color="auto"/>
        <w:right w:val="none" w:sz="0" w:space="0" w:color="auto"/>
      </w:divBdr>
    </w:div>
    <w:div w:id="1489902165">
      <w:bodyDiv w:val="1"/>
      <w:marLeft w:val="0"/>
      <w:marRight w:val="0"/>
      <w:marTop w:val="0"/>
      <w:marBottom w:val="0"/>
      <w:divBdr>
        <w:top w:val="none" w:sz="0" w:space="0" w:color="auto"/>
        <w:left w:val="none" w:sz="0" w:space="0" w:color="auto"/>
        <w:bottom w:val="none" w:sz="0" w:space="0" w:color="auto"/>
        <w:right w:val="none" w:sz="0" w:space="0" w:color="auto"/>
      </w:divBdr>
    </w:div>
    <w:div w:id="1518739671">
      <w:bodyDiv w:val="1"/>
      <w:marLeft w:val="0"/>
      <w:marRight w:val="0"/>
      <w:marTop w:val="0"/>
      <w:marBottom w:val="0"/>
      <w:divBdr>
        <w:top w:val="none" w:sz="0" w:space="0" w:color="auto"/>
        <w:left w:val="none" w:sz="0" w:space="0" w:color="auto"/>
        <w:bottom w:val="none" w:sz="0" w:space="0" w:color="auto"/>
        <w:right w:val="none" w:sz="0" w:space="0" w:color="auto"/>
      </w:divBdr>
    </w:div>
    <w:div w:id="1576161980">
      <w:bodyDiv w:val="1"/>
      <w:marLeft w:val="0"/>
      <w:marRight w:val="0"/>
      <w:marTop w:val="0"/>
      <w:marBottom w:val="0"/>
      <w:divBdr>
        <w:top w:val="none" w:sz="0" w:space="0" w:color="auto"/>
        <w:left w:val="none" w:sz="0" w:space="0" w:color="auto"/>
        <w:bottom w:val="none" w:sz="0" w:space="0" w:color="auto"/>
        <w:right w:val="none" w:sz="0" w:space="0" w:color="auto"/>
      </w:divBdr>
    </w:div>
    <w:div w:id="1596551106">
      <w:bodyDiv w:val="1"/>
      <w:marLeft w:val="0"/>
      <w:marRight w:val="0"/>
      <w:marTop w:val="0"/>
      <w:marBottom w:val="0"/>
      <w:divBdr>
        <w:top w:val="none" w:sz="0" w:space="0" w:color="auto"/>
        <w:left w:val="none" w:sz="0" w:space="0" w:color="auto"/>
        <w:bottom w:val="none" w:sz="0" w:space="0" w:color="auto"/>
        <w:right w:val="none" w:sz="0" w:space="0" w:color="auto"/>
      </w:divBdr>
    </w:div>
    <w:div w:id="1654870816">
      <w:bodyDiv w:val="1"/>
      <w:marLeft w:val="0"/>
      <w:marRight w:val="0"/>
      <w:marTop w:val="0"/>
      <w:marBottom w:val="0"/>
      <w:divBdr>
        <w:top w:val="none" w:sz="0" w:space="0" w:color="auto"/>
        <w:left w:val="none" w:sz="0" w:space="0" w:color="auto"/>
        <w:bottom w:val="none" w:sz="0" w:space="0" w:color="auto"/>
        <w:right w:val="none" w:sz="0" w:space="0" w:color="auto"/>
      </w:divBdr>
    </w:div>
    <w:div w:id="1701970158">
      <w:bodyDiv w:val="1"/>
      <w:marLeft w:val="0"/>
      <w:marRight w:val="0"/>
      <w:marTop w:val="0"/>
      <w:marBottom w:val="0"/>
      <w:divBdr>
        <w:top w:val="none" w:sz="0" w:space="0" w:color="auto"/>
        <w:left w:val="none" w:sz="0" w:space="0" w:color="auto"/>
        <w:bottom w:val="none" w:sz="0" w:space="0" w:color="auto"/>
        <w:right w:val="none" w:sz="0" w:space="0" w:color="auto"/>
      </w:divBdr>
    </w:div>
    <w:div w:id="1743065125">
      <w:bodyDiv w:val="1"/>
      <w:marLeft w:val="0"/>
      <w:marRight w:val="0"/>
      <w:marTop w:val="0"/>
      <w:marBottom w:val="0"/>
      <w:divBdr>
        <w:top w:val="none" w:sz="0" w:space="0" w:color="auto"/>
        <w:left w:val="none" w:sz="0" w:space="0" w:color="auto"/>
        <w:bottom w:val="none" w:sz="0" w:space="0" w:color="auto"/>
        <w:right w:val="none" w:sz="0" w:space="0" w:color="auto"/>
      </w:divBdr>
    </w:div>
    <w:div w:id="1764522645">
      <w:bodyDiv w:val="1"/>
      <w:marLeft w:val="0"/>
      <w:marRight w:val="0"/>
      <w:marTop w:val="0"/>
      <w:marBottom w:val="0"/>
      <w:divBdr>
        <w:top w:val="none" w:sz="0" w:space="0" w:color="auto"/>
        <w:left w:val="none" w:sz="0" w:space="0" w:color="auto"/>
        <w:bottom w:val="none" w:sz="0" w:space="0" w:color="auto"/>
        <w:right w:val="none" w:sz="0" w:space="0" w:color="auto"/>
      </w:divBdr>
    </w:div>
    <w:div w:id="1904363855">
      <w:bodyDiv w:val="1"/>
      <w:marLeft w:val="0"/>
      <w:marRight w:val="0"/>
      <w:marTop w:val="0"/>
      <w:marBottom w:val="0"/>
      <w:divBdr>
        <w:top w:val="none" w:sz="0" w:space="0" w:color="auto"/>
        <w:left w:val="none" w:sz="0" w:space="0" w:color="auto"/>
        <w:bottom w:val="none" w:sz="0" w:space="0" w:color="auto"/>
        <w:right w:val="none" w:sz="0" w:space="0" w:color="auto"/>
      </w:divBdr>
    </w:div>
    <w:div w:id="1945728404">
      <w:bodyDiv w:val="1"/>
      <w:marLeft w:val="0"/>
      <w:marRight w:val="0"/>
      <w:marTop w:val="0"/>
      <w:marBottom w:val="0"/>
      <w:divBdr>
        <w:top w:val="none" w:sz="0" w:space="0" w:color="auto"/>
        <w:left w:val="none" w:sz="0" w:space="0" w:color="auto"/>
        <w:bottom w:val="none" w:sz="0" w:space="0" w:color="auto"/>
        <w:right w:val="none" w:sz="0" w:space="0" w:color="auto"/>
      </w:divBdr>
    </w:div>
    <w:div w:id="19943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3056</Words>
  <Characters>17422</Characters>
  <Application>Microsoft Office Word</Application>
  <DocSecurity>0</DocSecurity>
  <Lines>145</Lines>
  <Paragraphs>40</Paragraphs>
  <ScaleCrop>false</ScaleCrop>
  <Company>jn</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吉林省政府办公厅通知</dc:title>
  <dc:creator>zyb</dc:creator>
  <cp:lastModifiedBy>Administrator</cp:lastModifiedBy>
  <cp:revision>2</cp:revision>
  <dcterms:created xsi:type="dcterms:W3CDTF">2014-12-26T08:12:00Z</dcterms:created>
  <dcterms:modified xsi:type="dcterms:W3CDTF">2014-12-26T08:12:00Z</dcterms:modified>
</cp:coreProperties>
</file>