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1" w:rightFromText="181" w:vertAnchor="page" w:horzAnchor="page" w:tblpXSpec="center" w:tblpY="1646"/>
        <w:tblW w:w="9099" w:type="dxa"/>
        <w:jc w:val="center"/>
        <w:tblLayout w:type="fixed"/>
        <w:tblLook w:val="0000"/>
      </w:tblPr>
      <w:tblGrid>
        <w:gridCol w:w="9099"/>
      </w:tblGrid>
      <w:tr w:rsidR="00F003B6" w:rsidRPr="00824632" w:rsidTr="00850DD4">
        <w:trPr>
          <w:trHeight w:val="886"/>
          <w:jc w:val="center"/>
        </w:trPr>
        <w:tc>
          <w:tcPr>
            <w:tcW w:w="9099" w:type="dxa"/>
            <w:vAlign w:val="center"/>
          </w:tcPr>
          <w:p w:rsidR="00F003B6" w:rsidRPr="00824632" w:rsidRDefault="00F003B6" w:rsidP="00A65945">
            <w:pPr>
              <w:spacing w:line="560" w:lineRule="exact"/>
              <w:jc w:val="distribute"/>
              <w:rPr>
                <w:rFonts w:eastAsia="华文中宋"/>
                <w:color w:val="FF0000"/>
                <w:sz w:val="72"/>
                <w:szCs w:val="72"/>
              </w:rPr>
            </w:pPr>
            <w:r w:rsidRPr="00824632">
              <w:rPr>
                <w:rFonts w:eastAsia="华文中宋" w:hAnsi="华文中宋"/>
                <w:color w:val="FF0000"/>
                <w:sz w:val="72"/>
                <w:szCs w:val="72"/>
              </w:rPr>
              <w:t>国家能源局南方监管局</w:t>
            </w:r>
          </w:p>
        </w:tc>
      </w:tr>
    </w:tbl>
    <w:p w:rsidR="0039466F" w:rsidRPr="00824632" w:rsidRDefault="00824632" w:rsidP="00824632">
      <w:pPr>
        <w:spacing w:line="560" w:lineRule="exact"/>
        <w:rPr>
          <w:rFonts w:eastAsia="仿宋_GB2312"/>
          <w:sz w:val="32"/>
        </w:rPr>
      </w:pPr>
      <w:r>
        <w:rPr>
          <w:noProof/>
          <w:kern w:val="0"/>
          <w:sz w:val="24"/>
        </w:rPr>
        <w:pict>
          <v:line id="直线 7" o:spid="_x0000_s1039" style="position:absolute;left:0;text-align:left;z-index:251659776;mso-position-horizontal:center;mso-position-horizontal-relative:margin;mso-position-vertical-relative:page" from="0,774.7pt" to="477pt,776.55pt" strokecolor="red" strokeweight="5pt">
            <v:fill o:detectmouseclick="t"/>
            <v:stroke linestyle="thinThick"/>
            <w10:wrap anchorx="margin" anchory="page"/>
          </v:line>
        </w:pict>
      </w:r>
      <w:r w:rsidR="00665E28" w:rsidRPr="00824632">
        <w:rPr>
          <w:kern w:val="0"/>
          <w:sz w:val="24"/>
        </w:rPr>
        <w:pict>
          <v:line id="_x0000_s1037" style="position:absolute;left:0;text-align:left;z-index:251658752;mso-position-horizontal:center;mso-position-horizontal-relative:margin;mso-position-vertical-relative:page" from="0,123.6pt" to="477pt,123.6pt" strokecolor="red" strokeweight="5pt">
            <v:stroke linestyle="thickThin"/>
            <w10:wrap anchorx="margin" anchory="page"/>
          </v:line>
        </w:pict>
      </w:r>
    </w:p>
    <w:p w:rsidR="00A65945" w:rsidRPr="00824632" w:rsidRDefault="00F003B6" w:rsidP="00824632">
      <w:pPr>
        <w:shd w:val="clear" w:color="auto" w:fill="FFFFFF"/>
        <w:spacing w:line="560" w:lineRule="exact"/>
        <w:jc w:val="right"/>
        <w:rPr>
          <w:rFonts w:eastAsia="仿宋_GB2312"/>
          <w:sz w:val="32"/>
        </w:rPr>
      </w:pPr>
      <w:r w:rsidRPr="00824632">
        <w:rPr>
          <w:rFonts w:eastAsia="仿宋_GB2312"/>
          <w:sz w:val="32"/>
        </w:rPr>
        <w:t>南方</w:t>
      </w:r>
      <w:proofErr w:type="gramStart"/>
      <w:r w:rsidRPr="00824632">
        <w:rPr>
          <w:rFonts w:eastAsia="仿宋_GB2312"/>
          <w:sz w:val="32"/>
        </w:rPr>
        <w:t>监能</w:t>
      </w:r>
      <w:r w:rsidR="00432486" w:rsidRPr="00824632">
        <w:rPr>
          <w:rFonts w:eastAsia="仿宋_GB2312"/>
          <w:sz w:val="32"/>
        </w:rPr>
        <w:t>市场</w:t>
      </w:r>
      <w:r w:rsidR="00BF49EC" w:rsidRPr="00824632">
        <w:rPr>
          <w:rFonts w:eastAsia="仿宋_GB2312"/>
          <w:sz w:val="32"/>
        </w:rPr>
        <w:t>函</w:t>
      </w:r>
      <w:proofErr w:type="gramEnd"/>
      <w:r w:rsidRPr="00824632">
        <w:rPr>
          <w:rFonts w:eastAsia="仿宋_GB2312"/>
          <w:sz w:val="32"/>
        </w:rPr>
        <w:t>〔</w:t>
      </w:r>
      <w:r w:rsidR="00297998" w:rsidRPr="00824632">
        <w:rPr>
          <w:rFonts w:eastAsia="仿宋_GB2312"/>
          <w:sz w:val="32"/>
        </w:rPr>
        <w:t>2020</w:t>
      </w:r>
      <w:r w:rsidRPr="00824632">
        <w:rPr>
          <w:rFonts w:eastAsia="仿宋_GB2312"/>
          <w:sz w:val="32"/>
        </w:rPr>
        <w:t>〕</w:t>
      </w:r>
      <w:r w:rsidR="00824632">
        <w:rPr>
          <w:rFonts w:eastAsia="仿宋_GB2312" w:hint="eastAsia"/>
          <w:sz w:val="32"/>
        </w:rPr>
        <w:t>13</w:t>
      </w:r>
      <w:r w:rsidRPr="00824632">
        <w:rPr>
          <w:rFonts w:eastAsia="仿宋_GB2312"/>
          <w:sz w:val="32"/>
        </w:rPr>
        <w:t>号</w:t>
      </w:r>
    </w:p>
    <w:p w:rsidR="009042E4" w:rsidRPr="00824632" w:rsidRDefault="009042E4" w:rsidP="00824632">
      <w:pPr>
        <w:shd w:val="clear" w:color="auto" w:fill="FFFFFF"/>
        <w:spacing w:line="560" w:lineRule="exact"/>
        <w:rPr>
          <w:rFonts w:eastAsia="仿宋_GB2312"/>
          <w:sz w:val="32"/>
        </w:rPr>
      </w:pPr>
    </w:p>
    <w:p w:rsidR="00FF2617" w:rsidRPr="00824632" w:rsidRDefault="00FF2617" w:rsidP="00824632">
      <w:pPr>
        <w:spacing w:line="740" w:lineRule="exact"/>
        <w:jc w:val="center"/>
        <w:rPr>
          <w:rFonts w:eastAsia="方正小标宋简体"/>
          <w:sz w:val="44"/>
          <w:szCs w:val="44"/>
        </w:rPr>
      </w:pPr>
      <w:r w:rsidRPr="00824632">
        <w:rPr>
          <w:rFonts w:eastAsia="方正小标宋简体"/>
          <w:sz w:val="44"/>
          <w:szCs w:val="44"/>
        </w:rPr>
        <w:t>关于</w:t>
      </w:r>
      <w:r w:rsidR="00B16DA4" w:rsidRPr="00824632">
        <w:rPr>
          <w:rFonts w:eastAsia="方正小标宋简体"/>
          <w:sz w:val="44"/>
          <w:szCs w:val="44"/>
        </w:rPr>
        <w:t>对广东电力市场</w:t>
      </w:r>
      <w:r w:rsidR="00062BC3" w:rsidRPr="00824632">
        <w:rPr>
          <w:rFonts w:eastAsia="方正小标宋简体"/>
          <w:sz w:val="44"/>
          <w:szCs w:val="44"/>
        </w:rPr>
        <w:t>2020</w:t>
      </w:r>
      <w:r w:rsidR="00062BC3" w:rsidRPr="00824632">
        <w:rPr>
          <w:rFonts w:eastAsia="方正小标宋简体"/>
          <w:sz w:val="44"/>
          <w:szCs w:val="44"/>
        </w:rPr>
        <w:t>年</w:t>
      </w:r>
      <w:r w:rsidR="00062BC3" w:rsidRPr="00824632">
        <w:rPr>
          <w:rFonts w:eastAsia="方正小标宋简体"/>
          <w:sz w:val="44"/>
          <w:szCs w:val="44"/>
        </w:rPr>
        <w:t>1-2</w:t>
      </w:r>
      <w:r w:rsidR="00062BC3" w:rsidRPr="00824632">
        <w:rPr>
          <w:rFonts w:eastAsia="方正小标宋简体"/>
          <w:sz w:val="44"/>
          <w:szCs w:val="44"/>
        </w:rPr>
        <w:t>月</w:t>
      </w:r>
      <w:r w:rsidRPr="00824632">
        <w:rPr>
          <w:rFonts w:eastAsia="方正小标宋简体"/>
          <w:sz w:val="44"/>
          <w:szCs w:val="44"/>
        </w:rPr>
        <w:t>考核</w:t>
      </w:r>
      <w:r w:rsidR="00B16DA4" w:rsidRPr="00824632">
        <w:rPr>
          <w:rFonts w:eastAsia="方正小标宋简体"/>
          <w:sz w:val="44"/>
          <w:szCs w:val="44"/>
        </w:rPr>
        <w:t>结算</w:t>
      </w:r>
      <w:r w:rsidRPr="00824632">
        <w:rPr>
          <w:rFonts w:eastAsia="方正小标宋简体"/>
          <w:sz w:val="44"/>
          <w:szCs w:val="44"/>
        </w:rPr>
        <w:t>的</w:t>
      </w:r>
      <w:r w:rsidR="00B16DA4" w:rsidRPr="00824632">
        <w:rPr>
          <w:rFonts w:eastAsia="方正小标宋简体"/>
          <w:sz w:val="44"/>
          <w:szCs w:val="44"/>
        </w:rPr>
        <w:t>意见</w:t>
      </w:r>
      <w:r w:rsidRPr="00824632">
        <w:rPr>
          <w:rFonts w:eastAsia="方正小标宋简体"/>
          <w:sz w:val="44"/>
          <w:szCs w:val="44"/>
        </w:rPr>
        <w:t>的函</w:t>
      </w:r>
    </w:p>
    <w:p w:rsidR="00FF2617" w:rsidRPr="00824632" w:rsidRDefault="00FF2617" w:rsidP="00824632">
      <w:pPr>
        <w:spacing w:line="560" w:lineRule="exact"/>
        <w:rPr>
          <w:rFonts w:eastAsia="华文中宋"/>
          <w:sz w:val="36"/>
          <w:szCs w:val="36"/>
        </w:rPr>
      </w:pPr>
    </w:p>
    <w:p w:rsidR="00FF2617" w:rsidRPr="00824632" w:rsidRDefault="00FF2617" w:rsidP="00824632">
      <w:pPr>
        <w:spacing w:line="560" w:lineRule="exact"/>
        <w:rPr>
          <w:rFonts w:eastAsia="仿宋_GB2312"/>
          <w:sz w:val="32"/>
          <w:szCs w:val="32"/>
        </w:rPr>
      </w:pPr>
      <w:r w:rsidRPr="00824632">
        <w:rPr>
          <w:rFonts w:eastAsia="仿宋_GB2312"/>
          <w:sz w:val="32"/>
          <w:szCs w:val="32"/>
        </w:rPr>
        <w:t>广东电力交易中心：</w:t>
      </w:r>
    </w:p>
    <w:p w:rsidR="00FA3E25" w:rsidRPr="00824632" w:rsidRDefault="00FF2617" w:rsidP="00824632">
      <w:pPr>
        <w:spacing w:line="560" w:lineRule="exact"/>
        <w:ind w:firstLineChars="200" w:firstLine="640"/>
        <w:rPr>
          <w:rFonts w:eastAsia="仿宋_GB2312"/>
          <w:sz w:val="32"/>
          <w:szCs w:val="32"/>
        </w:rPr>
      </w:pPr>
      <w:r w:rsidRPr="00824632">
        <w:rPr>
          <w:rFonts w:eastAsia="仿宋_GB2312"/>
          <w:sz w:val="32"/>
          <w:szCs w:val="32"/>
        </w:rPr>
        <w:t>报来《关于对</w:t>
      </w:r>
      <w:r w:rsidRPr="00824632">
        <w:rPr>
          <w:rFonts w:eastAsia="仿宋_GB2312"/>
          <w:sz w:val="32"/>
          <w:szCs w:val="32"/>
        </w:rPr>
        <w:t>2020</w:t>
      </w:r>
      <w:r w:rsidRPr="00824632">
        <w:rPr>
          <w:rFonts w:eastAsia="仿宋_GB2312"/>
          <w:sz w:val="32"/>
          <w:szCs w:val="32"/>
        </w:rPr>
        <w:t>年</w:t>
      </w:r>
      <w:r w:rsidRPr="00824632">
        <w:rPr>
          <w:rFonts w:eastAsia="仿宋_GB2312"/>
          <w:sz w:val="32"/>
          <w:szCs w:val="32"/>
        </w:rPr>
        <w:t>1-2</w:t>
      </w:r>
      <w:r w:rsidRPr="00824632">
        <w:rPr>
          <w:rFonts w:eastAsia="仿宋_GB2312"/>
          <w:sz w:val="32"/>
          <w:szCs w:val="32"/>
        </w:rPr>
        <w:t>月市场主体免于结算考核的请示》（广东交易〔</w:t>
      </w:r>
      <w:r w:rsidRPr="00824632">
        <w:rPr>
          <w:rFonts w:eastAsia="仿宋_GB2312"/>
          <w:sz w:val="32"/>
          <w:szCs w:val="32"/>
        </w:rPr>
        <w:t>2020</w:t>
      </w:r>
      <w:r w:rsidRPr="00824632">
        <w:rPr>
          <w:rFonts w:eastAsia="仿宋_GB2312"/>
          <w:sz w:val="32"/>
          <w:szCs w:val="32"/>
        </w:rPr>
        <w:t>〕</w:t>
      </w:r>
      <w:r w:rsidRPr="00824632">
        <w:rPr>
          <w:rFonts w:eastAsia="仿宋_GB2312"/>
          <w:sz w:val="32"/>
          <w:szCs w:val="32"/>
        </w:rPr>
        <w:t>16</w:t>
      </w:r>
      <w:r w:rsidRPr="00824632">
        <w:rPr>
          <w:rFonts w:eastAsia="仿宋_GB2312"/>
          <w:sz w:val="32"/>
          <w:szCs w:val="32"/>
        </w:rPr>
        <w:t>号）（以下简称《请示》）收悉。</w:t>
      </w:r>
      <w:r w:rsidR="00062BC3" w:rsidRPr="00824632">
        <w:rPr>
          <w:rFonts w:eastAsia="仿宋_GB2312"/>
          <w:sz w:val="32"/>
          <w:szCs w:val="32"/>
        </w:rPr>
        <w:t>广东省于</w:t>
      </w:r>
      <w:r w:rsidR="00062BC3" w:rsidRPr="00824632">
        <w:rPr>
          <w:rFonts w:eastAsia="仿宋_GB2312"/>
          <w:sz w:val="32"/>
          <w:szCs w:val="32"/>
        </w:rPr>
        <w:t>2020</w:t>
      </w:r>
      <w:r w:rsidR="00062BC3" w:rsidRPr="00824632">
        <w:rPr>
          <w:rFonts w:eastAsia="仿宋_GB2312"/>
          <w:sz w:val="32"/>
          <w:szCs w:val="32"/>
        </w:rPr>
        <w:t>年</w:t>
      </w:r>
      <w:r w:rsidR="00062BC3" w:rsidRPr="00824632">
        <w:rPr>
          <w:rFonts w:eastAsia="仿宋_GB2312"/>
          <w:sz w:val="32"/>
          <w:szCs w:val="32"/>
        </w:rPr>
        <w:t>1</w:t>
      </w:r>
      <w:r w:rsidR="00062BC3" w:rsidRPr="00824632">
        <w:rPr>
          <w:rFonts w:eastAsia="仿宋_GB2312"/>
          <w:sz w:val="32"/>
          <w:szCs w:val="32"/>
        </w:rPr>
        <w:t>月</w:t>
      </w:r>
      <w:r w:rsidR="00062BC3" w:rsidRPr="00824632">
        <w:rPr>
          <w:rFonts w:eastAsia="仿宋_GB2312"/>
          <w:sz w:val="32"/>
          <w:szCs w:val="32"/>
        </w:rPr>
        <w:t>23</w:t>
      </w:r>
      <w:r w:rsidR="00062BC3" w:rsidRPr="00824632">
        <w:rPr>
          <w:rFonts w:eastAsia="仿宋_GB2312"/>
          <w:sz w:val="32"/>
          <w:szCs w:val="32"/>
        </w:rPr>
        <w:t>日启动重大突发公共卫生事件一级响应，全力做好新型冠状病毒肺炎疫情防控工作。为贯彻落实国家和广东省有关决策部署，助力打赢疫情防控阻击战，切实减轻因疫情对企业造成的影响和生产经营负担，保障电力市场平稳运行，我局对广东电力市场</w:t>
      </w:r>
      <w:r w:rsidR="00062BC3" w:rsidRPr="00824632">
        <w:rPr>
          <w:rFonts w:eastAsia="仿宋_GB2312"/>
          <w:sz w:val="32"/>
          <w:szCs w:val="32"/>
        </w:rPr>
        <w:t>2020</w:t>
      </w:r>
      <w:r w:rsidR="00062BC3" w:rsidRPr="00824632">
        <w:rPr>
          <w:rFonts w:eastAsia="仿宋_GB2312"/>
          <w:sz w:val="32"/>
          <w:szCs w:val="32"/>
        </w:rPr>
        <w:t>年</w:t>
      </w:r>
      <w:r w:rsidR="00062BC3" w:rsidRPr="00824632">
        <w:rPr>
          <w:rFonts w:eastAsia="仿宋_GB2312"/>
          <w:sz w:val="32"/>
          <w:szCs w:val="32"/>
        </w:rPr>
        <w:t>1</w:t>
      </w:r>
      <w:r w:rsidR="00062BC3" w:rsidRPr="00824632">
        <w:rPr>
          <w:rFonts w:eastAsia="仿宋_GB2312"/>
          <w:sz w:val="32"/>
          <w:szCs w:val="32"/>
        </w:rPr>
        <w:t>月份和</w:t>
      </w:r>
      <w:r w:rsidR="00062BC3" w:rsidRPr="00824632">
        <w:rPr>
          <w:rFonts w:eastAsia="仿宋_GB2312"/>
          <w:sz w:val="32"/>
          <w:szCs w:val="32"/>
        </w:rPr>
        <w:t>2</w:t>
      </w:r>
      <w:r w:rsidR="00062BC3" w:rsidRPr="00824632">
        <w:rPr>
          <w:rFonts w:eastAsia="仿宋_GB2312"/>
          <w:sz w:val="32"/>
          <w:szCs w:val="32"/>
        </w:rPr>
        <w:t>月份考核结算意见如下：</w:t>
      </w:r>
    </w:p>
    <w:p w:rsidR="00FA3E25" w:rsidRPr="00824632" w:rsidRDefault="00062BC3" w:rsidP="00824632">
      <w:pPr>
        <w:spacing w:line="560" w:lineRule="exact"/>
        <w:ind w:firstLineChars="200" w:firstLine="640"/>
        <w:rPr>
          <w:rFonts w:eastAsia="仿宋_GB2312"/>
          <w:sz w:val="32"/>
          <w:szCs w:val="32"/>
        </w:rPr>
      </w:pPr>
      <w:r w:rsidRPr="00824632">
        <w:rPr>
          <w:rFonts w:eastAsia="仿宋_GB2312"/>
          <w:sz w:val="32"/>
          <w:szCs w:val="32"/>
        </w:rPr>
        <w:t>一、同意根据不可抗力</w:t>
      </w:r>
      <w:proofErr w:type="gramStart"/>
      <w:r w:rsidRPr="00824632">
        <w:rPr>
          <w:rFonts w:eastAsia="仿宋_GB2312"/>
          <w:sz w:val="32"/>
          <w:szCs w:val="32"/>
        </w:rPr>
        <w:t>免考核</w:t>
      </w:r>
      <w:proofErr w:type="gramEnd"/>
      <w:r w:rsidRPr="00824632">
        <w:rPr>
          <w:rFonts w:eastAsia="仿宋_GB2312"/>
          <w:sz w:val="32"/>
          <w:szCs w:val="32"/>
        </w:rPr>
        <w:t>的规定，豁免市场主体</w:t>
      </w:r>
      <w:r w:rsidRPr="00824632">
        <w:rPr>
          <w:rFonts w:eastAsia="仿宋_GB2312"/>
          <w:sz w:val="32"/>
          <w:szCs w:val="32"/>
        </w:rPr>
        <w:t>2020</w:t>
      </w:r>
      <w:r w:rsidRPr="00824632">
        <w:rPr>
          <w:rFonts w:eastAsia="仿宋_GB2312"/>
          <w:sz w:val="32"/>
          <w:szCs w:val="32"/>
        </w:rPr>
        <w:t>年</w:t>
      </w:r>
      <w:r w:rsidRPr="00824632">
        <w:rPr>
          <w:rFonts w:eastAsia="仿宋_GB2312"/>
          <w:sz w:val="32"/>
          <w:szCs w:val="32"/>
        </w:rPr>
        <w:t>1</w:t>
      </w:r>
      <w:r w:rsidRPr="00824632">
        <w:rPr>
          <w:rFonts w:eastAsia="仿宋_GB2312"/>
          <w:sz w:val="32"/>
          <w:szCs w:val="32"/>
        </w:rPr>
        <w:t>月份、</w:t>
      </w:r>
      <w:r w:rsidRPr="00824632">
        <w:rPr>
          <w:rFonts w:eastAsia="仿宋_GB2312"/>
          <w:sz w:val="32"/>
          <w:szCs w:val="32"/>
        </w:rPr>
        <w:t>2</w:t>
      </w:r>
      <w:r w:rsidRPr="00824632">
        <w:rPr>
          <w:rFonts w:eastAsia="仿宋_GB2312"/>
          <w:sz w:val="32"/>
          <w:szCs w:val="32"/>
        </w:rPr>
        <w:t>月份执行《广东电力市场交易基本规则（试行）》第六十七条、第一百零七条第（四）款第</w:t>
      </w:r>
      <w:r w:rsidRPr="00824632">
        <w:rPr>
          <w:rFonts w:eastAsia="仿宋_GB2312"/>
          <w:sz w:val="32"/>
          <w:szCs w:val="32"/>
        </w:rPr>
        <w:t>2</w:t>
      </w:r>
      <w:r w:rsidRPr="00824632">
        <w:rPr>
          <w:rFonts w:eastAsia="仿宋_GB2312"/>
          <w:sz w:val="32"/>
          <w:szCs w:val="32"/>
        </w:rPr>
        <w:t>点、第一百零八条、第一百零九条的考核结算条款；发电企业于</w:t>
      </w:r>
      <w:r w:rsidRPr="00824632">
        <w:rPr>
          <w:rFonts w:eastAsia="仿宋_GB2312"/>
          <w:sz w:val="32"/>
          <w:szCs w:val="32"/>
        </w:rPr>
        <w:t>2020</w:t>
      </w:r>
      <w:r w:rsidRPr="00824632">
        <w:rPr>
          <w:rFonts w:eastAsia="仿宋_GB2312"/>
          <w:sz w:val="32"/>
          <w:szCs w:val="32"/>
        </w:rPr>
        <w:t>年</w:t>
      </w:r>
      <w:r w:rsidRPr="00824632">
        <w:rPr>
          <w:rFonts w:eastAsia="仿宋_GB2312"/>
          <w:sz w:val="32"/>
          <w:szCs w:val="32"/>
        </w:rPr>
        <w:t>1</w:t>
      </w:r>
      <w:r w:rsidRPr="00824632">
        <w:rPr>
          <w:rFonts w:eastAsia="仿宋_GB2312"/>
          <w:sz w:val="32"/>
          <w:szCs w:val="32"/>
        </w:rPr>
        <w:t>月</w:t>
      </w:r>
      <w:r w:rsidRPr="00824632">
        <w:rPr>
          <w:rFonts w:eastAsia="仿宋_GB2312"/>
          <w:sz w:val="32"/>
          <w:szCs w:val="32"/>
        </w:rPr>
        <w:t>24</w:t>
      </w:r>
      <w:r w:rsidRPr="00824632">
        <w:rPr>
          <w:rFonts w:eastAsia="仿宋_GB2312"/>
          <w:sz w:val="32"/>
          <w:szCs w:val="32"/>
        </w:rPr>
        <w:t>日至</w:t>
      </w:r>
      <w:r w:rsidRPr="00824632">
        <w:rPr>
          <w:rFonts w:eastAsia="仿宋_GB2312"/>
          <w:sz w:val="32"/>
          <w:szCs w:val="32"/>
        </w:rPr>
        <w:t>2</w:t>
      </w:r>
      <w:r w:rsidRPr="00824632">
        <w:rPr>
          <w:rFonts w:eastAsia="仿宋_GB2312"/>
          <w:sz w:val="32"/>
          <w:szCs w:val="32"/>
        </w:rPr>
        <w:t>月</w:t>
      </w:r>
      <w:r w:rsidRPr="00824632">
        <w:rPr>
          <w:rFonts w:eastAsia="仿宋_GB2312"/>
          <w:sz w:val="32"/>
          <w:szCs w:val="32"/>
        </w:rPr>
        <w:t>29</w:t>
      </w:r>
      <w:r w:rsidRPr="00824632">
        <w:rPr>
          <w:rFonts w:eastAsia="仿宋_GB2312"/>
          <w:sz w:val="32"/>
          <w:szCs w:val="32"/>
        </w:rPr>
        <w:t>日期间配合疫情防控发生的临时停运，不纳入《广东电力市场交易基本规则（试行）》第一百零七条第（四）款第</w:t>
      </w:r>
      <w:r w:rsidRPr="00824632">
        <w:rPr>
          <w:rFonts w:eastAsia="仿宋_GB2312"/>
          <w:sz w:val="32"/>
          <w:szCs w:val="32"/>
        </w:rPr>
        <w:t>1</w:t>
      </w:r>
      <w:r w:rsidRPr="00824632">
        <w:rPr>
          <w:rFonts w:eastAsia="仿宋_GB2312"/>
          <w:sz w:val="32"/>
          <w:szCs w:val="32"/>
        </w:rPr>
        <w:t>点</w:t>
      </w:r>
      <w:r w:rsidRPr="00824632">
        <w:rPr>
          <w:rFonts w:eastAsia="仿宋_GB2312"/>
          <w:sz w:val="32"/>
          <w:szCs w:val="32"/>
        </w:rPr>
        <w:lastRenderedPageBreak/>
        <w:t>考核统计范围。</w:t>
      </w:r>
    </w:p>
    <w:p w:rsidR="00062BC3" w:rsidRPr="00824632" w:rsidRDefault="00062BC3" w:rsidP="00824632">
      <w:pPr>
        <w:spacing w:line="560" w:lineRule="exact"/>
        <w:ind w:firstLineChars="200" w:firstLine="640"/>
        <w:rPr>
          <w:rFonts w:eastAsia="仿宋_GB2312"/>
          <w:sz w:val="32"/>
          <w:szCs w:val="32"/>
        </w:rPr>
      </w:pPr>
      <w:r w:rsidRPr="00824632">
        <w:rPr>
          <w:rFonts w:eastAsia="仿宋_GB2312"/>
          <w:sz w:val="32"/>
          <w:szCs w:val="32"/>
        </w:rPr>
        <w:t>二、请你中心会同有关单位按照上述意见及时、准确开展</w:t>
      </w:r>
      <w:r w:rsidRPr="00824632">
        <w:rPr>
          <w:rFonts w:eastAsia="仿宋_GB2312"/>
          <w:sz w:val="32"/>
          <w:szCs w:val="32"/>
        </w:rPr>
        <w:t>1</w:t>
      </w:r>
      <w:r w:rsidRPr="00824632">
        <w:rPr>
          <w:rFonts w:eastAsia="仿宋_GB2312"/>
          <w:sz w:val="32"/>
          <w:szCs w:val="32"/>
        </w:rPr>
        <w:t>月份和</w:t>
      </w:r>
      <w:r w:rsidRPr="00824632">
        <w:rPr>
          <w:rFonts w:eastAsia="仿宋_GB2312"/>
          <w:sz w:val="32"/>
          <w:szCs w:val="32"/>
        </w:rPr>
        <w:t>2</w:t>
      </w:r>
      <w:r w:rsidRPr="00824632">
        <w:rPr>
          <w:rFonts w:eastAsia="仿宋_GB2312"/>
          <w:sz w:val="32"/>
          <w:szCs w:val="32"/>
        </w:rPr>
        <w:t>月份市场结算工作。同时，要通过交易平台、</w:t>
      </w:r>
      <w:proofErr w:type="gramStart"/>
      <w:r w:rsidRPr="00824632">
        <w:rPr>
          <w:rFonts w:eastAsia="仿宋_GB2312"/>
          <w:sz w:val="32"/>
          <w:szCs w:val="32"/>
        </w:rPr>
        <w:t>微信公众号</w:t>
      </w:r>
      <w:proofErr w:type="gramEnd"/>
      <w:r w:rsidRPr="00824632">
        <w:rPr>
          <w:rFonts w:eastAsia="仿宋_GB2312"/>
          <w:sz w:val="32"/>
          <w:szCs w:val="32"/>
        </w:rPr>
        <w:t>等渠道做好宣贯工作，督促指导售电公司与用电企业在零售合同结算中同步豁免偏差考核结算费用。</w:t>
      </w:r>
    </w:p>
    <w:p w:rsidR="00062BC3" w:rsidRPr="00824632" w:rsidRDefault="00062BC3" w:rsidP="00824632">
      <w:pPr>
        <w:spacing w:line="560" w:lineRule="exact"/>
        <w:ind w:firstLineChars="200" w:firstLine="640"/>
        <w:rPr>
          <w:rFonts w:eastAsia="仿宋_GB2312"/>
          <w:sz w:val="32"/>
          <w:szCs w:val="32"/>
        </w:rPr>
      </w:pPr>
      <w:r w:rsidRPr="00824632">
        <w:rPr>
          <w:rFonts w:eastAsia="仿宋_GB2312"/>
          <w:sz w:val="32"/>
          <w:szCs w:val="32"/>
        </w:rPr>
        <w:t>三、请你中心密切跟踪疫情对广东电力市场交易的影响情况，提前做好分析</w:t>
      </w:r>
      <w:proofErr w:type="gramStart"/>
      <w:r w:rsidRPr="00824632">
        <w:rPr>
          <w:rFonts w:eastAsia="仿宋_GB2312"/>
          <w:sz w:val="32"/>
          <w:szCs w:val="32"/>
        </w:rPr>
        <w:t>研</w:t>
      </w:r>
      <w:proofErr w:type="gramEnd"/>
      <w:r w:rsidRPr="00824632">
        <w:rPr>
          <w:rFonts w:eastAsia="仿宋_GB2312"/>
          <w:sz w:val="32"/>
          <w:szCs w:val="32"/>
        </w:rPr>
        <w:t>判，提出合理政策建议，遇到重大问题及时报告。</w:t>
      </w:r>
    </w:p>
    <w:p w:rsidR="00062BC3" w:rsidRPr="00824632" w:rsidRDefault="00062BC3" w:rsidP="00824632">
      <w:pPr>
        <w:spacing w:line="560" w:lineRule="exact"/>
        <w:rPr>
          <w:rFonts w:eastAsia="仿宋_GB2312"/>
          <w:sz w:val="32"/>
          <w:szCs w:val="32"/>
        </w:rPr>
      </w:pPr>
    </w:p>
    <w:p w:rsidR="00062BC3" w:rsidRDefault="00062BC3" w:rsidP="00824632">
      <w:pPr>
        <w:spacing w:line="560" w:lineRule="exact"/>
        <w:rPr>
          <w:rFonts w:eastAsia="仿宋_GB2312" w:hint="eastAsia"/>
          <w:sz w:val="32"/>
          <w:szCs w:val="32"/>
        </w:rPr>
      </w:pPr>
    </w:p>
    <w:p w:rsidR="00824632" w:rsidRPr="00824632" w:rsidRDefault="00824632" w:rsidP="00824632">
      <w:pPr>
        <w:spacing w:line="560" w:lineRule="exact"/>
        <w:rPr>
          <w:rFonts w:eastAsia="仿宋_GB2312"/>
          <w:sz w:val="32"/>
          <w:szCs w:val="32"/>
        </w:rPr>
      </w:pPr>
    </w:p>
    <w:p w:rsidR="00FF2617" w:rsidRPr="00824632" w:rsidRDefault="00FF2617" w:rsidP="00824632">
      <w:pPr>
        <w:spacing w:line="560" w:lineRule="exact"/>
        <w:rPr>
          <w:rFonts w:eastAsia="仿宋_GB2312"/>
          <w:sz w:val="32"/>
          <w:szCs w:val="32"/>
        </w:rPr>
      </w:pPr>
    </w:p>
    <w:p w:rsidR="00FF2617" w:rsidRPr="00824632" w:rsidRDefault="00FF2617" w:rsidP="00824632">
      <w:pPr>
        <w:ind w:rightChars="605" w:right="1270"/>
        <w:jc w:val="right"/>
        <w:rPr>
          <w:rFonts w:eastAsia="仿宋_GB2312"/>
          <w:sz w:val="32"/>
          <w:szCs w:val="32"/>
        </w:rPr>
      </w:pPr>
      <w:r w:rsidRPr="00824632">
        <w:rPr>
          <w:rFonts w:eastAsia="仿宋_GB2312"/>
          <w:sz w:val="32"/>
          <w:szCs w:val="32"/>
        </w:rPr>
        <w:t>南方能源监管局</w:t>
      </w:r>
    </w:p>
    <w:p w:rsidR="00FF2617" w:rsidRPr="00824632" w:rsidRDefault="00FF2617" w:rsidP="00824632">
      <w:pPr>
        <w:ind w:rightChars="578" w:right="1214"/>
        <w:jc w:val="right"/>
        <w:rPr>
          <w:rFonts w:eastAsia="仿宋_GB2312"/>
          <w:sz w:val="32"/>
          <w:szCs w:val="32"/>
        </w:rPr>
      </w:pPr>
      <w:r w:rsidRPr="00824632">
        <w:rPr>
          <w:rFonts w:eastAsia="仿宋_GB2312"/>
          <w:sz w:val="32"/>
          <w:szCs w:val="32"/>
        </w:rPr>
        <w:t>2020</w:t>
      </w:r>
      <w:r w:rsidRPr="00824632">
        <w:rPr>
          <w:rFonts w:eastAsia="仿宋_GB2312"/>
          <w:sz w:val="32"/>
          <w:szCs w:val="32"/>
        </w:rPr>
        <w:t>年</w:t>
      </w:r>
      <w:r w:rsidRPr="00824632">
        <w:rPr>
          <w:rFonts w:eastAsia="仿宋_GB2312"/>
          <w:sz w:val="32"/>
          <w:szCs w:val="32"/>
        </w:rPr>
        <w:t>2</w:t>
      </w:r>
      <w:r w:rsidRPr="00824632">
        <w:rPr>
          <w:rFonts w:eastAsia="仿宋_GB2312"/>
          <w:sz w:val="32"/>
          <w:szCs w:val="32"/>
        </w:rPr>
        <w:t>月</w:t>
      </w:r>
      <w:r w:rsidR="00824632">
        <w:rPr>
          <w:rFonts w:eastAsia="仿宋_GB2312" w:hint="eastAsia"/>
          <w:sz w:val="32"/>
          <w:szCs w:val="32"/>
        </w:rPr>
        <w:t>7</w:t>
      </w:r>
      <w:r w:rsidRPr="00824632">
        <w:rPr>
          <w:rFonts w:eastAsia="仿宋_GB2312"/>
          <w:sz w:val="32"/>
          <w:szCs w:val="32"/>
        </w:rPr>
        <w:t>日</w:t>
      </w:r>
    </w:p>
    <w:p w:rsidR="00F24F55" w:rsidRPr="00824632" w:rsidRDefault="00F24F55" w:rsidP="00824632">
      <w:pPr>
        <w:shd w:val="clear" w:color="auto" w:fill="FFFFFF"/>
        <w:spacing w:line="560" w:lineRule="exact"/>
      </w:pPr>
    </w:p>
    <w:p w:rsidR="00062BC3" w:rsidRPr="00824632" w:rsidRDefault="00062BC3" w:rsidP="00824632">
      <w:pPr>
        <w:shd w:val="clear" w:color="auto" w:fill="FFFFFF"/>
        <w:spacing w:line="560" w:lineRule="exact"/>
      </w:pPr>
    </w:p>
    <w:p w:rsidR="00BC743A" w:rsidRDefault="00BC743A" w:rsidP="00824632">
      <w:pPr>
        <w:shd w:val="clear" w:color="auto" w:fill="FFFFFF"/>
        <w:spacing w:line="560" w:lineRule="exact"/>
        <w:rPr>
          <w:rFonts w:hint="eastAsia"/>
        </w:rPr>
      </w:pPr>
    </w:p>
    <w:p w:rsidR="00824632" w:rsidRPr="00824632" w:rsidRDefault="00824632" w:rsidP="00824632">
      <w:pPr>
        <w:shd w:val="clear" w:color="auto" w:fill="FFFFFF"/>
        <w:spacing w:line="560" w:lineRule="exact"/>
      </w:pPr>
    </w:p>
    <w:p w:rsidR="00BC743A" w:rsidRPr="00824632" w:rsidRDefault="00BC743A" w:rsidP="00824632">
      <w:pPr>
        <w:shd w:val="clear" w:color="auto" w:fill="FFFFFF"/>
        <w:spacing w:line="560" w:lineRule="exact"/>
      </w:pPr>
    </w:p>
    <w:p w:rsidR="00BC743A" w:rsidRPr="00824632" w:rsidRDefault="00BC743A" w:rsidP="00824632">
      <w:pPr>
        <w:shd w:val="clear" w:color="auto" w:fill="FFFFFF"/>
        <w:spacing w:line="560" w:lineRule="exact"/>
      </w:pPr>
    </w:p>
    <w:p w:rsidR="00BC743A" w:rsidRPr="00824632" w:rsidRDefault="00BC743A" w:rsidP="00824632">
      <w:pPr>
        <w:shd w:val="clear" w:color="auto" w:fill="FFFFFF"/>
        <w:spacing w:line="560" w:lineRule="exact"/>
      </w:pPr>
    </w:p>
    <w:p w:rsidR="00B16DA4" w:rsidRPr="00824632" w:rsidRDefault="00B16DA4" w:rsidP="00824632">
      <w:pPr>
        <w:shd w:val="clear" w:color="auto" w:fill="FFFFFF"/>
        <w:spacing w:line="560" w:lineRule="exact"/>
      </w:pPr>
    </w:p>
    <w:p w:rsidR="0063122D" w:rsidRPr="00824632" w:rsidRDefault="0063122D" w:rsidP="00824632">
      <w:pPr>
        <w:shd w:val="clear" w:color="auto" w:fill="FFFFFF"/>
        <w:spacing w:line="560" w:lineRule="exact"/>
      </w:pPr>
    </w:p>
    <w:p w:rsidR="00A65945" w:rsidRPr="00824632" w:rsidRDefault="00665E28" w:rsidP="00824632">
      <w:pPr>
        <w:pStyle w:val="a4"/>
        <w:shd w:val="clear" w:color="auto" w:fill="FFFFFF"/>
        <w:tabs>
          <w:tab w:val="left" w:pos="7560"/>
        </w:tabs>
        <w:spacing w:line="560" w:lineRule="exact"/>
        <w:ind w:firstLineChars="100" w:firstLine="280"/>
        <w:rPr>
          <w:rFonts w:ascii="Times New Roman" w:eastAsia="宋体"/>
          <w:b/>
          <w:sz w:val="28"/>
          <w:szCs w:val="28"/>
        </w:rPr>
      </w:pPr>
      <w:r w:rsidRPr="00824632">
        <w:rPr>
          <w:rFonts w:ascii="Times New Roman"/>
          <w:sz w:val="28"/>
          <w:szCs w:val="28"/>
        </w:rPr>
        <w:pict>
          <v:line id="直线 6" o:spid="_x0000_s1030" style="position:absolute;left:0;text-align:left;z-index:251657728" from="0,.4pt" to="441pt,.4pt"/>
        </w:pict>
      </w:r>
      <w:r w:rsidR="00A65945" w:rsidRPr="00824632">
        <w:rPr>
          <w:rFonts w:ascii="Times New Roman"/>
          <w:sz w:val="28"/>
          <w:szCs w:val="28"/>
        </w:rPr>
        <w:t>抄送：</w:t>
      </w:r>
      <w:r w:rsidR="00FF2617" w:rsidRPr="00824632">
        <w:rPr>
          <w:rFonts w:ascii="Times New Roman"/>
          <w:sz w:val="28"/>
          <w:szCs w:val="28"/>
        </w:rPr>
        <w:t>广东省能源局</w:t>
      </w:r>
      <w:r w:rsidR="00062BC3" w:rsidRPr="00824632">
        <w:rPr>
          <w:rFonts w:ascii="Times New Roman"/>
          <w:sz w:val="28"/>
          <w:szCs w:val="28"/>
        </w:rPr>
        <w:t>，广东电网电力调度控制中心</w:t>
      </w:r>
      <w:r w:rsidR="00BC743A" w:rsidRPr="00824632">
        <w:rPr>
          <w:rFonts w:ascii="Times New Roman"/>
          <w:sz w:val="28"/>
          <w:szCs w:val="28"/>
        </w:rPr>
        <w:t>。</w:t>
      </w:r>
    </w:p>
    <w:p w:rsidR="00BA6B39" w:rsidRPr="00824632" w:rsidRDefault="00665E28" w:rsidP="00824632">
      <w:pPr>
        <w:shd w:val="clear" w:color="auto" w:fill="FFFFFF"/>
        <w:spacing w:line="240" w:lineRule="exact"/>
        <w:rPr>
          <w:rFonts w:eastAsia="仿宋_GB2312"/>
          <w:sz w:val="28"/>
          <w:szCs w:val="28"/>
        </w:rPr>
      </w:pPr>
      <w:r w:rsidRPr="00824632">
        <w:rPr>
          <w:kern w:val="0"/>
          <w:sz w:val="28"/>
          <w:szCs w:val="28"/>
        </w:rPr>
        <w:lastRenderedPageBreak/>
        <w:pict>
          <v:line id="直线 2" o:spid="_x0000_s1026" style="position:absolute;left:0;text-align:left;z-index:251655680" from=".6pt,4.35pt" to="441.6pt,4.35pt"/>
        </w:pict>
      </w:r>
      <w:r w:rsidRPr="00824632">
        <w:rPr>
          <w:kern w:val="0"/>
          <w:sz w:val="28"/>
          <w:szCs w:val="28"/>
        </w:rPr>
        <w:pict>
          <v:rect id="矩形 3" o:spid="_x0000_s1027" style="position:absolute;left:0;text-align:left;margin-left:4in;margin-top:624pt;width:152.4pt;height:54pt;z-index:251656704;mso-wrap-style:none" stroked="f">
            <v:textbox style="mso-next-textbox:#矩形 3;mso-fit-shape-to-text:t">
              <w:txbxContent>
                <w:p w:rsidR="00A65945" w:rsidRDefault="005B42E5">
                  <w:r>
                    <w:rPr>
                      <w:noProof/>
                      <w:kern w:val="0"/>
                      <w:sz w:val="20"/>
                    </w:rPr>
                    <w:drawing>
                      <wp:inline distT="0" distB="0" distL="0" distR="0">
                        <wp:extent cx="1751330" cy="448310"/>
                        <wp:effectExtent l="19050" t="0" r="1270" b="0"/>
                        <wp:docPr id="1" name="图片 1" descr="南方电监办〔2009〕13号关于南方电监局2008年度财政拨款结余资金情况分析的报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南方电监办〔2009〕13号关于南方电监局2008年度财政拨款结余资金情况分析的报告"/>
                                <pic:cNvPicPr>
                                  <a:picLocks noChangeAspect="1" noChangeArrowheads="1"/>
                                </pic:cNvPicPr>
                              </pic:nvPicPr>
                              <pic:blipFill>
                                <a:blip r:embed="rId7"/>
                                <a:srcRect/>
                                <a:stretch>
                                  <a:fillRect/>
                                </a:stretch>
                              </pic:blipFill>
                              <pic:spPr bwMode="auto">
                                <a:xfrm>
                                  <a:off x="0" y="0"/>
                                  <a:ext cx="1751330" cy="448310"/>
                                </a:xfrm>
                                <a:prstGeom prst="rect">
                                  <a:avLst/>
                                </a:prstGeom>
                                <a:noFill/>
                                <a:ln w="9525">
                                  <a:noFill/>
                                  <a:miter lim="800000"/>
                                  <a:headEnd/>
                                  <a:tailEnd/>
                                </a:ln>
                              </pic:spPr>
                            </pic:pic>
                          </a:graphicData>
                        </a:graphic>
                      </wp:inline>
                    </w:drawing>
                  </w:r>
                  <w:permStart w:id="0" w:edGrp="everyone"/>
                  <w:permEnd w:id="0"/>
                </w:p>
              </w:txbxContent>
            </v:textbox>
          </v:rect>
        </w:pict>
      </w:r>
    </w:p>
    <w:sectPr w:rsidR="00BA6B39" w:rsidRPr="00824632" w:rsidSect="00F94688">
      <w:headerReference w:type="even" r:id="rId8"/>
      <w:headerReference w:type="default" r:id="rId9"/>
      <w:footerReference w:type="default" r:id="rId10"/>
      <w:footerReference w:type="first" r:id="rId11"/>
      <w:pgSz w:w="11906" w:h="16838"/>
      <w:pgMar w:top="2098" w:right="1474" w:bottom="1985" w:left="1588" w:header="885" w:footer="1276"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32DB" w:rsidRDefault="00E932DB" w:rsidP="00F003B6">
      <w:r>
        <w:separator/>
      </w:r>
    </w:p>
    <w:p w:rsidR="008E4E40" w:rsidRDefault="008E4E40"/>
  </w:endnote>
  <w:endnote w:type="continuationSeparator" w:id="1">
    <w:p w:rsidR="00E932DB" w:rsidRDefault="00E932DB" w:rsidP="00F003B6">
      <w:r>
        <w:continuationSeparator/>
      </w:r>
    </w:p>
    <w:p w:rsidR="008E4E40" w:rsidRDefault="008E4E4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E40" w:rsidRPr="00824632" w:rsidRDefault="00F94688" w:rsidP="00824632">
    <w:pPr>
      <w:pStyle w:val="a7"/>
      <w:pBdr>
        <w:between w:val="none" w:sz="8" w:space="0" w:color="auto"/>
      </w:pBdr>
      <w:rPr>
        <w:rFonts w:ascii="宋体" w:hAnsi="宋体"/>
      </w:rPr>
    </w:pPr>
    <w:r w:rsidRPr="00824632">
      <w:rPr>
        <w:rFonts w:ascii="宋体" w:hAnsi="宋体" w:hint="eastAsia"/>
        <w:sz w:val="28"/>
        <w:szCs w:val="28"/>
      </w:rPr>
      <w:t xml:space="preserve">— </w:t>
    </w:r>
    <w:r w:rsidR="00665E28" w:rsidRPr="00824632">
      <w:rPr>
        <w:rFonts w:ascii="宋体" w:hAnsi="宋体" w:hint="eastAsia"/>
        <w:sz w:val="28"/>
        <w:szCs w:val="28"/>
      </w:rPr>
      <w:fldChar w:fldCharType="begin"/>
    </w:r>
    <w:r w:rsidRPr="00824632">
      <w:rPr>
        <w:rFonts w:ascii="宋体" w:hAnsi="宋体" w:hint="eastAsia"/>
        <w:sz w:val="28"/>
        <w:szCs w:val="28"/>
      </w:rPr>
      <w:instrText xml:space="preserve"> PAGE  \* MERGEFORMAT </w:instrText>
    </w:r>
    <w:r w:rsidR="00665E28" w:rsidRPr="00824632">
      <w:rPr>
        <w:rFonts w:ascii="宋体" w:hAnsi="宋体" w:hint="eastAsia"/>
        <w:sz w:val="28"/>
        <w:szCs w:val="28"/>
      </w:rPr>
      <w:fldChar w:fldCharType="separate"/>
    </w:r>
    <w:r w:rsidR="00DC2278">
      <w:rPr>
        <w:rFonts w:ascii="宋体" w:hAnsi="宋体"/>
        <w:noProof/>
        <w:sz w:val="28"/>
        <w:szCs w:val="28"/>
      </w:rPr>
      <w:t>2</w:t>
    </w:r>
    <w:r w:rsidR="00665E28" w:rsidRPr="00824632">
      <w:rPr>
        <w:rFonts w:ascii="宋体" w:hAnsi="宋体" w:hint="eastAsia"/>
        <w:sz w:val="28"/>
        <w:szCs w:val="28"/>
      </w:rPr>
      <w:fldChar w:fldCharType="end"/>
    </w:r>
    <w:r w:rsidRPr="00824632">
      <w:rPr>
        <w:rFonts w:ascii="宋体" w:hAnsi="宋体" w:hint="eastAsia"/>
        <w:sz w:val="28"/>
        <w:szCs w:val="28"/>
      </w:rPr>
      <w:t xml:space="preserve"> </w:t>
    </w:r>
    <w:r w:rsidRPr="00824632">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614" w:rsidRDefault="00CA161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32DB" w:rsidRDefault="00E932DB" w:rsidP="00F003B6">
      <w:r>
        <w:separator/>
      </w:r>
    </w:p>
    <w:p w:rsidR="008E4E40" w:rsidRDefault="008E4E40"/>
  </w:footnote>
  <w:footnote w:type="continuationSeparator" w:id="1">
    <w:p w:rsidR="00E932DB" w:rsidRDefault="00E932DB" w:rsidP="00F003B6">
      <w:r>
        <w:continuationSeparator/>
      </w:r>
    </w:p>
    <w:p w:rsidR="008E4E40" w:rsidRDefault="008E4E4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FE3" w:rsidRDefault="009D0FE3" w:rsidP="009D0FE3">
    <w:pPr>
      <w:pStyle w:val="a6"/>
      <w:pBdr>
        <w:bottom w:val="none" w:sz="0" w:space="0" w:color="auto"/>
      </w:pBdr>
    </w:pPr>
  </w:p>
  <w:p w:rsidR="008E4E40" w:rsidRDefault="008E4E4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FE3" w:rsidRDefault="009D0FE3" w:rsidP="009D0FE3">
    <w:pPr>
      <w:pStyle w:val="a6"/>
      <w:pBdr>
        <w:bottom w:val="none" w:sz="0" w:space="0" w:color="auto"/>
      </w:pBdr>
    </w:pPr>
  </w:p>
  <w:p w:rsidR="008E4E40" w:rsidRDefault="008E4E40"/>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revisionView w:markup="0"/>
  <w:trackRevisions/>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43009" strokecolor="red">
      <v:stroke color="red" weight="5pt"/>
      <o:colormenu v:ext="edit" strokecolor="red"/>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KGWebUrl" w:val="http://192.168.31.249:7002/webOffice2015/operate/loadFile"/>
  </w:docVars>
  <w:rsids>
    <w:rsidRoot w:val="00A73A1E"/>
    <w:rsid w:val="00000F92"/>
    <w:rsid w:val="00023B5A"/>
    <w:rsid w:val="00060271"/>
    <w:rsid w:val="00062BC3"/>
    <w:rsid w:val="00075C07"/>
    <w:rsid w:val="00086434"/>
    <w:rsid w:val="000A4521"/>
    <w:rsid w:val="000E54EC"/>
    <w:rsid w:val="001102BD"/>
    <w:rsid w:val="00137E28"/>
    <w:rsid w:val="00152F19"/>
    <w:rsid w:val="00191B55"/>
    <w:rsid w:val="00191EFE"/>
    <w:rsid w:val="001A7F75"/>
    <w:rsid w:val="001B68ED"/>
    <w:rsid w:val="001D518A"/>
    <w:rsid w:val="001E4678"/>
    <w:rsid w:val="00265B6C"/>
    <w:rsid w:val="00276702"/>
    <w:rsid w:val="00297998"/>
    <w:rsid w:val="002A2963"/>
    <w:rsid w:val="002F3F2D"/>
    <w:rsid w:val="00350DBE"/>
    <w:rsid w:val="00353929"/>
    <w:rsid w:val="00355259"/>
    <w:rsid w:val="00383D69"/>
    <w:rsid w:val="00387A3D"/>
    <w:rsid w:val="0039466F"/>
    <w:rsid w:val="003B2CAD"/>
    <w:rsid w:val="003C38BE"/>
    <w:rsid w:val="00400881"/>
    <w:rsid w:val="00421299"/>
    <w:rsid w:val="004238E8"/>
    <w:rsid w:val="00432486"/>
    <w:rsid w:val="0046756E"/>
    <w:rsid w:val="00467924"/>
    <w:rsid w:val="004731A8"/>
    <w:rsid w:val="00496853"/>
    <w:rsid w:val="004A0722"/>
    <w:rsid w:val="004A0733"/>
    <w:rsid w:val="00500E2D"/>
    <w:rsid w:val="005171D0"/>
    <w:rsid w:val="005222AF"/>
    <w:rsid w:val="005A746A"/>
    <w:rsid w:val="005B42E5"/>
    <w:rsid w:val="005C5C93"/>
    <w:rsid w:val="005E2E65"/>
    <w:rsid w:val="005E3726"/>
    <w:rsid w:val="005F0042"/>
    <w:rsid w:val="0062226D"/>
    <w:rsid w:val="0063122D"/>
    <w:rsid w:val="00632454"/>
    <w:rsid w:val="00634869"/>
    <w:rsid w:val="00640446"/>
    <w:rsid w:val="00655A66"/>
    <w:rsid w:val="00665E28"/>
    <w:rsid w:val="00687FD6"/>
    <w:rsid w:val="00696892"/>
    <w:rsid w:val="006A1314"/>
    <w:rsid w:val="006A7EA7"/>
    <w:rsid w:val="006B3609"/>
    <w:rsid w:val="006D2ACB"/>
    <w:rsid w:val="006D7B71"/>
    <w:rsid w:val="00741448"/>
    <w:rsid w:val="0076056C"/>
    <w:rsid w:val="00773647"/>
    <w:rsid w:val="007758CB"/>
    <w:rsid w:val="0079526F"/>
    <w:rsid w:val="007B7404"/>
    <w:rsid w:val="007F772C"/>
    <w:rsid w:val="00812212"/>
    <w:rsid w:val="008132B4"/>
    <w:rsid w:val="00813541"/>
    <w:rsid w:val="00824632"/>
    <w:rsid w:val="00835AE4"/>
    <w:rsid w:val="0084037C"/>
    <w:rsid w:val="00850DD4"/>
    <w:rsid w:val="00854575"/>
    <w:rsid w:val="00860139"/>
    <w:rsid w:val="0086629A"/>
    <w:rsid w:val="00884A41"/>
    <w:rsid w:val="008A62EA"/>
    <w:rsid w:val="008D38D0"/>
    <w:rsid w:val="008E4E0B"/>
    <w:rsid w:val="008E4E40"/>
    <w:rsid w:val="008E52A8"/>
    <w:rsid w:val="008E5A84"/>
    <w:rsid w:val="009042E4"/>
    <w:rsid w:val="00914993"/>
    <w:rsid w:val="0091731A"/>
    <w:rsid w:val="0095237C"/>
    <w:rsid w:val="00954743"/>
    <w:rsid w:val="009672B3"/>
    <w:rsid w:val="00970C0B"/>
    <w:rsid w:val="009723E5"/>
    <w:rsid w:val="009728BC"/>
    <w:rsid w:val="00982EA3"/>
    <w:rsid w:val="009A14C9"/>
    <w:rsid w:val="009C229C"/>
    <w:rsid w:val="009C7114"/>
    <w:rsid w:val="009D0FE3"/>
    <w:rsid w:val="009E2976"/>
    <w:rsid w:val="00A571CB"/>
    <w:rsid w:val="00A65945"/>
    <w:rsid w:val="00A73A1E"/>
    <w:rsid w:val="00A74F35"/>
    <w:rsid w:val="00AA02D3"/>
    <w:rsid w:val="00AB1E94"/>
    <w:rsid w:val="00AC7A95"/>
    <w:rsid w:val="00AD62AC"/>
    <w:rsid w:val="00B0318E"/>
    <w:rsid w:val="00B16DA4"/>
    <w:rsid w:val="00B40DB1"/>
    <w:rsid w:val="00B931A7"/>
    <w:rsid w:val="00BA5064"/>
    <w:rsid w:val="00BA6B39"/>
    <w:rsid w:val="00BC743A"/>
    <w:rsid w:val="00BF0182"/>
    <w:rsid w:val="00BF49EC"/>
    <w:rsid w:val="00C04FBE"/>
    <w:rsid w:val="00C36FFD"/>
    <w:rsid w:val="00C42855"/>
    <w:rsid w:val="00C72BAD"/>
    <w:rsid w:val="00C90ED2"/>
    <w:rsid w:val="00CA1614"/>
    <w:rsid w:val="00D07DEE"/>
    <w:rsid w:val="00D465D0"/>
    <w:rsid w:val="00D63BEC"/>
    <w:rsid w:val="00DA1C19"/>
    <w:rsid w:val="00DA7616"/>
    <w:rsid w:val="00DB170D"/>
    <w:rsid w:val="00DC1474"/>
    <w:rsid w:val="00DC2278"/>
    <w:rsid w:val="00DC2ED0"/>
    <w:rsid w:val="00DC2F4E"/>
    <w:rsid w:val="00DE02AE"/>
    <w:rsid w:val="00E051E8"/>
    <w:rsid w:val="00E635A8"/>
    <w:rsid w:val="00E70B41"/>
    <w:rsid w:val="00E81D53"/>
    <w:rsid w:val="00E932DB"/>
    <w:rsid w:val="00EA7635"/>
    <w:rsid w:val="00EB176C"/>
    <w:rsid w:val="00EE33B7"/>
    <w:rsid w:val="00EF3B2A"/>
    <w:rsid w:val="00F003B6"/>
    <w:rsid w:val="00F24F55"/>
    <w:rsid w:val="00F45548"/>
    <w:rsid w:val="00F5311B"/>
    <w:rsid w:val="00F53A91"/>
    <w:rsid w:val="00F570DA"/>
    <w:rsid w:val="00F76A7E"/>
    <w:rsid w:val="00F85E84"/>
    <w:rsid w:val="00F94688"/>
    <w:rsid w:val="00FA32DA"/>
    <w:rsid w:val="00FA3E25"/>
    <w:rsid w:val="00FD1F06"/>
    <w:rsid w:val="00FE116D"/>
    <w:rsid w:val="00FF2617"/>
    <w:rsid w:val="029A0B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strokecolor="red">
      <v:stroke color="red" weight="5pt"/>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62E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
    <w:name w:val="Char Char Char Char Char Char Char"/>
    <w:basedOn w:val="a"/>
    <w:rsid w:val="008A62EA"/>
    <w:pPr>
      <w:spacing w:line="360" w:lineRule="auto"/>
    </w:pPr>
    <w:rPr>
      <w:rFonts w:ascii="Tahoma" w:hAnsi="Tahoma"/>
      <w:sz w:val="28"/>
    </w:rPr>
  </w:style>
  <w:style w:type="paragraph" w:customStyle="1" w:styleId="Char">
    <w:name w:val="Char"/>
    <w:basedOn w:val="a"/>
    <w:rsid w:val="008A62EA"/>
    <w:pPr>
      <w:spacing w:line="360" w:lineRule="auto"/>
    </w:pPr>
    <w:rPr>
      <w:rFonts w:ascii="Tahoma" w:hAnsi="Tahoma"/>
      <w:sz w:val="28"/>
    </w:rPr>
  </w:style>
  <w:style w:type="paragraph" w:styleId="a3">
    <w:name w:val="Balloon Text"/>
    <w:basedOn w:val="a"/>
    <w:semiHidden/>
    <w:rsid w:val="008A62EA"/>
    <w:rPr>
      <w:sz w:val="18"/>
      <w:szCs w:val="18"/>
    </w:rPr>
  </w:style>
  <w:style w:type="paragraph" w:styleId="a4">
    <w:name w:val="Body Text Indent"/>
    <w:basedOn w:val="a"/>
    <w:rsid w:val="008A62EA"/>
    <w:pPr>
      <w:spacing w:line="580" w:lineRule="exact"/>
      <w:ind w:firstLineChars="200" w:firstLine="640"/>
    </w:pPr>
    <w:rPr>
      <w:rFonts w:ascii="仿宋_GB2312" w:eastAsia="仿宋_GB2312"/>
      <w:sz w:val="32"/>
      <w:szCs w:val="32"/>
    </w:rPr>
  </w:style>
  <w:style w:type="paragraph" w:styleId="a5">
    <w:name w:val="Document Map"/>
    <w:basedOn w:val="a"/>
    <w:link w:val="Char0"/>
    <w:rsid w:val="00F003B6"/>
    <w:rPr>
      <w:rFonts w:ascii="宋体"/>
      <w:sz w:val="18"/>
      <w:szCs w:val="18"/>
    </w:rPr>
  </w:style>
  <w:style w:type="character" w:customStyle="1" w:styleId="Char0">
    <w:name w:val="文档结构图 Char"/>
    <w:basedOn w:val="a0"/>
    <w:link w:val="a5"/>
    <w:rsid w:val="00F003B6"/>
    <w:rPr>
      <w:rFonts w:ascii="宋体"/>
      <w:kern w:val="2"/>
      <w:sz w:val="18"/>
      <w:szCs w:val="18"/>
    </w:rPr>
  </w:style>
  <w:style w:type="paragraph" w:styleId="a6">
    <w:name w:val="header"/>
    <w:basedOn w:val="a"/>
    <w:link w:val="Char1"/>
    <w:rsid w:val="00F003B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rsid w:val="00F003B6"/>
    <w:rPr>
      <w:kern w:val="2"/>
      <w:sz w:val="18"/>
      <w:szCs w:val="18"/>
    </w:rPr>
  </w:style>
  <w:style w:type="paragraph" w:styleId="a7">
    <w:name w:val="footer"/>
    <w:basedOn w:val="a"/>
    <w:link w:val="Char2"/>
    <w:rsid w:val="00F003B6"/>
    <w:pPr>
      <w:tabs>
        <w:tab w:val="center" w:pos="4153"/>
        <w:tab w:val="right" w:pos="8306"/>
      </w:tabs>
      <w:snapToGrid w:val="0"/>
      <w:jc w:val="left"/>
    </w:pPr>
    <w:rPr>
      <w:sz w:val="18"/>
      <w:szCs w:val="18"/>
    </w:rPr>
  </w:style>
  <w:style w:type="character" w:customStyle="1" w:styleId="Char2">
    <w:name w:val="页脚 Char"/>
    <w:basedOn w:val="a0"/>
    <w:link w:val="a7"/>
    <w:rsid w:val="00F003B6"/>
    <w:rPr>
      <w:kern w:val="2"/>
      <w:sz w:val="18"/>
      <w:szCs w:val="18"/>
    </w:rPr>
  </w:style>
  <w:style w:type="character" w:styleId="a8">
    <w:name w:val="annotation reference"/>
    <w:basedOn w:val="a0"/>
    <w:rsid w:val="0039466F"/>
    <w:rPr>
      <w:sz w:val="21"/>
      <w:szCs w:val="21"/>
    </w:rPr>
  </w:style>
  <w:style w:type="paragraph" w:styleId="a9">
    <w:name w:val="annotation text"/>
    <w:basedOn w:val="a"/>
    <w:link w:val="Char3"/>
    <w:rsid w:val="0039466F"/>
    <w:pPr>
      <w:jc w:val="left"/>
    </w:pPr>
  </w:style>
  <w:style w:type="character" w:customStyle="1" w:styleId="Char3">
    <w:name w:val="批注文字 Char"/>
    <w:basedOn w:val="a0"/>
    <w:link w:val="a9"/>
    <w:rsid w:val="0039466F"/>
    <w:rPr>
      <w:kern w:val="2"/>
      <w:sz w:val="21"/>
    </w:rPr>
  </w:style>
  <w:style w:type="paragraph" w:styleId="aa">
    <w:name w:val="annotation subject"/>
    <w:basedOn w:val="a9"/>
    <w:next w:val="a9"/>
    <w:link w:val="Char4"/>
    <w:rsid w:val="0039466F"/>
    <w:rPr>
      <w:b/>
      <w:bCs/>
    </w:rPr>
  </w:style>
  <w:style w:type="character" w:customStyle="1" w:styleId="Char4">
    <w:name w:val="批注主题 Char"/>
    <w:basedOn w:val="Char3"/>
    <w:link w:val="aa"/>
    <w:rsid w:val="0039466F"/>
    <w:rPr>
      <w:b/>
      <w:bCs/>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B5373-0B2C-4ECB-8CB6-0FD8A3561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Words>
  <Characters>568</Characters>
  <Application>Microsoft Office Word</Application>
  <DocSecurity>0</DocSecurity>
  <Lines>4</Lines>
  <Paragraphs>1</Paragraphs>
  <ScaleCrop>false</ScaleCrop>
  <Company>MC SYSTEM</Company>
  <LinksUpToDate>false</LinksUpToDate>
  <CharactersWithSpaces>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南方电监X函〔2011〕XX号</dc:title>
  <dc:creator>陈洁云</dc:creator>
  <cp:lastModifiedBy>陈曼如</cp:lastModifiedBy>
  <cp:revision>2</cp:revision>
  <cp:lastPrinted>2019-11-08T05:14:00Z</cp:lastPrinted>
  <dcterms:created xsi:type="dcterms:W3CDTF">2020-02-07T09:08:00Z</dcterms:created>
  <dcterms:modified xsi:type="dcterms:W3CDTF">2020-02-07T09:08:00Z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