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" w:hAnsi="方正黑体" w:eastAsia="方正黑体" w:cs="方正黑体"/>
          <w:sz w:val="30"/>
          <w:szCs w:val="30"/>
        </w:rPr>
      </w:pPr>
      <w:r>
        <w:rPr>
          <w:rFonts w:hint="eastAsia" w:ascii="方正黑体" w:hAnsi="方正黑体" w:eastAsia="方正黑体" w:cs="方正黑体"/>
          <w:sz w:val="30"/>
          <w:szCs w:val="30"/>
        </w:rPr>
        <w:t>附件</w:t>
      </w:r>
    </w:p>
    <w:p>
      <w:pPr>
        <w:jc w:val="center"/>
        <w:rPr>
          <w:rFonts w:ascii="方正小标宋_GBK" w:hAnsi="方正小标宋_GBK" w:eastAsia="方正小标宋_GBK" w:cs="方正小标宋_GBK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整县（市、区）屋顶分布式光伏开发试点名单</w:t>
      </w:r>
      <w:bookmarkEnd w:id="1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7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840" w:type="pct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省（自治区、直辖市）及新疆生产建设兵团</w:t>
            </w:r>
          </w:p>
        </w:tc>
        <w:tc>
          <w:tcPr>
            <w:tcW w:w="4160" w:type="pct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试点地区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840" w:type="pct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Hlk80775122"/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北京</w:t>
            </w:r>
          </w:p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（6个）</w:t>
            </w:r>
          </w:p>
        </w:tc>
        <w:tc>
          <w:tcPr>
            <w:tcW w:w="4160" w:type="pct"/>
            <w:vAlign w:val="center"/>
          </w:tcPr>
          <w:p>
            <w:pPr>
              <w:widowControl/>
              <w:snapToGrid w:val="0"/>
              <w:jc w:val="left"/>
              <w:rPr>
                <w:rFonts w:ascii="方正楷体_GBK" w:hAnsi="方正楷体" w:eastAsia="方正楷体_GBK" w:cs="方正楷体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kern w:val="0"/>
                <w:sz w:val="24"/>
                <w:szCs w:val="24"/>
              </w:rPr>
              <w:t>大兴区（黄村镇、榆垡镇、大兴国际机场临空经济区、大兴区新媒体产业基地、亦庄镇、采育镇、大兴生物医药产业基地、大兴区京南物流中心）、</w:t>
            </w:r>
            <w:r>
              <w:rPr>
                <w:rFonts w:hint="eastAsia"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  <w:t>北京经济技术开发区、</w:t>
            </w:r>
            <w:r>
              <w:rPr>
                <w:rFonts w:hint="eastAsia" w:ascii="方正楷体_GBK" w:hAnsi="方正楷体" w:eastAsia="方正楷体_GBK" w:cs="方正楷体"/>
                <w:kern w:val="0"/>
                <w:sz w:val="24"/>
                <w:szCs w:val="24"/>
              </w:rPr>
              <w:t>房山区（霞云岭乡、拱辰街道）、通州区（运河商务区、张家湾设计小镇）、顺义区（马坡镇、天竺综合保税区）、门头沟区（中关村门头沟园）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840" w:type="pct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天津</w:t>
            </w:r>
          </w:p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（4个）</w:t>
            </w:r>
          </w:p>
        </w:tc>
        <w:tc>
          <w:tcPr>
            <w:tcW w:w="4160" w:type="pct"/>
            <w:vAlign w:val="center"/>
          </w:tcPr>
          <w:p>
            <w:pPr>
              <w:widowControl/>
              <w:snapToGrid w:val="0"/>
              <w:jc w:val="left"/>
              <w:rPr>
                <w:rFonts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  <w:t>东丽区、滨海新区、津南区、西青区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840" w:type="pct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河北</w:t>
            </w:r>
          </w:p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（37个）</w:t>
            </w:r>
          </w:p>
        </w:tc>
        <w:tc>
          <w:tcPr>
            <w:tcW w:w="4160" w:type="pct"/>
            <w:vAlign w:val="center"/>
          </w:tcPr>
          <w:p>
            <w:pPr>
              <w:widowControl/>
              <w:snapToGrid w:val="0"/>
              <w:jc w:val="left"/>
              <w:rPr>
                <w:rFonts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  <w:t>元氏县、栾城区、正定县、鹿泉区、赞皇县、兴隆县、平泉市、桥西区、万全区、怀来县、海港区、山海关区、丰南区、玉田县、曹妃甸区、迁西县、乐亭县、香河县、望都县、徐水区、高阳县、博野县、安国市、东光县、渤海新区、孟村县、肃宁县、南皮县、安平县、饶阳县、信都区、隆尧县、巨鹿县、磁县、魏县、馆陶县、定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840" w:type="pct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山西</w:t>
            </w:r>
          </w:p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（26个）</w:t>
            </w:r>
          </w:p>
        </w:tc>
        <w:tc>
          <w:tcPr>
            <w:tcW w:w="4160" w:type="pct"/>
            <w:vAlign w:val="center"/>
          </w:tcPr>
          <w:p>
            <w:pPr>
              <w:widowControl/>
              <w:snapToGrid w:val="0"/>
              <w:jc w:val="left"/>
              <w:rPr>
                <w:rFonts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  <w:t>杏花岭区、清徐县、云冈区、灵丘县、怀仁市、右玉县、忻府区、五台县、原平市、介休市、寿阳县、灵石县、盂县、阳泉郊区、文水县、方山县、潞城区、长子县、高平市、陵川县、霍州市、乡宁县、河津市、永济市、芮城县、山西转型综合改革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840" w:type="pct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内蒙古</w:t>
            </w:r>
          </w:p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（11个）</w:t>
            </w:r>
          </w:p>
        </w:tc>
        <w:tc>
          <w:tcPr>
            <w:tcW w:w="4160" w:type="pct"/>
            <w:vAlign w:val="center"/>
          </w:tcPr>
          <w:p>
            <w:pPr>
              <w:widowControl/>
              <w:snapToGrid w:val="0"/>
              <w:jc w:val="left"/>
              <w:rPr>
                <w:rFonts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  <w:t>赛罕区、青山区、准格尔旗、丰镇市、海勃湾区、临河区、阿拉善左旗、阿荣旗、扎赉特旗、科尔沁区、宁城县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840" w:type="pct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辽宁</w:t>
            </w:r>
          </w:p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（15个）</w:t>
            </w:r>
          </w:p>
        </w:tc>
        <w:tc>
          <w:tcPr>
            <w:tcW w:w="4160" w:type="pct"/>
            <w:vAlign w:val="center"/>
          </w:tcPr>
          <w:p>
            <w:pPr>
              <w:widowControl/>
              <w:snapToGrid w:val="0"/>
              <w:jc w:val="left"/>
              <w:rPr>
                <w:rFonts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  <w:t>法库县、庄河市、台安县、新抚区、本溪满族自治县、东港市、北镇市、鲅鱼圈区、阜蒙县、宏伟区、昌图县、盘山县、朝阳县、连山区、沈抚改革创新示范区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pct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吉林</w:t>
            </w:r>
          </w:p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（1个）</w:t>
            </w:r>
          </w:p>
        </w:tc>
        <w:tc>
          <w:tcPr>
            <w:tcW w:w="4160" w:type="pct"/>
            <w:vAlign w:val="center"/>
          </w:tcPr>
          <w:p>
            <w:pPr>
              <w:widowControl/>
              <w:snapToGrid w:val="0"/>
              <w:jc w:val="left"/>
              <w:rPr>
                <w:rFonts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  <w:t>汪清县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840" w:type="pct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黑龙江</w:t>
            </w:r>
          </w:p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（11个）</w:t>
            </w:r>
          </w:p>
        </w:tc>
        <w:tc>
          <w:tcPr>
            <w:tcW w:w="4160" w:type="pct"/>
            <w:vAlign w:val="center"/>
          </w:tcPr>
          <w:p>
            <w:pPr>
              <w:widowControl/>
              <w:snapToGrid w:val="0"/>
              <w:jc w:val="left"/>
              <w:rPr>
                <w:rFonts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  <w:t>哈尔滨新区、尚志市、宾县、兰西县、望奎县、红岗区、铁力市、克山县、林口县、松岭区、北安市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840" w:type="pct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上海</w:t>
            </w:r>
          </w:p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（8个）</w:t>
            </w:r>
          </w:p>
        </w:tc>
        <w:tc>
          <w:tcPr>
            <w:tcW w:w="4160" w:type="pct"/>
            <w:vAlign w:val="center"/>
          </w:tcPr>
          <w:p>
            <w:pPr>
              <w:widowControl/>
              <w:snapToGrid w:val="0"/>
              <w:jc w:val="left"/>
              <w:rPr>
                <w:rFonts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  <w:t>中国（上海）自由贸易试验区临港新片区、崇明区（新河镇、堡镇、建设镇、中兴镇）、黄浦区（打浦桥街道、半淞园街道）、闵行区（莘庄镇、马桥镇）、金山区（金山工业区）、嘉定区（嘉定工业区）、松江区（车墩镇、泖港镇、永丰街道、中山街道）、奉贤区（金汇镇、杨王工业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840" w:type="pct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江苏</w:t>
            </w:r>
          </w:p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（59个）</w:t>
            </w:r>
          </w:p>
        </w:tc>
        <w:tc>
          <w:tcPr>
            <w:tcW w:w="4160" w:type="pct"/>
            <w:vAlign w:val="center"/>
          </w:tcPr>
          <w:p>
            <w:pPr>
              <w:widowControl/>
              <w:snapToGrid w:val="0"/>
              <w:jc w:val="left"/>
              <w:rPr>
                <w:rFonts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  <w:t>溧水区、六合区 、鼓楼区、浦口区、锡山区、江阴市、宜兴市、惠山区、沛县、邳州市、睢宁县、铜山区、新沂市、丰县、徐州淮海国际港务区、鼓楼区、金坛区、常州经济开发区、钟楼区、天宁区、吴江区、常熟市、吴中区、相城区、通州区、海安市、如皋市、如东县、启东市、海门区、灌南县、赣榆县、盱眙县、淮阴区、洪泽区、涟水县、淮安区、建湖县、盐都区、射阳县、阜宁县、滨海县、盐城经济技术开发区、大丰区、扬州经济技术开发区、高邮市、仪征市、江都区、丹阳市、润州区、扬中市、丹徒区、镇江高新技术产业开发区、海陵区、泰兴市、姜堰区、泰州医药高新技术产业开发区、靖江市、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840" w:type="pct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浙江</w:t>
            </w:r>
          </w:p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（30个）</w:t>
            </w:r>
          </w:p>
        </w:tc>
        <w:tc>
          <w:tcPr>
            <w:tcW w:w="4160" w:type="pct"/>
            <w:vAlign w:val="center"/>
          </w:tcPr>
          <w:p>
            <w:pPr>
              <w:widowControl/>
              <w:snapToGrid w:val="0"/>
              <w:jc w:val="left"/>
              <w:rPr>
                <w:rFonts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  <w:t>淳安县、永嘉县、平阳县、文成县、苍南县、泰顺县、海盐县、长兴县、武义县、磐安县、柯城区、衢江区、龙游县、江山市、常山县、开化县、嵊泗县、玉环市、天台县、仙居县、三门县、莲都区、龙泉市、青田县、云和县、庆元县、缙云县、遂昌县、松阳县、景宁畲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840" w:type="pct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安徽</w:t>
            </w:r>
          </w:p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（17个）</w:t>
            </w:r>
          </w:p>
        </w:tc>
        <w:tc>
          <w:tcPr>
            <w:tcW w:w="4160" w:type="pct"/>
            <w:vAlign w:val="center"/>
          </w:tcPr>
          <w:p>
            <w:pPr>
              <w:widowControl/>
              <w:snapToGrid w:val="0"/>
              <w:jc w:val="left"/>
              <w:rPr>
                <w:rFonts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  <w:t>庐江县、长丰县、濉溪县、涡阳县、泗县、固镇县、太和县、大通区、滁州经济技术开发区、金寨县、和县、繁昌区、宣州区、义安区、贵池区、怀宁县、广德市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840" w:type="pct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福建</w:t>
            </w:r>
          </w:p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（24个）</w:t>
            </w:r>
          </w:p>
        </w:tc>
        <w:tc>
          <w:tcPr>
            <w:tcW w:w="4160" w:type="pct"/>
            <w:vAlign w:val="center"/>
          </w:tcPr>
          <w:p>
            <w:pPr>
              <w:widowControl/>
              <w:snapToGrid w:val="0"/>
              <w:jc w:val="left"/>
              <w:rPr>
                <w:rFonts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  <w:t>闽侯县、海沧区、同安区、翔安区、龙海区、漳浦县、南靖县、平和县、诏安县、云霄县、漳州古雷港经济开发区、漳州高新技术产业开发区、沙县区、宁化县、涵江区、仙游县、建阳区、延平区、浦城县、顺昌县、建瓯市、上杭县、蕉城区、福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40" w:type="pct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江西</w:t>
            </w:r>
          </w:p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（8个）</w:t>
            </w:r>
          </w:p>
        </w:tc>
        <w:tc>
          <w:tcPr>
            <w:tcW w:w="4160" w:type="pct"/>
            <w:vAlign w:val="center"/>
          </w:tcPr>
          <w:p>
            <w:pPr>
              <w:widowControl/>
              <w:snapToGrid w:val="0"/>
              <w:jc w:val="left"/>
              <w:rPr>
                <w:rFonts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  <w:t>信丰县、浮梁县、贵溪市、万安县、广昌县、高安市、横峰县、德安县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840" w:type="pct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山东</w:t>
            </w:r>
          </w:p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（70个）</w:t>
            </w:r>
          </w:p>
        </w:tc>
        <w:tc>
          <w:tcPr>
            <w:tcW w:w="4160" w:type="pct"/>
            <w:vAlign w:val="center"/>
          </w:tcPr>
          <w:p>
            <w:pPr>
              <w:widowControl/>
              <w:snapToGrid w:val="0"/>
              <w:jc w:val="left"/>
              <w:rPr>
                <w:rFonts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  <w:t>莱芜区、历城区、章丘区、钢城区、商河县、平阴县、济南高新技术产业开发区、莱西市、胶州市、黄岛区、临淄区、博山区、桓台县、滕州市、薛城区、山亭区、峄城区、台儿庄区、枣庄市中区、河口区、莱州市、福山区、海阳市、诸城市、青州市、高密市、坊子区、寒亭区、临朐县、寿光市、潍坊高新技术产业开发区、潍坊峡山生态经济开发区、嘉祥县、鱼台县、梁山县、邹城市、曲阜市、肥城市、新泰市、东平县、莒县、岚山区、惠民县、沾化区、邹平市、滨城区、滨州北海经济开发区、平原县、齐河县、临邑县、禹城市、宁津县、茌平区、临清市、冠县、阳谷县、莘县、东昌府区、聊城经济技术开发区、沂水县、河东区、临沂高新技术产业开发区、郯城县、兰陵县、平邑县、东明县、郓城县、鄄城县、定陶区、菏泽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atLeast"/>
        </w:trPr>
        <w:tc>
          <w:tcPr>
            <w:tcW w:w="840" w:type="pct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河南</w:t>
            </w:r>
          </w:p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（66个）</w:t>
            </w:r>
          </w:p>
        </w:tc>
        <w:tc>
          <w:tcPr>
            <w:tcW w:w="4160" w:type="pct"/>
            <w:vAlign w:val="center"/>
          </w:tcPr>
          <w:p>
            <w:pPr>
              <w:widowControl/>
              <w:snapToGrid w:val="0"/>
              <w:jc w:val="left"/>
              <w:rPr>
                <w:rFonts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  <w:t>登封市、金水区、郑州航空港经济综合实验区、郑州高新技术产业开发区、新密市、伊川县、孟津区、洛龙区、汝阳县、卫东区、郏县、叶县、鲁山县、内黄县、林州市、北关区、文峰区、安阳县、淇县、辉县市、原阳县、新乡高新技术产业开发区、获嘉县、新乡县、封丘县、修武县、博爱县、台前县、濮阳县、华龙区、襄城县、鄢陵县、长葛市、魏都区、建安区、许昌经济技术开发区、召陵区、漯河经济技术开发区、源汇区、郾城区、临颍县、灵宝市、卢氏县、湖滨区、三门峡市城乡一体化示范区、渑池县、睢县、柘城县、宁陵县、民权县、夏邑县、镇平县、光山县、罗山县、淮滨县、浉河区、信阳市上天梯非金属矿管理区、信阳高新技术产业开发区、商城县、济源产城融合示范区、兰考县、邓州市、滑县、长垣市、新蔡县、固始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840" w:type="pct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湖北</w:t>
            </w:r>
          </w:p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（19个）</w:t>
            </w:r>
          </w:p>
        </w:tc>
        <w:tc>
          <w:tcPr>
            <w:tcW w:w="4160" w:type="pct"/>
            <w:vAlign w:val="center"/>
          </w:tcPr>
          <w:p>
            <w:pPr>
              <w:widowControl/>
              <w:snapToGrid w:val="0"/>
              <w:jc w:val="left"/>
              <w:rPr>
                <w:rFonts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  <w:t>掇刀区、京山市、猇亭区、秭归县、黄石新港（物流）工业园区、下陆区、宣恩县、应城市、云梦县、谷城县、襄城区、黄冈龙感湖管理区、黄州区、赤壁市、嘉鱼县、通城县、荆州区、洪湖市、房县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840" w:type="pct"/>
            <w:shd w:val="clear" w:color="000000" w:fill="auto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湖南</w:t>
            </w:r>
          </w:p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（12个）</w:t>
            </w:r>
          </w:p>
        </w:tc>
        <w:tc>
          <w:tcPr>
            <w:tcW w:w="4160" w:type="pct"/>
            <w:vAlign w:val="center"/>
          </w:tcPr>
          <w:p>
            <w:pPr>
              <w:widowControl/>
              <w:snapToGrid w:val="0"/>
              <w:jc w:val="left"/>
              <w:rPr>
                <w:rFonts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  <w:t>醴陵市、岳塘区、湘阴县、武陵区、涟源市、祁阳市、汨罗市、双峰县、南县、隆回县、冷水滩区、邵阳县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840" w:type="pct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广东</w:t>
            </w:r>
          </w:p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（32个）</w:t>
            </w:r>
          </w:p>
        </w:tc>
        <w:tc>
          <w:tcPr>
            <w:tcW w:w="4160" w:type="pct"/>
            <w:vAlign w:val="center"/>
          </w:tcPr>
          <w:p>
            <w:pPr>
              <w:widowControl/>
              <w:snapToGrid w:val="0"/>
              <w:jc w:val="left"/>
              <w:rPr>
                <w:rFonts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  <w:t>潮安区、东莞市（大朗镇、桥头镇、谢岗镇、洪梅镇）、从化区、广州市（黄埔、开发区）、龙川县、东源县、惠阳区、惠州仲恺高新技术产业开发区、新会区、揭东区、高州市、化州市、平远县、梅江区、蕉岭县、清新区、清城区、濠江区、武江区、始兴县、南雄市、龙岗区、罗定市、雷州市、遂溪县、怀集县、高要区、肇庆高新技术产业开发区、封开县、广宁县、中山市（三角镇、南头镇、古镇镇、火炬开发区）、斗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840" w:type="pct"/>
            <w:shd w:val="clear" w:color="000000" w:fill="auto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广西</w:t>
            </w:r>
          </w:p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（22个）</w:t>
            </w:r>
          </w:p>
        </w:tc>
        <w:tc>
          <w:tcPr>
            <w:tcW w:w="4160" w:type="pct"/>
            <w:vAlign w:val="center"/>
          </w:tcPr>
          <w:p>
            <w:pPr>
              <w:widowControl/>
              <w:snapToGrid w:val="0"/>
              <w:jc w:val="left"/>
              <w:rPr>
                <w:rFonts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  <w:t>横州市、兴宁区、鹿寨县、柳城县、永福县、藤县、铁山港区、钦南区、灵山县、平南县、港北区、港南区、北流市、福绵区、平果市、田东县、右江区、东兰县、武宣县、江州区、扶绥县、天等县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40" w:type="pct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海南</w:t>
            </w:r>
          </w:p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（10个）</w:t>
            </w:r>
          </w:p>
        </w:tc>
        <w:tc>
          <w:tcPr>
            <w:tcW w:w="4160" w:type="pct"/>
            <w:vAlign w:val="center"/>
          </w:tcPr>
          <w:p>
            <w:pPr>
              <w:widowControl/>
              <w:snapToGrid w:val="0"/>
              <w:jc w:val="left"/>
              <w:rPr>
                <w:rFonts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  <w:t>崖州区、天涯区、万宁市、东方市、澄迈县、定安县、屯昌县、临高县、琼中黎族苗族自治县、乐东黎族自治县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840" w:type="pct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重庆</w:t>
            </w:r>
          </w:p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（16个）</w:t>
            </w:r>
          </w:p>
        </w:tc>
        <w:tc>
          <w:tcPr>
            <w:tcW w:w="4160" w:type="pct"/>
            <w:vAlign w:val="center"/>
          </w:tcPr>
          <w:p>
            <w:pPr>
              <w:widowControl/>
              <w:snapToGrid w:val="0"/>
              <w:jc w:val="left"/>
              <w:rPr>
                <w:rFonts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  <w:t>黔江区、涪陵区、长寿区、江津区、永川区、潼南区、城口县、丰都县、巫溪县、巫山县、奉节县、垫江县、酉阳县、彭水县、秀山县、万盛经济技术开发区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840" w:type="pct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四川</w:t>
            </w:r>
          </w:p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（6个）</w:t>
            </w:r>
          </w:p>
        </w:tc>
        <w:tc>
          <w:tcPr>
            <w:tcW w:w="4160" w:type="pct"/>
            <w:vAlign w:val="center"/>
          </w:tcPr>
          <w:p>
            <w:pPr>
              <w:widowControl/>
              <w:snapToGrid w:val="0"/>
              <w:jc w:val="left"/>
              <w:rPr>
                <w:rFonts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  <w:t>金堂县、攀枝花市西区、旺苍县、嘉陵区、茂县、德昌县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840" w:type="pct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贵州</w:t>
            </w:r>
          </w:p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（13个）</w:t>
            </w:r>
          </w:p>
        </w:tc>
        <w:tc>
          <w:tcPr>
            <w:tcW w:w="4160" w:type="pct"/>
            <w:vAlign w:val="center"/>
          </w:tcPr>
          <w:p>
            <w:pPr>
              <w:widowControl/>
              <w:snapToGrid w:val="0"/>
              <w:jc w:val="left"/>
              <w:rPr>
                <w:rFonts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  <w:t>开阳县、播州区、关岭县、镇宁县、盘州市、钟山区、镇远县、长顺县、兴义市、望谟县、威宁县、黔西市、松桃县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840" w:type="pct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云南</w:t>
            </w:r>
          </w:p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（28个）</w:t>
            </w:r>
          </w:p>
        </w:tc>
        <w:tc>
          <w:tcPr>
            <w:tcW w:w="4160" w:type="pct"/>
            <w:vAlign w:val="center"/>
          </w:tcPr>
          <w:p>
            <w:pPr>
              <w:widowControl/>
              <w:snapToGrid w:val="0"/>
              <w:jc w:val="left"/>
              <w:rPr>
                <w:rFonts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  <w:t>宜良县、富民县、石林县、曲靖经济技术开发区、沾益区、麒麟区、楚雄市、禄丰市、双柏县、鹤庆县、祥云县、弥渡县、文山市、砚山县、丘北县、建水县、蒙自市、河口县、隆阳区、施甸县、泸水市、红塔区、昭阳区、华坪县、镇沅县、耿马县、芒市、景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40" w:type="pct"/>
            <w:shd w:val="clear" w:color="000000" w:fill="auto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西藏</w:t>
            </w:r>
          </w:p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（9个）</w:t>
            </w:r>
          </w:p>
        </w:tc>
        <w:tc>
          <w:tcPr>
            <w:tcW w:w="4160" w:type="pct"/>
            <w:vAlign w:val="center"/>
          </w:tcPr>
          <w:p>
            <w:pPr>
              <w:widowControl/>
              <w:snapToGrid w:val="0"/>
              <w:jc w:val="left"/>
              <w:rPr>
                <w:rFonts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  <w:t>革吉县、萨嘎县、吉隆县、昌都经济技术开发区、琼结县、堆龙德庆区、尼木县、工布江达县、聂荣县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840" w:type="pct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陕西</w:t>
            </w:r>
          </w:p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（26个）</w:t>
            </w:r>
          </w:p>
        </w:tc>
        <w:tc>
          <w:tcPr>
            <w:tcW w:w="4160" w:type="pct"/>
            <w:vAlign w:val="center"/>
          </w:tcPr>
          <w:p>
            <w:pPr>
              <w:widowControl/>
              <w:snapToGrid w:val="0"/>
              <w:jc w:val="left"/>
              <w:rPr>
                <w:rFonts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  <w:t>西安高新技术产业开发区、灞桥区、西安经济技术开发区、金台区、岐山县、三原县、武功县、耀州区、大荔县、澄城县、白水县、潼关县、渭南经济技术开发区、宝塔区、延川县、安塞区、定边县、吴堡县、榆阳区、城固县、汉台区、镇巴县、安康高新技术产业开发区、商州区、洛南县、韩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840" w:type="pct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甘肃</w:t>
            </w:r>
          </w:p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（46个）</w:t>
            </w:r>
          </w:p>
        </w:tc>
        <w:tc>
          <w:tcPr>
            <w:tcW w:w="4160" w:type="pct"/>
            <w:vAlign w:val="center"/>
          </w:tcPr>
          <w:p>
            <w:pPr>
              <w:widowControl/>
              <w:snapToGrid w:val="0"/>
              <w:jc w:val="left"/>
              <w:rPr>
                <w:rFonts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  <w:t>景泰县、平川区、会宁县、靖远县、通渭县、渭源县、安定区、陇西县、临洮县、漳县、迭部县、合作市、玛曲县、夏河县、临潭县、嘉峪关市、永昌县、金川区、敦煌市、瓜州县、金塔县、肃州区、玉门市、阿克塞县、永登县、兰州新区、和政县、积石山县、临夏市、东乡县、康县、崇信县、灵台县、华亭市、庄浪县、合水县、镇原县、清水县、民勤县、古浪县、高台县、甘州区、民乐县、临泽县、山丹县、肃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840" w:type="pct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青海</w:t>
            </w:r>
          </w:p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（32个）</w:t>
            </w:r>
          </w:p>
        </w:tc>
        <w:tc>
          <w:tcPr>
            <w:tcW w:w="4160" w:type="pct"/>
            <w:vAlign w:val="center"/>
          </w:tcPr>
          <w:p>
            <w:pPr>
              <w:widowControl/>
              <w:snapToGrid w:val="0"/>
              <w:jc w:val="left"/>
              <w:rPr>
                <w:rFonts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  <w:t>玛多县、班玛县、达日县、甘德县、久治县、化隆县、民和县、循化县、共和县、贵德县、贵南县、湟中区、湟源县、城东区、城北区、城中区、刚察县、门源县、海晏县、祁连县、尖扎县、同仁市、泽库县、杂多县、称多县、天峻县、茫崖市、乌兰县、都兰县、德令哈市、大柴旦行委、格尔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840" w:type="pct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宁夏</w:t>
            </w:r>
          </w:p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（7个）</w:t>
            </w:r>
          </w:p>
        </w:tc>
        <w:tc>
          <w:tcPr>
            <w:tcW w:w="4160" w:type="pct"/>
            <w:vAlign w:val="center"/>
          </w:tcPr>
          <w:p>
            <w:pPr>
              <w:widowControl/>
              <w:snapToGrid w:val="0"/>
              <w:jc w:val="left"/>
              <w:rPr>
                <w:rFonts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  <w:t>兴庆区、贺兰县、惠农区、盐池县、红寺堡区、原州区、中宁县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40" w:type="pct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新疆</w:t>
            </w:r>
          </w:p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（2个）</w:t>
            </w:r>
          </w:p>
        </w:tc>
        <w:tc>
          <w:tcPr>
            <w:tcW w:w="4160" w:type="pct"/>
            <w:vAlign w:val="center"/>
          </w:tcPr>
          <w:p>
            <w:pPr>
              <w:widowControl/>
              <w:snapToGrid w:val="0"/>
              <w:jc w:val="left"/>
              <w:rPr>
                <w:rFonts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  <w:t>奎屯市、头屯河区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840" w:type="pct"/>
            <w:vAlign w:val="center"/>
          </w:tcPr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新疆生产建设兵团</w:t>
            </w:r>
          </w:p>
          <w:p>
            <w:pPr>
              <w:widowControl/>
              <w:snapToGrid w:val="0"/>
              <w:jc w:val="center"/>
              <w:rPr>
                <w:rFonts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b/>
                <w:bCs/>
                <w:color w:val="000000"/>
                <w:kern w:val="0"/>
                <w:sz w:val="24"/>
                <w:szCs w:val="24"/>
              </w:rPr>
              <w:t>（3个）</w:t>
            </w:r>
          </w:p>
        </w:tc>
        <w:tc>
          <w:tcPr>
            <w:tcW w:w="4160" w:type="pct"/>
            <w:vAlign w:val="center"/>
          </w:tcPr>
          <w:p>
            <w:pPr>
              <w:widowControl/>
              <w:snapToGrid w:val="0"/>
              <w:jc w:val="left"/>
              <w:rPr>
                <w:rFonts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" w:eastAsia="方正楷体_GBK" w:cs="方正楷体"/>
                <w:color w:val="000000"/>
                <w:kern w:val="0"/>
                <w:sz w:val="24"/>
                <w:szCs w:val="24"/>
              </w:rPr>
              <w:t>第三师图木舒克市、第五师双河市、第十师北屯市</w:t>
            </w:r>
          </w:p>
        </w:tc>
      </w:tr>
      <w:bookmarkEnd w:id="0"/>
    </w:tbl>
    <w:p/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E498B"/>
    <w:rsid w:val="00007AFA"/>
    <w:rsid w:val="00025329"/>
    <w:rsid w:val="002D79AA"/>
    <w:rsid w:val="00481444"/>
    <w:rsid w:val="00497C45"/>
    <w:rsid w:val="004D016F"/>
    <w:rsid w:val="004D3093"/>
    <w:rsid w:val="006D17D3"/>
    <w:rsid w:val="006D484A"/>
    <w:rsid w:val="0073763F"/>
    <w:rsid w:val="00794D84"/>
    <w:rsid w:val="008D5A64"/>
    <w:rsid w:val="00B006D4"/>
    <w:rsid w:val="00DE2B0F"/>
    <w:rsid w:val="00E935F3"/>
    <w:rsid w:val="00F90976"/>
    <w:rsid w:val="15F922D4"/>
    <w:rsid w:val="24CD5EE4"/>
    <w:rsid w:val="3C9D0319"/>
    <w:rsid w:val="3DBEF82C"/>
    <w:rsid w:val="3E1E0765"/>
    <w:rsid w:val="3EFF0532"/>
    <w:rsid w:val="3F6EAC97"/>
    <w:rsid w:val="3FDB3A2E"/>
    <w:rsid w:val="3FEE492F"/>
    <w:rsid w:val="5DFE498B"/>
    <w:rsid w:val="5F7FF126"/>
    <w:rsid w:val="677AE88A"/>
    <w:rsid w:val="67FB2270"/>
    <w:rsid w:val="6EF3A896"/>
    <w:rsid w:val="76C6BB06"/>
    <w:rsid w:val="77BF9388"/>
    <w:rsid w:val="7AAFD845"/>
    <w:rsid w:val="7B0F1BE5"/>
    <w:rsid w:val="7BFF7C2B"/>
    <w:rsid w:val="7D2F092D"/>
    <w:rsid w:val="7EEADA26"/>
    <w:rsid w:val="7FFFDFB7"/>
    <w:rsid w:val="8E974BD1"/>
    <w:rsid w:val="9BDCC224"/>
    <w:rsid w:val="BFFF63A8"/>
    <w:rsid w:val="D7FEA739"/>
    <w:rsid w:val="DB5D0162"/>
    <w:rsid w:val="DCEE20C4"/>
    <w:rsid w:val="DF7B4A92"/>
    <w:rsid w:val="DF7FCDFE"/>
    <w:rsid w:val="DFDC3F75"/>
    <w:rsid w:val="EADD4225"/>
    <w:rsid w:val="EBF34DD9"/>
    <w:rsid w:val="ED3D3C48"/>
    <w:rsid w:val="EF76E2D7"/>
    <w:rsid w:val="FBDF763E"/>
    <w:rsid w:val="FCCFD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544</Words>
  <Characters>3104</Characters>
  <Lines>25</Lines>
  <Paragraphs>7</Paragraphs>
  <TotalTime>39</TotalTime>
  <ScaleCrop>false</ScaleCrop>
  <LinksUpToDate>false</LinksUpToDate>
  <CharactersWithSpaces>3641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2021-09-02T01:12:00Z</dcterms:created>
  <dc:creator>孔涛</dc:creator>
  <cp:lastModifiedBy>小玉</cp:lastModifiedBy>
  <cp:lastPrinted>2021-09-02T02:06:00Z</cp:lastPrinted>
  <dcterms:modified xsi:type="dcterms:W3CDTF">2021-09-24T01:37:03Z</dcterms:modified>
  <dc:title>附件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