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Times New Roman"/>
          <w:kern w:val="0"/>
          <w:sz w:val="32"/>
          <w:szCs w:val="44"/>
        </w:rPr>
      </w:pPr>
      <w:bookmarkStart w:id="35" w:name="_GoBack"/>
      <w:bookmarkEnd w:id="35"/>
      <w:r>
        <w:rPr>
          <w:rFonts w:hint="eastAsia" w:ascii="黑体" w:hAnsi="黑体" w:eastAsia="黑体" w:cs="Times New Roman"/>
          <w:kern w:val="0"/>
          <w:sz w:val="32"/>
          <w:szCs w:val="44"/>
        </w:rPr>
        <w:t>附件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黑体" w:cs="Times New Roman"/>
          <w:kern w:val="0"/>
          <w:sz w:val="44"/>
          <w:szCs w:val="44"/>
        </w:rPr>
      </w:pPr>
      <w:r>
        <w:rPr>
          <w:rFonts w:hint="eastAsia" w:ascii="Times New Roman" w:hAnsi="Times New Roman" w:eastAsia="黑体" w:cs="Times New Roman"/>
          <w:kern w:val="0"/>
          <w:sz w:val="40"/>
          <w:szCs w:val="40"/>
        </w:rPr>
        <w:t>四川省生态环境监测业务管理系统</w:t>
      </w:r>
    </w:p>
    <w:p>
      <w:pPr>
        <w:snapToGrid w:val="0"/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Times New Roman" w:hAnsi="Times New Roman" w:eastAsia="宋体" w:cs="Times New Roman"/>
          <w:kern w:val="0"/>
          <w:sz w:val="44"/>
          <w:szCs w:val="44"/>
        </w:rPr>
      </w:pPr>
      <w:r>
        <w:rPr>
          <w:rFonts w:hint="eastAsia" w:ascii="Times New Roman" w:hAnsi="Times New Roman" w:eastAsia="黑体" w:cs="Times New Roman"/>
          <w:bCs/>
          <w:sz w:val="84"/>
          <w:szCs w:val="84"/>
        </w:rPr>
        <w:t>用户手册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宋体"/>
          <w:kern w:val="0"/>
          <w:sz w:val="28"/>
          <w:szCs w:val="28"/>
        </w:rPr>
      </w:pPr>
      <w:r>
        <w:rPr>
          <w:rFonts w:hint="eastAsia" w:ascii="Times New Roman" w:hAnsi="Times New Roman" w:eastAsia="宋体" w:cs="宋体"/>
          <w:kern w:val="0"/>
          <w:sz w:val="28"/>
          <w:szCs w:val="28"/>
        </w:rPr>
        <w:t>（危险废物鉴别机构）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宋体"/>
          <w:kern w:val="0"/>
          <w:sz w:val="28"/>
          <w:szCs w:val="28"/>
        </w:rPr>
      </w:pP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宋体"/>
          <w:kern w:val="0"/>
          <w:sz w:val="28"/>
          <w:szCs w:val="28"/>
        </w:rPr>
      </w:pP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宋体"/>
          <w:kern w:val="0"/>
          <w:sz w:val="28"/>
          <w:szCs w:val="28"/>
        </w:rPr>
      </w:pP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宋体"/>
          <w:kern w:val="0"/>
          <w:sz w:val="28"/>
          <w:szCs w:val="28"/>
        </w:rPr>
      </w:pP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宋体"/>
          <w:kern w:val="0"/>
          <w:sz w:val="28"/>
          <w:szCs w:val="28"/>
        </w:rPr>
      </w:pP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宋体"/>
          <w:kern w:val="0"/>
          <w:sz w:val="28"/>
          <w:szCs w:val="28"/>
        </w:rPr>
      </w:pPr>
    </w:p>
    <w:p>
      <w:pPr>
        <w:widowControl/>
        <w:adjustRightInd w:val="0"/>
        <w:spacing w:line="360" w:lineRule="auto"/>
        <w:jc w:val="center"/>
        <w:textAlignment w:val="baseline"/>
        <w:rPr>
          <w:rFonts w:ascii="Times New Roman" w:hAnsi="Times New Roman" w:eastAsia="黑体" w:cs="Times New Roman"/>
          <w:kern w:val="0"/>
          <w:sz w:val="32"/>
          <w:szCs w:val="20"/>
        </w:rPr>
      </w:pPr>
    </w:p>
    <w:p>
      <w:pPr>
        <w:widowControl/>
        <w:adjustRightInd w:val="0"/>
        <w:spacing w:line="360" w:lineRule="auto"/>
        <w:jc w:val="center"/>
        <w:textAlignment w:val="baseline"/>
        <w:rPr>
          <w:rFonts w:ascii="Times New Roman" w:hAnsi="Times New Roman" w:eastAsia="黑体" w:cs="Times New Roman"/>
          <w:kern w:val="0"/>
          <w:sz w:val="32"/>
          <w:szCs w:val="20"/>
        </w:rPr>
      </w:pPr>
    </w:p>
    <w:p>
      <w:pPr>
        <w:widowControl/>
        <w:adjustRightInd w:val="0"/>
        <w:spacing w:line="360" w:lineRule="auto"/>
        <w:jc w:val="center"/>
        <w:textAlignment w:val="baseline"/>
        <w:rPr>
          <w:rFonts w:ascii="Times New Roman" w:hAnsi="Times New Roman" w:eastAsia="黑体" w:cs="Times New Roman"/>
          <w:kern w:val="0"/>
          <w:sz w:val="32"/>
          <w:szCs w:val="20"/>
        </w:rPr>
      </w:pPr>
    </w:p>
    <w:p>
      <w:pPr>
        <w:widowControl/>
        <w:adjustRightInd w:val="0"/>
        <w:spacing w:line="360" w:lineRule="auto"/>
        <w:jc w:val="center"/>
        <w:textAlignment w:val="baseline"/>
        <w:rPr>
          <w:rFonts w:ascii="Times New Roman" w:hAnsi="Times New Roman" w:eastAsia="黑体" w:cs="Times New Roman"/>
          <w:kern w:val="0"/>
          <w:sz w:val="32"/>
          <w:szCs w:val="20"/>
        </w:rPr>
      </w:pPr>
    </w:p>
    <w:p>
      <w:pPr>
        <w:widowControl/>
        <w:adjustRightInd w:val="0"/>
        <w:spacing w:line="360" w:lineRule="auto"/>
        <w:jc w:val="center"/>
        <w:textAlignment w:val="baseline"/>
        <w:rPr>
          <w:rFonts w:ascii="Times New Roman" w:hAnsi="Times New Roman" w:eastAsia="黑体" w:cs="Times New Roman"/>
          <w:kern w:val="0"/>
          <w:sz w:val="32"/>
          <w:szCs w:val="20"/>
        </w:rPr>
      </w:pPr>
    </w:p>
    <w:p>
      <w:pPr>
        <w:widowControl/>
        <w:adjustRightInd w:val="0"/>
        <w:spacing w:line="360" w:lineRule="auto"/>
        <w:jc w:val="center"/>
        <w:textAlignment w:val="baseline"/>
        <w:rPr>
          <w:rFonts w:ascii="Times New Roman" w:hAnsi="Times New Roman" w:eastAsia="黑体" w:cs="Times New Roman"/>
          <w:kern w:val="0"/>
          <w:sz w:val="32"/>
          <w:szCs w:val="20"/>
        </w:rPr>
      </w:pPr>
    </w:p>
    <w:p>
      <w:pPr>
        <w:widowControl/>
        <w:adjustRightInd w:val="0"/>
        <w:spacing w:line="360" w:lineRule="auto"/>
        <w:jc w:val="center"/>
        <w:textAlignment w:val="baseline"/>
        <w:rPr>
          <w:rFonts w:ascii="Times New Roman" w:hAnsi="Times New Roman" w:eastAsia="黑体" w:cs="Times New Roman"/>
          <w:kern w:val="0"/>
          <w:sz w:val="32"/>
          <w:szCs w:val="20"/>
        </w:rPr>
      </w:pPr>
      <w:r>
        <w:rPr>
          <w:rFonts w:ascii="Times New Roman" w:hAnsi="Times New Roman" w:eastAsia="黑体" w:cs="Times New Roman"/>
          <w:kern w:val="0"/>
          <w:sz w:val="32"/>
          <w:szCs w:val="20"/>
        </w:rPr>
        <w:t>20</w:t>
      </w:r>
      <w:r>
        <w:rPr>
          <w:rFonts w:hint="eastAsia" w:ascii="Times New Roman" w:hAnsi="Times New Roman" w:eastAsia="黑体" w:cs="Times New Roman"/>
          <w:kern w:val="0"/>
          <w:sz w:val="32"/>
          <w:szCs w:val="20"/>
        </w:rPr>
        <w:t>22</w:t>
      </w:r>
      <w:r>
        <w:rPr>
          <w:rFonts w:ascii="Times New Roman" w:hAnsi="Times New Roman" w:eastAsia="黑体" w:cs="Times New Roman"/>
          <w:kern w:val="0"/>
          <w:sz w:val="32"/>
          <w:szCs w:val="20"/>
        </w:rPr>
        <w:t>年</w:t>
      </w:r>
      <w:r>
        <w:rPr>
          <w:rFonts w:hint="eastAsia" w:ascii="Times New Roman" w:hAnsi="Times New Roman" w:eastAsia="黑体" w:cs="Times New Roman"/>
          <w:kern w:val="0"/>
          <w:sz w:val="32"/>
          <w:szCs w:val="20"/>
        </w:rPr>
        <w:t>9</w:t>
      </w:r>
      <w:r>
        <w:rPr>
          <w:rFonts w:ascii="Times New Roman" w:hAnsi="Times New Roman" w:eastAsia="黑体" w:cs="Times New Roman"/>
          <w:kern w:val="0"/>
          <w:sz w:val="32"/>
          <w:szCs w:val="20"/>
        </w:rPr>
        <w:t>月</w:t>
      </w:r>
    </w:p>
    <w:p>
      <w:pPr>
        <w:tabs>
          <w:tab w:val="right" w:leader="dot" w:pos="9017"/>
        </w:tabs>
        <w:adjustRightInd w:val="0"/>
        <w:spacing w:before="120" w:after="120" w:line="360" w:lineRule="auto"/>
        <w:jc w:val="center"/>
        <w:textAlignment w:val="baseline"/>
        <w:rPr>
          <w:rFonts w:ascii="Times New Roman" w:hAnsi="Times New Roman" w:cs="Times New Roman" w:eastAsiaTheme="majorEastAsia"/>
          <w:bCs/>
          <w:caps/>
          <w:kern w:val="0"/>
          <w:sz w:val="24"/>
          <w:szCs w:val="24"/>
        </w:rPr>
      </w:pPr>
      <w:r>
        <w:rPr>
          <w:rFonts w:hint="eastAsia" w:ascii="Times New Roman" w:hAnsi="Times New Roman" w:cs="Times New Roman" w:eastAsiaTheme="majorEastAsia"/>
          <w:b/>
          <w:bCs/>
          <w:caps/>
          <w:kern w:val="0"/>
          <w:sz w:val="24"/>
          <w:szCs w:val="24"/>
        </w:rPr>
        <w:t>目  录</w:t>
      </w:r>
    </w:p>
    <w:sdt>
      <w:sdtPr>
        <w:rPr>
          <w:rFonts w:ascii="Times New Roman" w:hAnsi="Times New Roman" w:cs="Times New Roman" w:eastAsiaTheme="majorEastAsia"/>
          <w:kern w:val="0"/>
          <w:sz w:val="24"/>
          <w:szCs w:val="24"/>
          <w:lang w:val="zh-CN"/>
        </w:rPr>
        <w:id w:val="-6117941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0"/>
          <w:sz w:val="21"/>
          <w:szCs w:val="20"/>
          <w:lang w:val="zh-CN"/>
        </w:rPr>
      </w:sdtEndPr>
      <w:sdtContent>
        <w:p>
          <w:pPr>
            <w:tabs>
              <w:tab w:val="right" w:leader="dot" w:pos="8303"/>
            </w:tabs>
            <w:adjustRightInd w:val="0"/>
            <w:spacing w:line="360" w:lineRule="auto"/>
            <w:ind w:left="1134"/>
            <w:jc w:val="left"/>
            <w:textAlignment w:val="baseline"/>
            <w:rPr>
              <w:rFonts w:ascii="Times New Roman" w:hAnsi="Times New Roman" w:cs="Times New Roman" w:eastAsiaTheme="majorEastAsia"/>
              <w:b/>
              <w:bCs/>
              <w:kern w:val="0"/>
              <w:sz w:val="24"/>
              <w:szCs w:val="24"/>
              <w:lang w:val="zh-CN"/>
            </w:rPr>
          </w:pPr>
          <w:r>
            <w:rPr>
              <w:rFonts w:ascii="Times New Roman" w:hAnsi="Times New Roman" w:cs="Times New Roman" w:eastAsiaTheme="majorEastAsia"/>
              <w:kern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 w:eastAsiaTheme="majorEastAsia"/>
              <w:kern w:val="0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 w:cs="Times New Roman" w:eastAsiaTheme="majorEastAsia"/>
              <w:kern w:val="0"/>
              <w:sz w:val="24"/>
              <w:szCs w:val="24"/>
            </w:rPr>
            <w:fldChar w:fldCharType="separate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"_Toc8077"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第1章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系统简介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_Toc8077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5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"_Toc2068"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第2章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业务流程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_Toc2068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5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"_Toc4246"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第3章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登录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_Toc4246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6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210"/>
            <w:jc w:val="left"/>
            <w:textAlignment w:val="baseline"/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"_Toc8957"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smallCaps/>
              <w:kern w:val="0"/>
              <w:sz w:val="20"/>
              <w:szCs w:val="20"/>
            </w:rPr>
            <w:t xml:space="preserve">3.1 </w:t>
          </w:r>
          <w:r>
            <w:rPr>
              <w:rFonts w:hint="eastAsia" w:ascii="Times New Roman" w:hAnsi="Times New Roman" w:eastAsia="宋体" w:cs="Times New Roman"/>
              <w:smallCaps/>
              <w:kern w:val="0"/>
              <w:sz w:val="20"/>
              <w:szCs w:val="20"/>
            </w:rPr>
            <w:t>四川政务服务网PC端登陆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instrText xml:space="preserve"> PAGEREF _Toc8957 \h </w:instrTex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>6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420"/>
            <w:jc w:val="left"/>
            <w:textAlignment w:val="baseline"/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"_Toc20852"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iCs/>
              <w:kern w:val="0"/>
              <w:sz w:val="20"/>
              <w:szCs w:val="20"/>
            </w:rPr>
            <w:t xml:space="preserve">3.1.1 </w:t>
          </w:r>
          <w:r>
            <w:rPr>
              <w:rFonts w:hint="eastAsia"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法人注册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instrText xml:space="preserve"> PAGEREF _Toc20852 \h </w:instrTex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6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420"/>
            <w:jc w:val="left"/>
            <w:textAlignment w:val="baseline"/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"_Toc6327"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iCs/>
              <w:kern w:val="0"/>
              <w:sz w:val="20"/>
              <w:szCs w:val="20"/>
            </w:rPr>
            <w:t xml:space="preserve">3.1.2 </w:t>
          </w:r>
          <w:r>
            <w:rPr>
              <w:rFonts w:hint="eastAsia"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法人登录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instrText xml:space="preserve"> PAGEREF _Toc6327 \h </w:instrTex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7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420"/>
            <w:jc w:val="left"/>
            <w:textAlignment w:val="baseline"/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"_Toc32741"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iCs/>
              <w:kern w:val="0"/>
              <w:sz w:val="20"/>
              <w:szCs w:val="20"/>
            </w:rPr>
            <w:t xml:space="preserve">3.1.3 </w:t>
          </w:r>
          <w:r>
            <w:rPr>
              <w:rFonts w:hint="eastAsia"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个人注册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instrText xml:space="preserve"> PAGEREF _Toc32741 \h </w:instrTex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9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420"/>
            <w:jc w:val="left"/>
            <w:textAlignment w:val="baseline"/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"_Toc13479"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iCs/>
              <w:kern w:val="0"/>
              <w:sz w:val="20"/>
              <w:szCs w:val="20"/>
            </w:rPr>
            <w:t xml:space="preserve">3.1.4 </w:t>
          </w:r>
          <w:r>
            <w:rPr>
              <w:rFonts w:hint="eastAsia"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个人登录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instrText xml:space="preserve"> PAGEREF _Toc13479 \h </w:instrTex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10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420"/>
            <w:jc w:val="left"/>
            <w:textAlignment w:val="baseline"/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"_Toc13292"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iCs/>
              <w:kern w:val="0"/>
              <w:sz w:val="20"/>
              <w:szCs w:val="20"/>
            </w:rPr>
            <w:t xml:space="preserve">3.1.5 </w:t>
          </w:r>
          <w:r>
            <w:rPr>
              <w:rFonts w:hint="eastAsia"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退出登录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instrText xml:space="preserve"> PAGEREF _Toc13292 \h </w:instrTex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t>12</w:t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i/>
              <w:iC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210"/>
            <w:jc w:val="left"/>
            <w:textAlignment w:val="baseline"/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"_Toc2094"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smallCaps/>
              <w:kern w:val="0"/>
              <w:sz w:val="20"/>
              <w:szCs w:val="20"/>
            </w:rPr>
            <w:t xml:space="preserve">3.2 </w:t>
          </w:r>
          <w:r>
            <w:rPr>
              <w:rFonts w:hint="eastAsia" w:ascii="Times New Roman" w:hAnsi="Times New Roman" w:eastAsia="宋体" w:cs="Times New Roman"/>
              <w:smallCaps/>
              <w:kern w:val="0"/>
              <w:sz w:val="20"/>
              <w:szCs w:val="20"/>
            </w:rPr>
            <w:t>天府通办APP登陆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instrText xml:space="preserve"> PAGEREF _Toc2094 \h </w:instrTex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>12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210"/>
            <w:jc w:val="left"/>
            <w:textAlignment w:val="baseline"/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"_Toc21802"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smallCaps/>
              <w:kern w:val="0"/>
              <w:sz w:val="20"/>
              <w:szCs w:val="20"/>
            </w:rPr>
            <w:t xml:space="preserve">3.3 </w:t>
          </w:r>
          <w:r>
            <w:rPr>
              <w:rFonts w:hint="eastAsia" w:ascii="Times New Roman" w:hAnsi="Times New Roman" w:eastAsia="宋体" w:cs="Times New Roman"/>
              <w:smallCaps/>
              <w:kern w:val="0"/>
              <w:sz w:val="20"/>
              <w:szCs w:val="20"/>
            </w:rPr>
            <w:t>系统构成及功能概述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instrText xml:space="preserve"> PAGEREF _Toc21802 \h </w:instrTex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>20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"_Toc4383"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第4章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机构信息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_Toc4383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20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"_Toc13301"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第5章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监测人员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_Toc13301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22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"_Toc18693"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第6章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项目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登记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_Toc18693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27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"_Toc19470"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第7章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查询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统计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_Toc19470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30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"_Toc2933"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第8章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办事指南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_Toc2933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32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"_Toc1580"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第9章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违规待整改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_Toc1580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33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"_Toc29688"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第10章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历史整改记录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_Toc29688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34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"_Toc14001"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第11章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监测业务公开端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_Toc14001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35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"_Toc6234"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 xml:space="preserve">第12章 </w:t>
          </w:r>
          <w:r>
            <w:rPr>
              <w:rFonts w:hint="eastAsia"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天府通办APP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instrText xml:space="preserve"> PAGEREF _Toc6234 \h </w:instrTex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t>36</w:t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210"/>
            <w:jc w:val="left"/>
            <w:textAlignment w:val="baseline"/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"_Toc19276"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smallCaps/>
              <w:kern w:val="0"/>
              <w:sz w:val="20"/>
              <w:szCs w:val="20"/>
            </w:rPr>
            <w:t xml:space="preserve">12.1 </w:t>
          </w:r>
          <w:r>
            <w:rPr>
              <w:rFonts w:hint="eastAsia" w:ascii="Times New Roman" w:hAnsi="Times New Roman" w:eastAsia="宋体" w:cs="Times New Roman"/>
              <w:smallCaps/>
              <w:kern w:val="0"/>
              <w:sz w:val="20"/>
              <w:szCs w:val="20"/>
            </w:rPr>
            <w:t>首页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instrText xml:space="preserve"> PAGEREF _Toc19276 \h </w:instrTex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>36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210"/>
            <w:jc w:val="left"/>
            <w:textAlignment w:val="baseline"/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"_Toc27234"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smallCaps/>
              <w:kern w:val="0"/>
              <w:sz w:val="20"/>
              <w:szCs w:val="20"/>
            </w:rPr>
            <w:t xml:space="preserve">12.2 </w:t>
          </w:r>
          <w:r>
            <w:rPr>
              <w:rFonts w:hint="eastAsia" w:ascii="Times New Roman" w:hAnsi="Times New Roman" w:eastAsia="宋体" w:cs="Times New Roman"/>
              <w:smallCaps/>
              <w:kern w:val="0"/>
              <w:sz w:val="20"/>
              <w:szCs w:val="20"/>
            </w:rPr>
            <w:t>在行项目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instrText xml:space="preserve"> PAGEREF _Toc27234 \h </w:instrTex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>38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13"/>
            </w:tabs>
            <w:adjustRightInd w:val="0"/>
            <w:spacing w:line="360" w:lineRule="auto"/>
            <w:ind w:left="210"/>
            <w:jc w:val="left"/>
            <w:textAlignment w:val="baseline"/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</w:pPr>
          <w:r>
            <w:fldChar w:fldCharType="begin"/>
          </w:r>
          <w:r>
            <w:instrText xml:space="preserve"> HYPERLINK \l "_Toc26189" </w:instrText>
          </w:r>
          <w:r>
            <w:fldChar w:fldCharType="separate"/>
          </w:r>
          <w:r>
            <w:rPr>
              <w:rFonts w:hint="eastAsia" w:ascii="宋体" w:hAnsi="Times New Roman" w:eastAsia="宋体" w:cs="Times New Roman"/>
              <w:smallCaps/>
              <w:kern w:val="0"/>
              <w:sz w:val="20"/>
              <w:szCs w:val="20"/>
            </w:rPr>
            <w:t xml:space="preserve">12.3 </w:t>
          </w:r>
          <w:r>
            <w:rPr>
              <w:rFonts w:hint="eastAsia" w:ascii="Times New Roman" w:hAnsi="Times New Roman" w:eastAsia="宋体" w:cs="Times New Roman"/>
              <w:smallCaps/>
              <w:kern w:val="0"/>
              <w:sz w:val="20"/>
              <w:szCs w:val="20"/>
            </w:rPr>
            <w:t>完成项目数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ab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begin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instrText xml:space="preserve"> PAGEREF _Toc26189 \h </w:instrTex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separate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t>48</w:t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  <w:r>
            <w:rPr>
              <w:rFonts w:ascii="Times New Roman" w:hAnsi="Times New Roman" w:eastAsia="宋体" w:cs="Times New Roman"/>
              <w:smallCaps/>
              <w:kern w:val="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8303"/>
            </w:tabs>
            <w:adjustRightInd w:val="0"/>
            <w:spacing w:before="120" w:after="120" w:line="360" w:lineRule="auto"/>
            <w:jc w:val="left"/>
            <w:textAlignment w:val="baseline"/>
            <w:rPr>
              <w:rFonts w:ascii="Times New Roman" w:hAnsi="Times New Roman" w:eastAsia="宋体" w:cs="Times New Roman"/>
              <w:b/>
              <w:bCs/>
              <w:caps/>
              <w:kern w:val="0"/>
              <w:sz w:val="20"/>
              <w:szCs w:val="20"/>
            </w:rPr>
            <w:sectPr>
              <w:footerReference r:id="rId5" w:type="first"/>
              <w:footerReference r:id="rId3" w:type="default"/>
              <w:footerReference r:id="rId4" w:type="even"/>
              <w:pgSz w:w="11907" w:h="16840"/>
              <w:pgMar w:top="2098" w:right="1474" w:bottom="1247" w:left="1588" w:header="851" w:footer="992" w:gutter="0"/>
              <w:cols w:space="425" w:num="1"/>
              <w:titlePg/>
              <w:docGrid w:linePitch="286" w:charSpace="0"/>
            </w:sectPr>
          </w:pPr>
          <w:r>
            <w:rPr>
              <w:rFonts w:ascii="Times New Roman" w:hAnsi="Times New Roman" w:cs="Times New Roman" w:eastAsiaTheme="majorEastAsia"/>
              <w:b/>
              <w:bCs/>
              <w:caps/>
              <w:kern w:val="0"/>
              <w:sz w:val="24"/>
              <w:szCs w:val="24"/>
              <w:lang w:val="zh-CN"/>
            </w:rPr>
            <w:fldChar w:fldCharType="end"/>
          </w:r>
        </w:p>
      </w:sdtContent>
    </w:sdt>
    <w:p>
      <w:pPr>
        <w:keepNext/>
        <w:keepLines/>
        <w:adjustRightInd w:val="0"/>
        <w:spacing w:before="240" w:line="360" w:lineRule="auto"/>
        <w:ind w:right="798" w:rightChars="380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0" w:name="_Toc490124334"/>
      <w:bookmarkStart w:id="1" w:name="_Toc8077"/>
      <w:bookmarkStart w:id="2" w:name="_Toc489869902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系统简介</w:t>
      </w:r>
      <w:bookmarkEnd w:id="0"/>
      <w:bookmarkEnd w:id="1"/>
      <w:bookmarkEnd w:id="2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本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平台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实现了一个统一的社会化监测机构服务管理平台，不仅统一了社会化监测机构的服务注册信息，并在此次项目建设过程过结合移动应用技术，对现场上传的采样照片进行定位追踪，保证监测数据的真实有效，最大程度的加强了环境信息监测管理力度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规范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了对“社会化监测机构”的全过程监管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体系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。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0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监测机构用户可通过本平台注册、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维护管理所属第三方监测机构的基本信息及人员信息。上传监测业务信息，实现对监测业务的登记（移动端可上传相关监测业务信息，WEB端可上传监测报告信息）。</w:t>
      </w:r>
    </w:p>
    <w:p>
      <w:pPr>
        <w:keepNext/>
        <w:keepLines/>
        <w:adjustRightInd w:val="0"/>
        <w:spacing w:before="240" w:line="360" w:lineRule="auto"/>
        <w:ind w:right="798" w:rightChars="380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3" w:name="_Toc2068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业务流程</w:t>
      </w:r>
      <w:bookmarkEnd w:id="3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生态环境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危险废物鉴别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机构用户：通过四川政务服务网登录进入四川省生态环境监测业务管理界面，可进行机构信息维护管理，监测人员信息维护，实现业务登记和办理（移动端可上传相关监测业务信息，WEB端可上传监测报告信息）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。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0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2105" cy="6052185"/>
            <wp:effectExtent l="0" t="0" r="1079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605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adjustRightInd w:val="0"/>
        <w:spacing w:before="240" w:line="360" w:lineRule="auto"/>
        <w:ind w:right="798" w:rightChars="380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4" w:name="_Toc108580940"/>
      <w:bookmarkStart w:id="5" w:name="_Toc178677271"/>
      <w:bookmarkStart w:id="6" w:name="_Toc490124338"/>
      <w:bookmarkStart w:id="7" w:name="_Toc489869906"/>
      <w:bookmarkStart w:id="8" w:name="_Toc4246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登录</w:t>
      </w:r>
      <w:bookmarkEnd w:id="4"/>
      <w:bookmarkEnd w:id="5"/>
      <w:bookmarkEnd w:id="6"/>
      <w:bookmarkEnd w:id="7"/>
      <w:bookmarkEnd w:id="8"/>
    </w:p>
    <w:p>
      <w:pPr>
        <w:keepNext/>
        <w:keepLines/>
        <w:numPr>
          <w:ilvl w:val="1"/>
          <w:numId w:val="1"/>
        </w:numPr>
        <w:adjustRightInd w:val="0"/>
        <w:spacing w:before="480" w:after="120" w:line="360" w:lineRule="auto"/>
        <w:jc w:val="left"/>
        <w:textAlignment w:val="baseline"/>
        <w:outlineLvl w:val="1"/>
        <w:rPr>
          <w:rFonts w:ascii="Times New Roman" w:hAnsi="Times New Roman" w:eastAsia="宋体" w:cs="Times New Roman"/>
          <w:b/>
          <w:kern w:val="0"/>
          <w:sz w:val="32"/>
          <w:szCs w:val="20"/>
          <w:lang w:val="zh-CN"/>
        </w:rPr>
      </w:pPr>
      <w:bookmarkStart w:id="9" w:name="_Toc8957"/>
      <w:r>
        <w:rPr>
          <w:rFonts w:hint="eastAsia" w:ascii="Times New Roman" w:hAnsi="Times New Roman" w:eastAsia="宋体" w:cs="Times New Roman"/>
          <w:b/>
          <w:kern w:val="0"/>
          <w:sz w:val="32"/>
          <w:szCs w:val="20"/>
        </w:rPr>
        <w:t>四川政务服务网PC端登陆</w:t>
      </w:r>
      <w:bookmarkEnd w:id="9"/>
    </w:p>
    <w:p>
      <w:pPr>
        <w:keepNext/>
        <w:keepLines/>
        <w:numPr>
          <w:ilvl w:val="2"/>
          <w:numId w:val="0"/>
        </w:numPr>
        <w:adjustRightInd w:val="0"/>
        <w:spacing w:before="120" w:after="120" w:line="416" w:lineRule="atLeast"/>
        <w:jc w:val="left"/>
        <w:textAlignment w:val="baseline"/>
        <w:outlineLvl w:val="2"/>
        <w:rPr>
          <w:rFonts w:ascii="黑体" w:hAnsi="Times New Roman" w:eastAsia="宋体" w:cs="Times New Roman"/>
          <w:b/>
          <w:kern w:val="0"/>
          <w:sz w:val="28"/>
          <w:szCs w:val="20"/>
        </w:rPr>
      </w:pPr>
      <w:bookmarkStart w:id="10" w:name="_Toc20852"/>
      <w:r>
        <w:rPr>
          <w:rFonts w:hint="eastAsia" w:ascii="黑体" w:hAnsi="Times New Roman" w:eastAsia="宋体" w:cs="Times New Roman"/>
          <w:b/>
          <w:kern w:val="0"/>
          <w:sz w:val="28"/>
          <w:szCs w:val="20"/>
        </w:rPr>
        <w:t>法人注册</w:t>
      </w:r>
      <w:bookmarkEnd w:id="10"/>
    </w:p>
    <w:p>
      <w:pPr>
        <w:adjustRightInd w:val="0"/>
        <w:spacing w:line="360" w:lineRule="auto"/>
        <w:ind w:firstLine="480" w:firstLineChars="200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四川省政务服务网（http://www.sczwfw.gov.cn/?areaCode=510000000000）点击注册，进入法人注册界面，进行法人注册，如下图：</w:t>
      </w:r>
    </w:p>
    <w:p>
      <w:p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3675" cy="24415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0"/>
        </w:numPr>
        <w:adjustRightInd w:val="0"/>
        <w:spacing w:before="120" w:after="120" w:line="416" w:lineRule="atLeast"/>
        <w:jc w:val="left"/>
        <w:textAlignment w:val="baseline"/>
        <w:outlineLvl w:val="2"/>
        <w:rPr>
          <w:rFonts w:ascii="Times New Roman" w:hAnsi="Times New Roman" w:eastAsia="宋体" w:cs="Times New Roman"/>
          <w:b/>
          <w:kern w:val="0"/>
          <w:sz w:val="28"/>
          <w:szCs w:val="20"/>
        </w:rPr>
      </w:pPr>
      <w:bookmarkStart w:id="11" w:name="_Toc6327"/>
      <w:r>
        <w:rPr>
          <w:rFonts w:hint="eastAsia" w:ascii="Times New Roman" w:hAnsi="Times New Roman" w:eastAsia="宋体" w:cs="Times New Roman"/>
          <w:b/>
          <w:kern w:val="0"/>
          <w:sz w:val="28"/>
          <w:szCs w:val="20"/>
        </w:rPr>
        <w:t>法人登录</w:t>
      </w:r>
      <w:bookmarkEnd w:id="11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法人注册成功后，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四川省政务服务网点击“登陆”按钮，进入法人登陆页面，如下图：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66690" cy="2411095"/>
            <wp:effectExtent l="0" t="0" r="381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登录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后，点击直通部门下的生态环境厅，进入生态环境厅应用界面，如下图：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4310" cy="3315970"/>
            <wp:effectExtent l="0" t="0" r="889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找到四川省生态环境监测业务管理应用图标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点击应用图标展示应用的功能菜单，如下图：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8120" cy="3498850"/>
            <wp:effectExtent l="0" t="0" r="508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4945" cy="3455670"/>
            <wp:effectExtent l="0" t="0" r="825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0"/>
        </w:numPr>
        <w:adjustRightInd w:val="0"/>
        <w:spacing w:before="120" w:after="120" w:line="416" w:lineRule="atLeast"/>
        <w:jc w:val="left"/>
        <w:textAlignment w:val="baseline"/>
        <w:outlineLvl w:val="2"/>
        <w:rPr>
          <w:rFonts w:ascii="黑体" w:hAnsi="Times New Roman" w:eastAsia="宋体" w:cs="Times New Roman"/>
          <w:b/>
          <w:kern w:val="0"/>
          <w:sz w:val="28"/>
          <w:szCs w:val="20"/>
        </w:rPr>
      </w:pPr>
      <w:bookmarkStart w:id="12" w:name="_Toc32741"/>
      <w:r>
        <w:rPr>
          <w:rFonts w:hint="eastAsia" w:ascii="黑体" w:hAnsi="Times New Roman" w:eastAsia="宋体" w:cs="Times New Roman"/>
          <w:b/>
          <w:kern w:val="0"/>
          <w:sz w:val="28"/>
          <w:szCs w:val="20"/>
        </w:rPr>
        <w:t>个人注册</w:t>
      </w:r>
      <w:bookmarkEnd w:id="12"/>
    </w:p>
    <w:p>
      <w:pPr>
        <w:adjustRightInd w:val="0"/>
        <w:spacing w:line="360" w:lineRule="auto"/>
        <w:ind w:firstLine="480" w:firstLineChars="200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用法人账号登陆后在监测人员界面添加个人信息，岗位职能选择“登记人员”，可使用个人账号对机构的项目登记、查询统计界面功能进行操作。</w:t>
      </w:r>
    </w:p>
    <w:p>
      <w:pPr>
        <w:adjustRightInd w:val="0"/>
        <w:spacing w:line="360" w:lineRule="auto"/>
        <w:ind w:firstLine="480" w:firstLineChars="200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drawing>
          <wp:inline distT="0" distB="0" distL="114300" distR="114300">
            <wp:extent cx="5273675" cy="2223135"/>
            <wp:effectExtent l="0" t="0" r="9525" b="12065"/>
            <wp:docPr id="32" name="图片 32" descr="43cbea38485ab2ec6f86b06ba487c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3cbea38485ab2ec6f86b06ba487c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四川省政务服务网（http://www.sczwfw.gov.cn/?areaCode=510000000000）点击注册，进入个人注册界面，进行个人注册，如下图：</w:t>
      </w:r>
    </w:p>
    <w:p>
      <w:p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68595" cy="2339340"/>
            <wp:effectExtent l="0" t="0" r="1905" b="1016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2"/>
          <w:numId w:val="0"/>
        </w:numPr>
        <w:adjustRightInd w:val="0"/>
        <w:spacing w:before="120" w:after="120" w:line="416" w:lineRule="atLeast"/>
        <w:jc w:val="left"/>
        <w:textAlignment w:val="baseline"/>
        <w:outlineLvl w:val="2"/>
        <w:rPr>
          <w:rFonts w:ascii="Times New Roman" w:hAnsi="Times New Roman" w:eastAsia="宋体" w:cs="Times New Roman"/>
          <w:b/>
          <w:kern w:val="0"/>
          <w:sz w:val="28"/>
          <w:szCs w:val="20"/>
        </w:rPr>
      </w:pPr>
      <w:bookmarkStart w:id="13" w:name="_Toc13479"/>
      <w:r>
        <w:rPr>
          <w:rFonts w:hint="eastAsia" w:ascii="Times New Roman" w:hAnsi="Times New Roman" w:eastAsia="宋体" w:cs="Times New Roman"/>
          <w:b/>
          <w:kern w:val="0"/>
          <w:sz w:val="28"/>
          <w:szCs w:val="20"/>
        </w:rPr>
        <w:t>个人登录</w:t>
      </w:r>
      <w:bookmarkEnd w:id="13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个人注册成功后，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四川省政务服务网进行个人登陆，如下图：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0500" cy="2339340"/>
            <wp:effectExtent l="0" t="0" r="0" b="10160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登录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后，点击直通部门下的生态环境厅，进入生态环境厅应用界面，如下图：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4310" cy="3315970"/>
            <wp:effectExtent l="0" t="0" r="8890" b="1143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找到四川省生态环境监测业务管理应用图标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点击应用图标展示应用的功能菜单，如下图：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8120" cy="3498850"/>
            <wp:effectExtent l="0" t="0" r="5080" b="635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4945" cy="3455670"/>
            <wp:effectExtent l="0" t="0" r="8255" b="1143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left="1134"/>
        <w:jc w:val="left"/>
        <w:textAlignment w:val="baseline"/>
        <w:rPr>
          <w:rFonts w:ascii="Times New Roman" w:hAnsi="Times New Roman" w:eastAsia="宋体" w:cs="Times New Roman"/>
          <w:kern w:val="0"/>
          <w:szCs w:val="20"/>
        </w:rPr>
      </w:pPr>
    </w:p>
    <w:p>
      <w:pPr>
        <w:keepNext/>
        <w:keepLines/>
        <w:numPr>
          <w:ilvl w:val="2"/>
          <w:numId w:val="0"/>
        </w:numPr>
        <w:adjustRightInd w:val="0"/>
        <w:spacing w:before="120" w:after="120" w:line="416" w:lineRule="atLeast"/>
        <w:jc w:val="left"/>
        <w:textAlignment w:val="baseline"/>
        <w:outlineLvl w:val="2"/>
        <w:rPr>
          <w:rFonts w:ascii="黑体" w:hAnsi="Times New Roman" w:eastAsia="宋体" w:cs="Times New Roman"/>
          <w:b/>
          <w:kern w:val="0"/>
          <w:sz w:val="28"/>
          <w:szCs w:val="20"/>
        </w:rPr>
      </w:pPr>
      <w:bookmarkStart w:id="14" w:name="_Toc13292"/>
      <w:r>
        <w:rPr>
          <w:rFonts w:hint="eastAsia" w:ascii="黑体" w:hAnsi="Times New Roman" w:eastAsia="宋体" w:cs="Times New Roman"/>
          <w:b/>
          <w:kern w:val="0"/>
          <w:sz w:val="28"/>
          <w:szCs w:val="20"/>
        </w:rPr>
        <w:t>退出登录</w:t>
      </w:r>
      <w:bookmarkEnd w:id="14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用户进入系统后，点击页面右上角的“退出登录”即可退出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系统，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返回登录页面，用户可重新登录。</w:t>
      </w:r>
    </w:p>
    <w:p>
      <w:pPr>
        <w:keepNext/>
        <w:keepLines/>
        <w:numPr>
          <w:ilvl w:val="1"/>
          <w:numId w:val="1"/>
        </w:numPr>
        <w:adjustRightInd w:val="0"/>
        <w:spacing w:before="480" w:after="120" w:line="360" w:lineRule="auto"/>
        <w:jc w:val="left"/>
        <w:textAlignment w:val="baseline"/>
        <w:outlineLvl w:val="1"/>
        <w:rPr>
          <w:rFonts w:ascii="Times New Roman" w:hAnsi="Times New Roman" w:eastAsia="宋体" w:cs="Times New Roman"/>
          <w:b/>
          <w:color w:val="000000"/>
          <w:kern w:val="0"/>
          <w:sz w:val="32"/>
          <w:szCs w:val="20"/>
        </w:rPr>
      </w:pPr>
      <w:bookmarkStart w:id="15" w:name="_Toc2094"/>
      <w:r>
        <w:rPr>
          <w:rFonts w:hint="eastAsia" w:ascii="Times New Roman" w:hAnsi="Times New Roman" w:eastAsia="宋体" w:cs="Times New Roman"/>
          <w:b/>
          <w:color w:val="000000"/>
          <w:kern w:val="0"/>
          <w:sz w:val="32"/>
          <w:szCs w:val="20"/>
        </w:rPr>
        <w:t>天府通办APP登陆</w:t>
      </w:r>
      <w:bookmarkEnd w:id="15"/>
    </w:p>
    <w:p>
      <w:pPr>
        <w:adjustRightInd w:val="0"/>
        <w:spacing w:line="360" w:lineRule="auto"/>
        <w:ind w:firstLine="480" w:firstLineChars="200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监测人员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手机应用程序中搜索天府通办，下载并安装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。如下图所示：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3155950" cy="6558280"/>
            <wp:effectExtent l="0" t="0" r="6350" b="7620"/>
            <wp:docPr id="20" name="图片 20" descr="a16e72210a6e4c0952d15837f34c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16e72210a6e4c0952d15837f34ca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65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-126" w:leftChars="-6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登录</w:t>
      </w:r>
    </w:p>
    <w:p>
      <w:pPr>
        <w:spacing w:line="360" w:lineRule="auto"/>
        <w:ind w:left="294" w:leftChars="1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打开天府通办APP，进入首页，在“我的”界面点击“你好，请登录”后的“&gt;”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</w:rPr>
        <w:t>进入登录界面，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如下图所示：</w:t>
      </w:r>
    </w:p>
    <w:p>
      <w:pPr>
        <w:adjustRightInd w:val="0"/>
        <w:snapToGri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1816100" cy="3771900"/>
            <wp:effectExtent l="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94" w:leftChars="1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选择个人登录，注册账号、或者通过支付宝进行登录，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如下图所示：</w:t>
      </w:r>
    </w:p>
    <w:p>
      <w:pPr>
        <w:adjustRightInd w:val="0"/>
        <w:snapToGri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drawing>
          <wp:inline distT="0" distB="0" distL="114300" distR="114300">
            <wp:extent cx="3239135" cy="6730365"/>
            <wp:effectExtent l="0" t="0" r="12065" b="635"/>
            <wp:docPr id="45" name="图片 45" descr="6c33a58f42645c49c404663520ca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6c33a58f42645c49c404663520cab8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94" w:leftChars="1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登录后，进入天府通办，在首页选择“省本级”，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如下图所示：</w:t>
      </w:r>
    </w:p>
    <w:p>
      <w:pPr>
        <w:adjustRightInd w:val="0"/>
        <w:snapToGri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2197100" cy="4527550"/>
            <wp:effectExtent l="0" t="0" r="0" b="635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94" w:leftChars="1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在首页的“部门服务”模块选择“更多服务专区”，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如下图所示：</w:t>
      </w:r>
    </w:p>
    <w:p>
      <w:pPr>
        <w:adjustRightInd w:val="0"/>
        <w:snapToGri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2235200" cy="4502150"/>
            <wp:effectExtent l="0" t="0" r="0" b="635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45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94" w:leftChars="1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选择“生态环境”，进入生态环境模块，找到“生态环境监测业务”应用，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如下图所示：</w:t>
      </w:r>
    </w:p>
    <w:p>
      <w:pPr>
        <w:adjustRightInd w:val="0"/>
        <w:snapToGri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1866900" cy="3822700"/>
            <wp:effectExtent l="0" t="0" r="0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94" w:leftChars="1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点击“生态环境监测业务”应用，进入应用首页，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如下图所示：</w:t>
      </w:r>
    </w:p>
    <w:p>
      <w:pPr>
        <w:spacing w:line="360" w:lineRule="auto"/>
        <w:ind w:left="294" w:leftChars="140"/>
        <w:jc w:val="center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Cs w:val="20"/>
        </w:rPr>
        <w:drawing>
          <wp:inline distT="0" distB="0" distL="114300" distR="114300">
            <wp:extent cx="1860550" cy="3740150"/>
            <wp:effectExtent l="0" t="0" r="6350" b="635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  <w:sectPr>
          <w:headerReference r:id="rId6" w:type="default"/>
          <w:footerReference r:id="rId7" w:type="default"/>
          <w:pgSz w:w="11907" w:h="16840"/>
          <w:pgMar w:top="2098" w:right="1474" w:bottom="1247" w:left="1588" w:header="851" w:footer="992" w:gutter="0"/>
          <w:cols w:space="720" w:num="1"/>
          <w:docGrid w:linePitch="312" w:charSpace="0"/>
        </w:sectPr>
      </w:pPr>
    </w:p>
    <w:p>
      <w:pPr>
        <w:adjustRightInd w:val="0"/>
        <w:spacing w:line="360" w:lineRule="auto"/>
        <w:ind w:left="1134"/>
        <w:jc w:val="left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265930" cy="8863330"/>
            <wp:effectExtent l="0" t="0" r="1270" b="1270"/>
            <wp:docPr id="50" name="图片 50" descr="c320676c6264b2e66096290ea77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320676c6264b2e66096290ea7705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1"/>
        </w:numPr>
        <w:adjustRightInd w:val="0"/>
        <w:spacing w:before="480" w:after="120" w:line="360" w:lineRule="auto"/>
        <w:jc w:val="left"/>
        <w:textAlignment w:val="baseline"/>
        <w:outlineLvl w:val="1"/>
        <w:rPr>
          <w:rFonts w:ascii="Times New Roman" w:hAnsi="Times New Roman" w:eastAsia="宋体" w:cs="Times New Roman"/>
          <w:b/>
          <w:kern w:val="0"/>
          <w:sz w:val="32"/>
          <w:szCs w:val="20"/>
          <w:lang w:val="zh-CN"/>
        </w:rPr>
      </w:pPr>
      <w:bookmarkStart w:id="16" w:name="_Toc490124341"/>
      <w:bookmarkStart w:id="17" w:name="_Toc21802"/>
      <w:bookmarkStart w:id="18" w:name="_Toc489869909"/>
      <w:bookmarkStart w:id="19" w:name="_Toc178677273"/>
      <w:r>
        <w:rPr>
          <w:rFonts w:hint="eastAsia" w:ascii="Times New Roman" w:hAnsi="Times New Roman" w:eastAsia="宋体" w:cs="Times New Roman"/>
          <w:b/>
          <w:color w:val="000000"/>
          <w:kern w:val="0"/>
          <w:sz w:val="32"/>
          <w:szCs w:val="20"/>
          <w:lang w:val="zh-CN"/>
        </w:rPr>
        <w:t>系统构成及功能概述</w:t>
      </w:r>
      <w:bookmarkEnd w:id="16"/>
      <w:bookmarkEnd w:id="17"/>
      <w:bookmarkEnd w:id="18"/>
    </w:p>
    <w:bookmarkEnd w:id="19"/>
    <w:p>
      <w:pPr>
        <w:numPr>
          <w:ilvl w:val="0"/>
          <w:numId w:val="3"/>
        </w:num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机构信息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机构首次注册，需完善机构信息，待监管部门审核通过后才可进行项目登记操作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。</w:t>
      </w:r>
    </w:p>
    <w:p>
      <w:pPr>
        <w:numPr>
          <w:ilvl w:val="0"/>
          <w:numId w:val="3"/>
        </w:num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监测人员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机构首次注册，需完善监测人员信息，待监管部门审核通过后才可进行项目登记操作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。</w:t>
      </w:r>
    </w:p>
    <w:p>
      <w:pPr>
        <w:numPr>
          <w:ilvl w:val="0"/>
          <w:numId w:val="3"/>
        </w:num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项目登记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项目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登记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包括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项目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信息、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监测信息、委托企业信息、合同信息、培训信息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以及附件资料的上传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只有通过此处登记后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才能上传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监测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信息，对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项目进行办理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，并随时查看登记项目的最新信息。</w:t>
      </w:r>
    </w:p>
    <w:p>
      <w:pPr>
        <w:numPr>
          <w:ilvl w:val="0"/>
          <w:numId w:val="3"/>
        </w:num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查询</w:t>
      </w: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统计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登记成功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的项目，包括已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完成、进行中和未完成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的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项目都可以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通过查询条件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搜索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出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。</w:t>
      </w:r>
    </w:p>
    <w:p>
      <w:pPr>
        <w:numPr>
          <w:ilvl w:val="0"/>
          <w:numId w:val="3"/>
        </w:num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办事指南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展示监测业务办理的流程。</w:t>
      </w:r>
    </w:p>
    <w:p>
      <w:pPr>
        <w:numPr>
          <w:ilvl w:val="0"/>
          <w:numId w:val="3"/>
        </w:num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违规待整改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对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机构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待整改内容的展示，机构可进行违规问题的处理。</w:t>
      </w:r>
    </w:p>
    <w:p>
      <w:pPr>
        <w:numPr>
          <w:ilvl w:val="0"/>
          <w:numId w:val="3"/>
        </w:num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历史整改记录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对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机构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违规记录整改情况的查看。</w:t>
      </w:r>
    </w:p>
    <w:p>
      <w:pPr>
        <w:numPr>
          <w:ilvl w:val="0"/>
          <w:numId w:val="3"/>
        </w:num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监测业务公开端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企业和公众可查看监测机构的详细信息。</w:t>
      </w:r>
    </w:p>
    <w:p>
      <w:pPr>
        <w:numPr>
          <w:ilvl w:val="0"/>
          <w:numId w:val="3"/>
        </w:num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监测业务APP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项目登记完成后，监测人员通过天府通办app上的生态环境监测业务应用进行现场监测记录的上传。</w:t>
      </w:r>
    </w:p>
    <w:p>
      <w:pPr>
        <w:keepNext/>
        <w:keepLines/>
        <w:adjustRightInd w:val="0"/>
        <w:spacing w:before="240" w:line="360" w:lineRule="auto"/>
        <w:jc w:val="left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20" w:name="_Toc4383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机构信息</w:t>
      </w:r>
      <w:bookmarkEnd w:id="20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登录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用户所在的机构信息，不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同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的用户登录机构信息不一样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修改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可以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对机构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信息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进行修改，点击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drawing>
          <wp:inline distT="0" distB="0" distL="0" distR="0">
            <wp:extent cx="208915" cy="294640"/>
            <wp:effectExtent l="0" t="0" r="6985" b="1016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图标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，进入修改页面，如下图：</w:t>
      </w:r>
    </w:p>
    <w:p>
      <w:p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kern w:val="0"/>
          <w:szCs w:val="20"/>
        </w:rPr>
      </w:pP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69230" cy="2545715"/>
            <wp:effectExtent l="0" t="0" r="1270" b="6985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color w:val="FF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color w:val="FF0000"/>
          <w:kern w:val="0"/>
          <w:sz w:val="24"/>
          <w:szCs w:val="24"/>
        </w:rPr>
        <w:t xml:space="preserve">行业类别选择危险废物鉴别机构，如涉及到其他业务，可勾选其他行业  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所有打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*号的字段为必填项，否侧会保存失败</w:t>
      </w:r>
    </w:p>
    <w:p>
      <w:pPr>
        <w:numPr>
          <w:ilvl w:val="0"/>
          <w:numId w:val="4"/>
        </w:numPr>
        <w:adjustRightInd w:val="0"/>
        <w:spacing w:line="360" w:lineRule="auto"/>
        <w:ind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附件</w:t>
      </w: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上传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在资质证明模块，点击“点击选择文件”弹出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附件上传框，如下图：</w:t>
      </w:r>
    </w:p>
    <w:p>
      <w:pPr>
        <w:adjustRightInd w:val="0"/>
        <w:spacing w:line="360" w:lineRule="auto"/>
        <w:ind w:right="1816" w:rightChars="865" w:firstLine="140" w:firstLineChars="67"/>
        <w:jc w:val="left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8120" cy="1979295"/>
            <wp:effectExtent l="0" t="0" r="5080" b="1905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可以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选择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“资质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证明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”、“营业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执照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”“授权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签字证明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”等分类，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按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附件要求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的大小，数量以及支持的附件类型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上传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，否则将上传失败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点击上传完成，即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上传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成功，可以对附件进行下载，改名、和删除操作。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所有附件均为必传项，上传后才能提交机构信息，其中“全国危险鉴别平台注册成功页面信息”为企业在全国危险鉴别平台注册成功的界面截图。</w:t>
      </w:r>
    </w:p>
    <w:p>
      <w:pPr>
        <w:pStyle w:val="2"/>
      </w:pP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保存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修改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完成后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保存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将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展示修改后的机构信息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，修改后的信息需监管部门审核。</w:t>
      </w:r>
    </w:p>
    <w:p>
      <w:pPr>
        <w:keepNext/>
        <w:keepLines/>
        <w:adjustRightInd w:val="0"/>
        <w:spacing w:before="240" w:line="360" w:lineRule="auto"/>
        <w:jc w:val="left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21" w:name="_Toc13301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监测人员</w:t>
      </w:r>
      <w:bookmarkEnd w:id="21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添加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人员信息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后，在项目登记时关联人员信息，监测人员可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在移动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APP上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进行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登陆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，可以上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项目的监测信息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，监测人员的身份证号必须填写正确，APP上通过实名认证进行登录，才能找到对应分配的项目。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7485" cy="2364105"/>
            <wp:effectExtent l="0" t="0" r="571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添加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添加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弹出人员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信息添加框，如下图：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451350" cy="5505450"/>
            <wp:effectExtent l="0" t="0" r="635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 xml:space="preserve">          打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*号的字段为必填，附件可以选择性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上传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删除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0" distR="0">
            <wp:extent cx="323215" cy="227965"/>
            <wp:effectExtent l="0" t="0" r="6985" b="63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图标，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删除上传的附件，并重新上传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保存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保存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人员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添加成功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并展示在人员信息列表中，如下图：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7485" cy="2364105"/>
            <wp:effectExtent l="0" t="0" r="571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查询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在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下拉框中选择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职称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性别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、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输入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姓名，点击“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查询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搜索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出符合条件的人员信息，如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下图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4945" cy="2033905"/>
            <wp:effectExtent l="0" t="0" r="8255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“职称”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添加时，输入的职称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名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在下拉列表中都会显示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，“姓名”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支持模糊查询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导出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导出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导出当前页查询出的所有人员信息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查看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添加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人员信息成功后，点击操作栏中的</w:t>
      </w: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0" distR="0">
            <wp:extent cx="304165" cy="208915"/>
            <wp:effectExtent l="0" t="0" r="635" b="698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图标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，弹出框显示添加的人员信息详情，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如下图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953000" cy="4756150"/>
            <wp:effectExtent l="0" t="0" r="0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所有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字段信息显示正确，无遗漏，附件可以下载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但是不能做任何修改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编辑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添加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人员信息成功后，点击操作栏中的</w:t>
      </w: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0" distR="0">
            <wp:extent cx="304165" cy="237490"/>
            <wp:effectExtent l="0" t="0" r="635" b="381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图标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进入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编辑页面，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对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人员信息做修改，保存成功后，展示修改后的人员信息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账号</w:t>
      </w: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分配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添加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人员信息成功后，点击操作栏中的</w:t>
      </w: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0" distR="0">
            <wp:extent cx="294640" cy="218440"/>
            <wp:effectExtent l="0" t="0" r="10160" b="1016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图标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弹出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分配账号框，如下图：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603750" cy="3790950"/>
            <wp:effectExtent l="0" t="0" r="6350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打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*号的为必填，手机号必须有效，且验证码正确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7485" cy="2364105"/>
            <wp:effectExtent l="0" t="0" r="5715" b="1079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账号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分配成功后，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监测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账号显示“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有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不能再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进行重复分配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，分配账号后才能在移动端APP进行操作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删除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添加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人员信息成功后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点击操作栏中的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drawing>
          <wp:inline distT="0" distB="0" distL="0" distR="0">
            <wp:extent cx="294640" cy="227965"/>
            <wp:effectExtent l="0" t="0" r="10160" b="63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图标，弹出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提示框，点击“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确定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添加的人员信息被删除，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不会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显示在人员信息列表中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69865" cy="1932305"/>
            <wp:effectExtent l="0" t="0" r="635" b="1079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adjustRightInd w:val="0"/>
        <w:spacing w:before="240" w:line="360" w:lineRule="auto"/>
        <w:ind w:right="798" w:rightChars="380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22" w:name="_Toc18693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项目</w:t>
      </w:r>
      <w:r>
        <w:rPr>
          <w:rFonts w:ascii="Times New Roman" w:hAnsi="Times New Roman" w:eastAsia="宋体" w:cs="Times New Roman"/>
          <w:b/>
          <w:kern w:val="44"/>
          <w:sz w:val="44"/>
          <w:szCs w:val="20"/>
        </w:rPr>
        <w:t>登记</w:t>
      </w:r>
      <w:bookmarkEnd w:id="22"/>
    </w:p>
    <w:p>
      <w:pPr>
        <w:adjustRightInd w:val="0"/>
        <w:spacing w:line="360" w:lineRule="auto"/>
        <w:ind w:firstLine="105" w:firstLineChars="50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0500" cy="2456180"/>
            <wp:effectExtent l="0" t="0" r="0" b="762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20" w:firstLineChars="200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t>所有</w:t>
      </w:r>
      <w:r>
        <w:rPr>
          <w:rFonts w:ascii="Times New Roman" w:hAnsi="Times New Roman" w:eastAsia="宋体" w:cs="Times New Roman"/>
          <w:kern w:val="0"/>
          <w:szCs w:val="20"/>
        </w:rPr>
        <w:t>的打*号输入框为必填项，</w:t>
      </w:r>
      <w:r>
        <w:rPr>
          <w:rFonts w:hint="eastAsia" w:ascii="Times New Roman" w:hAnsi="Times New Roman" w:eastAsia="宋体" w:cs="Times New Roman"/>
          <w:kern w:val="0"/>
          <w:szCs w:val="20"/>
        </w:rPr>
        <w:t>电话</w:t>
      </w:r>
      <w:r>
        <w:rPr>
          <w:rFonts w:ascii="Times New Roman" w:hAnsi="Times New Roman" w:eastAsia="宋体" w:cs="Times New Roman"/>
          <w:kern w:val="0"/>
          <w:szCs w:val="20"/>
        </w:rPr>
        <w:t>和</w:t>
      </w:r>
      <w:r>
        <w:rPr>
          <w:rFonts w:hint="eastAsia" w:ascii="Times New Roman" w:hAnsi="Times New Roman" w:eastAsia="宋体" w:cs="Times New Roman"/>
          <w:kern w:val="0"/>
          <w:szCs w:val="20"/>
        </w:rPr>
        <w:t>邮箱</w:t>
      </w:r>
      <w:r>
        <w:rPr>
          <w:rFonts w:ascii="Times New Roman" w:hAnsi="Times New Roman" w:eastAsia="宋体" w:cs="Times New Roman"/>
          <w:kern w:val="0"/>
          <w:szCs w:val="20"/>
        </w:rPr>
        <w:t>都有格式验证，如</w:t>
      </w:r>
      <w:r>
        <w:rPr>
          <w:rFonts w:hint="eastAsia" w:ascii="Times New Roman" w:hAnsi="Times New Roman" w:eastAsia="宋体" w:cs="Times New Roman"/>
          <w:kern w:val="0"/>
          <w:szCs w:val="20"/>
        </w:rPr>
        <w:t>不满足</w:t>
      </w:r>
      <w:r>
        <w:rPr>
          <w:rFonts w:ascii="Times New Roman" w:hAnsi="Times New Roman" w:eastAsia="宋体" w:cs="Times New Roman"/>
          <w:kern w:val="0"/>
          <w:szCs w:val="20"/>
        </w:rPr>
        <w:t>要求将会保存失败</w:t>
      </w:r>
    </w:p>
    <w:p>
      <w:pPr>
        <w:adjustRightInd w:val="0"/>
        <w:spacing w:line="360" w:lineRule="auto"/>
        <w:ind w:firstLine="420" w:firstLineChars="200"/>
        <w:textAlignment w:val="baseline"/>
        <w:rPr>
          <w:rFonts w:ascii="Times New Roman" w:hAnsi="Times New Roman" w:eastAsia="宋体" w:cs="Times New Roman"/>
          <w:color w:val="FF0000"/>
          <w:kern w:val="0"/>
          <w:szCs w:val="20"/>
        </w:rPr>
      </w:pPr>
      <w:r>
        <w:rPr>
          <w:rFonts w:hint="eastAsia" w:ascii="Times New Roman" w:hAnsi="Times New Roman" w:eastAsia="宋体" w:cs="Times New Roman"/>
          <w:color w:val="FF0000"/>
          <w:kern w:val="0"/>
          <w:szCs w:val="20"/>
        </w:rPr>
        <w:t>危险废物鉴别项目，监测类型中选择危险废物鉴别，项目监测性质选择危险废物鉴别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监测信息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点击添加监测信息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弹出监测信息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框，如下图：</w:t>
      </w:r>
    </w:p>
    <w:p>
      <w:pPr>
        <w:adjustRightInd w:val="0"/>
        <w:spacing w:line="360" w:lineRule="auto"/>
        <w:ind w:firstLine="42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7485" cy="2883535"/>
            <wp:effectExtent l="0" t="0" r="5715" b="1206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委托信息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选择委托类别，填写企业的委托信息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，如下图：</w:t>
      </w:r>
    </w:p>
    <w:p>
      <w:pPr>
        <w:adjustRightInd w:val="0"/>
        <w:spacing w:line="360" w:lineRule="auto"/>
        <w:ind w:firstLine="420" w:firstLineChars="200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3675" cy="2068830"/>
            <wp:effectExtent l="0" t="0" r="9525" b="1270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20" w:firstLineChars="200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t>是否分包选择“是”，需填写分包单位的名称及上传分包单位的资质信息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附件资料</w:t>
      </w: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上传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点击选择文件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弹出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附件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上传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框，如下图：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432300" cy="3600450"/>
            <wp:effectExtent l="0" t="0" r="0" b="635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选择附件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类型，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按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附件要求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的大小，数量以及支持的附件类型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上传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，否则将上传失败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，合同附件为必传项。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下载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附件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上传成功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后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，点击</w:t>
      </w: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234950" cy="196850"/>
            <wp:effectExtent l="0" t="0" r="6350" b="63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图标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可以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对上传的附件进行下载，以确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认上传的附件是否正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确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删除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附件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上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传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成功后，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177800" cy="279400"/>
            <wp:effectExtent l="0" t="0" r="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图标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，进行删除附件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保存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输入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所有的必填字段以及上传所需要的附件后，点击保存，登记的项目保存成功，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可以进行“办理”如下图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7485" cy="2552065"/>
            <wp:effectExtent l="0" t="0" r="5715" b="63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刚登记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的项目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，展示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在“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查询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统计”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菜单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栏下，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监测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状态显示未完成，操作栏中有“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办理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删除”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两个按钮。</w:t>
      </w:r>
    </w:p>
    <w:p>
      <w:pPr>
        <w:keepNext/>
        <w:keepLines/>
        <w:adjustRightInd w:val="0"/>
        <w:spacing w:before="240" w:line="360" w:lineRule="auto"/>
        <w:ind w:right="798" w:rightChars="380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23" w:name="_Toc19470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查询</w:t>
      </w:r>
      <w:r>
        <w:rPr>
          <w:rFonts w:ascii="Times New Roman" w:hAnsi="Times New Roman" w:eastAsia="宋体" w:cs="Times New Roman"/>
          <w:b/>
          <w:kern w:val="44"/>
          <w:sz w:val="44"/>
          <w:szCs w:val="20"/>
        </w:rPr>
        <w:t>统计</w:t>
      </w:r>
      <w:bookmarkEnd w:id="23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 xml:space="preserve"> 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根据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项目名称、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项目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编号、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项目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状态以及项目区域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对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所有已登记的项目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进行查询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，查询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出未完成的项目，可以进行办理，对于审批退回的项目可以再提交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。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查询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输入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项目名称、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项目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编号、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在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下拉框中选择项目区域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，以及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项目状态，点击查询，如下图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5580" cy="2477135"/>
            <wp:effectExtent l="0" t="0" r="7620" b="1206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2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项目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名称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支持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模糊查询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导出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查询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出的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所有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登记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项目，可以通过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Excel导出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编辑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Cs w:val="20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监测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状态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未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完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成的项目，点击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操作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栏中的“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编辑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进入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办理页面，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可以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对该项目的监测信息和基本信息进行查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看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，如下图：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2405" cy="2178685"/>
            <wp:effectExtent l="0" t="0" r="10795" b="571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监测信息展示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，监测信息的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内容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是通过移动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APP进行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添加，监测报告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中的危废鉴别方案、危废鉴别报告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为必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传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3040" cy="2666365"/>
            <wp:effectExtent l="0" t="0" r="10160" b="63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基本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信息为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用户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项目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登记时填写的所有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信息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，包括：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项目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信息、监测机构信息、企业信息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、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合同信息、培训信息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以及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附件资料。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提交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点击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提交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按钮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登记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的项目提交成功，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监测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状态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为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已完成，同时只能进行“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查看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，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退回再</w:t>
      </w: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提交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提交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过后的项目，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监管部门会进行审核</w:t>
      </w:r>
      <w:r>
        <w:rPr>
          <w:rFonts w:ascii="Times New Roman" w:hAnsi="Times New Roman" w:eastAsia="宋体" w:cs="宋体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如不通过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，监测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状态为退回，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退回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的项目可以重新办理并提交，同时可以查看退回原因，如下图：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  <w:lang w:val="zh-CN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4945" cy="2560955"/>
            <wp:effectExtent l="0" t="0" r="8255" b="444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监测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报告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可以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删除后重新上传，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并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再次提交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删除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登记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的项目可以删除，但是只能删除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监测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状态为未完成或退回的项目，对于已完成的项目只能进行查看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如下图：</w:t>
      </w:r>
    </w:p>
    <w:p>
      <w:pPr>
        <w:adjustRightInd w:val="0"/>
        <w:spacing w:line="360" w:lineRule="auto"/>
        <w:ind w:left="142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4945" cy="2333625"/>
            <wp:effectExtent l="0" t="0" r="8255" b="317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right="1816" w:rightChars="865" w:firstLine="140" w:firstLineChars="67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</w:p>
    <w:p>
      <w:pPr>
        <w:adjustRightInd w:val="0"/>
        <w:spacing w:line="360" w:lineRule="auto"/>
        <w:ind w:right="1816" w:rightChars="865" w:firstLine="140" w:firstLineChars="67"/>
        <w:jc w:val="left"/>
        <w:textAlignment w:val="baseline"/>
        <w:rPr>
          <w:rFonts w:ascii="Times New Roman" w:hAnsi="Times New Roman" w:eastAsia="宋体" w:cs="Times New Roman"/>
          <w:kern w:val="0"/>
          <w:szCs w:val="20"/>
        </w:rPr>
      </w:pPr>
    </w:p>
    <w:p>
      <w:pPr>
        <w:keepNext/>
        <w:keepLines/>
        <w:adjustRightInd w:val="0"/>
        <w:spacing w:before="240" w:line="360" w:lineRule="auto"/>
        <w:jc w:val="left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24" w:name="_Toc2933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办事指南</w:t>
      </w:r>
      <w:bookmarkEnd w:id="24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展示生态环境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监测机构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服务管理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平台流程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如下图：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6215" cy="2794000"/>
            <wp:effectExtent l="0" t="0" r="6985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adjustRightInd w:val="0"/>
        <w:spacing w:before="240" w:line="360" w:lineRule="auto"/>
        <w:ind w:right="798" w:rightChars="380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25" w:name="_Toc1580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违规待整改</w:t>
      </w:r>
      <w:bookmarkEnd w:id="25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根据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项目名称、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整改状态、整改期限对违规项目进行查询及整改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。</w:t>
      </w:r>
    </w:p>
    <w:p>
      <w:pPr>
        <w:numPr>
          <w:ilvl w:val="0"/>
          <w:numId w:val="4"/>
        </w:numPr>
        <w:adjustRightInd w:val="0"/>
        <w:spacing w:line="360" w:lineRule="auto"/>
        <w:ind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查询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输入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违规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项目名称、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整改状态、整改期限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，点击查询，如下图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69230" cy="2011680"/>
            <wp:effectExtent l="0" t="0" r="1270" b="7620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2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项目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名称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支持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模糊查询</w:t>
      </w:r>
    </w:p>
    <w:p>
      <w:pPr>
        <w:numPr>
          <w:ilvl w:val="0"/>
          <w:numId w:val="4"/>
        </w:numPr>
        <w:adjustRightInd w:val="0"/>
        <w:spacing w:line="360" w:lineRule="auto"/>
        <w:ind w:left="0"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整改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drawing>
          <wp:inline distT="0" distB="0" distL="114300" distR="114300">
            <wp:extent cx="349250" cy="273050"/>
            <wp:effectExtent l="0" t="0" r="6350" b="635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整改图标，对违规项目进行整改。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1770" cy="2472690"/>
            <wp:effectExtent l="0" t="0" r="11430" b="381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adjustRightInd w:val="0"/>
        <w:spacing w:before="240" w:line="360" w:lineRule="auto"/>
        <w:ind w:right="798" w:rightChars="380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26" w:name="_Toc29688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历史整改记录</w:t>
      </w:r>
      <w:bookmarkEnd w:id="26"/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根据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项目名称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、整改期限对违规项目整改记录进行查询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。</w:t>
      </w:r>
    </w:p>
    <w:p>
      <w:pPr>
        <w:numPr>
          <w:ilvl w:val="0"/>
          <w:numId w:val="4"/>
        </w:numPr>
        <w:adjustRightInd w:val="0"/>
        <w:spacing w:line="360" w:lineRule="auto"/>
        <w:ind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查询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输入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违规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项目名称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、整改期限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，点击查询，如下图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6850" cy="2477770"/>
            <wp:effectExtent l="0" t="0" r="6350" b="11430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ind w:firstLine="482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项目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名称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支持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模糊查询</w:t>
      </w:r>
    </w:p>
    <w:p>
      <w:pPr>
        <w:numPr>
          <w:ilvl w:val="0"/>
          <w:numId w:val="4"/>
        </w:numPr>
        <w:adjustRightInd w:val="0"/>
        <w:spacing w:line="360" w:lineRule="auto"/>
        <w:ind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查看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drawing>
          <wp:inline distT="0" distB="0" distL="114300" distR="114300">
            <wp:extent cx="349250" cy="273050"/>
            <wp:effectExtent l="0" t="0" r="6350" b="6350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图标，对违规项目整改情况进行查看。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5580" cy="2795270"/>
            <wp:effectExtent l="0" t="0" r="7620" b="11430"/>
            <wp:docPr id="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adjustRightInd w:val="0"/>
        <w:spacing w:before="240" w:line="360" w:lineRule="auto"/>
        <w:ind w:right="798" w:rightChars="380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27" w:name="_Toc14001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监测业务公开端</w:t>
      </w:r>
      <w:bookmarkEnd w:id="27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 xml:space="preserve"> 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根据监测报告编号对监测报告进行查询，通过监测机构名称对机构信息进行模糊查询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。</w:t>
      </w:r>
    </w:p>
    <w:p>
      <w:pPr>
        <w:numPr>
          <w:ilvl w:val="0"/>
          <w:numId w:val="4"/>
        </w:numPr>
        <w:adjustRightInd w:val="0"/>
        <w:spacing w:line="360" w:lineRule="auto"/>
        <w:ind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监测报告查询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输入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监测报告，点击查询，点击预览，输入短信验证码，对监测报告进行查看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，如下图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6215" cy="2298065"/>
            <wp:effectExtent l="0" t="0" r="6985" b="635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adjustRightInd w:val="0"/>
        <w:spacing w:line="360" w:lineRule="auto"/>
        <w:ind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监测机构查询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输入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监测机构名称，点击查询</w:t>
      </w:r>
      <w:r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  <w:t>，如下图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zh-CN"/>
        </w:rPr>
        <w:t>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3040" cy="2160905"/>
            <wp:effectExtent l="0" t="0" r="10160" b="10795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</w:p>
    <w:p>
      <w:pPr>
        <w:numPr>
          <w:ilvl w:val="0"/>
          <w:numId w:val="4"/>
        </w:numPr>
        <w:adjustRightInd w:val="0"/>
        <w:spacing w:line="360" w:lineRule="auto"/>
        <w:ind w:firstLine="482" w:firstLineChars="200"/>
        <w:jc w:val="left"/>
        <w:textAlignment w:val="baseline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4"/>
          <w:szCs w:val="24"/>
        </w:rPr>
        <w:t>查看</w:t>
      </w:r>
    </w:p>
    <w:p>
      <w:pPr>
        <w:adjustRightInd w:val="0"/>
        <w:spacing w:line="360" w:lineRule="auto"/>
        <w:ind w:firstLine="480" w:firstLineChars="200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点击查看，可查看机构的详细信息，如下图：</w:t>
      </w:r>
    </w:p>
    <w:p>
      <w:pPr>
        <w:adjustRightInd w:val="0"/>
        <w:spacing w:line="360" w:lineRule="auto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5275580" cy="2790190"/>
            <wp:effectExtent l="0" t="0" r="7620" b="3810"/>
            <wp:docPr id="4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adjustRightInd w:val="0"/>
        <w:spacing w:before="240" w:line="360" w:lineRule="auto"/>
        <w:ind w:right="798" w:rightChars="380"/>
        <w:textAlignment w:val="baseline"/>
        <w:outlineLvl w:val="0"/>
        <w:rPr>
          <w:rFonts w:ascii="Times New Roman" w:hAnsi="Times New Roman" w:eastAsia="宋体" w:cs="Times New Roman"/>
          <w:b/>
          <w:kern w:val="44"/>
          <w:sz w:val="44"/>
          <w:szCs w:val="20"/>
        </w:rPr>
      </w:pPr>
      <w:bookmarkStart w:id="28" w:name="_Toc6234"/>
      <w:r>
        <w:rPr>
          <w:rFonts w:hint="eastAsia" w:ascii="Times New Roman" w:hAnsi="Times New Roman" w:eastAsia="宋体" w:cs="Times New Roman"/>
          <w:b/>
          <w:kern w:val="44"/>
          <w:sz w:val="44"/>
          <w:szCs w:val="20"/>
        </w:rPr>
        <w:t>天府通办APP</w:t>
      </w:r>
      <w:bookmarkEnd w:id="28"/>
    </w:p>
    <w:p>
      <w:pPr>
        <w:adjustRightInd w:val="0"/>
        <w:spacing w:line="360" w:lineRule="auto"/>
        <w:ind w:firstLine="480" w:firstLineChars="200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0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项目登记完成后，监测人员通过手机上的天府通办APP应用进行现场监测数据的上报。</w:t>
      </w:r>
    </w:p>
    <w:p>
      <w:pPr>
        <w:keepNext/>
        <w:keepLines/>
        <w:numPr>
          <w:ilvl w:val="1"/>
          <w:numId w:val="1"/>
        </w:numPr>
        <w:adjustRightInd w:val="0"/>
        <w:spacing w:before="480" w:after="120" w:line="360" w:lineRule="auto"/>
        <w:jc w:val="left"/>
        <w:textAlignment w:val="baseline"/>
        <w:outlineLvl w:val="1"/>
        <w:rPr>
          <w:rFonts w:ascii="Times New Roman" w:hAnsi="Times New Roman" w:eastAsia="宋体" w:cs="Times New Roman"/>
          <w:b/>
          <w:color w:val="000000"/>
          <w:kern w:val="0"/>
          <w:sz w:val="32"/>
          <w:szCs w:val="20"/>
          <w:lang w:val="zh-CN"/>
        </w:rPr>
      </w:pPr>
      <w:bookmarkStart w:id="29" w:name="_Toc24222"/>
      <w:bookmarkStart w:id="30" w:name="_Toc19276"/>
      <w:r>
        <w:rPr>
          <w:rFonts w:hint="eastAsia" w:ascii="Times New Roman" w:hAnsi="Times New Roman" w:eastAsia="宋体" w:cs="Times New Roman"/>
          <w:b/>
          <w:color w:val="000000"/>
          <w:kern w:val="0"/>
          <w:sz w:val="32"/>
          <w:szCs w:val="20"/>
          <w:lang w:val="zh-CN"/>
        </w:rPr>
        <w:t>首页</w:t>
      </w:r>
      <w:bookmarkEnd w:id="29"/>
      <w:bookmarkEnd w:id="30"/>
    </w:p>
    <w:p>
      <w:pPr>
        <w:adjustRightInd w:val="0"/>
        <w:spacing w:line="360" w:lineRule="auto"/>
        <w:ind w:firstLine="480" w:firstLineChars="200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0"/>
        </w:rPr>
      </w:pPr>
      <w:r>
        <w:rPr>
          <w:rFonts w:ascii="Times New Roman" w:hAnsi="Times New Roman" w:eastAsia="宋体" w:cs="Times New Roman"/>
          <w:kern w:val="0"/>
          <w:sz w:val="24"/>
          <w:szCs w:val="20"/>
        </w:rPr>
        <w:t>用户</w:t>
      </w:r>
      <w:r>
        <w:rPr>
          <w:rFonts w:hint="eastAsia" w:ascii="Times New Roman" w:hAnsi="Times New Roman" w:eastAsia="宋体" w:cs="Times New Roman"/>
          <w:kern w:val="0"/>
          <w:sz w:val="24"/>
          <w:szCs w:val="20"/>
        </w:rPr>
        <w:t>进入生态环境监测业务应用后，</w:t>
      </w:r>
      <w:r>
        <w:rPr>
          <w:rFonts w:ascii="Times New Roman" w:hAnsi="Times New Roman" w:eastAsia="宋体" w:cs="Times New Roman"/>
          <w:kern w:val="0"/>
          <w:sz w:val="24"/>
          <w:szCs w:val="20"/>
        </w:rPr>
        <w:t>默认页面为首页，展示了用户所在机构名称、当前定位信息、在行和已完成项目数量、消息通知信息，如下图所示：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3303905" cy="6865620"/>
            <wp:effectExtent l="0" t="0" r="10795" b="5080"/>
            <wp:docPr id="54" name="图片 54" descr="c320676c6264b2e66096290ea77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320676c6264b2e66096290ea77050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554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br w:type="page"/>
      </w:r>
    </w:p>
    <w:p>
      <w:pPr>
        <w:keepNext/>
        <w:keepLines/>
        <w:numPr>
          <w:ilvl w:val="1"/>
          <w:numId w:val="1"/>
        </w:numPr>
        <w:adjustRightInd w:val="0"/>
        <w:spacing w:before="480" w:after="120" w:line="360" w:lineRule="auto"/>
        <w:jc w:val="left"/>
        <w:textAlignment w:val="baseline"/>
        <w:outlineLvl w:val="1"/>
        <w:rPr>
          <w:rFonts w:ascii="Times New Roman" w:hAnsi="Times New Roman" w:eastAsia="宋体" w:cs="Times New Roman"/>
          <w:b/>
          <w:color w:val="000000"/>
          <w:kern w:val="0"/>
          <w:sz w:val="32"/>
          <w:szCs w:val="20"/>
          <w:lang w:val="zh-CN"/>
        </w:rPr>
      </w:pPr>
      <w:bookmarkStart w:id="31" w:name="_Toc18097"/>
      <w:bookmarkStart w:id="32" w:name="_Toc27234"/>
      <w:r>
        <w:rPr>
          <w:rFonts w:hint="eastAsia" w:ascii="Times New Roman" w:hAnsi="Times New Roman" w:eastAsia="宋体" w:cs="Times New Roman"/>
          <w:b/>
          <w:color w:val="000000"/>
          <w:kern w:val="0"/>
          <w:sz w:val="32"/>
          <w:szCs w:val="20"/>
          <w:lang w:val="zh-CN"/>
        </w:rPr>
        <w:t>在行项目</w:t>
      </w:r>
      <w:bookmarkEnd w:id="31"/>
      <w:bookmarkEnd w:id="32"/>
    </w:p>
    <w:p>
      <w:pPr>
        <w:adjustRightInd w:val="0"/>
        <w:spacing w:line="360" w:lineRule="auto"/>
        <w:ind w:firstLine="480" w:firstLineChars="200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0"/>
        </w:rPr>
      </w:pPr>
      <w:r>
        <w:rPr>
          <w:rFonts w:ascii="Times New Roman" w:hAnsi="Times New Roman" w:eastAsia="宋体" w:cs="Times New Roman"/>
          <w:kern w:val="0"/>
          <w:sz w:val="24"/>
          <w:szCs w:val="20"/>
        </w:rPr>
        <w:t>该模块展示了在行项目列表，可查看任务详情、添加监测任务、查看监测航迹信息，如下图所示：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Cs w:val="20"/>
        </w:rPr>
        <w:drawing>
          <wp:inline distT="0" distB="0" distL="114300" distR="114300">
            <wp:extent cx="4298950" cy="4832350"/>
            <wp:effectExtent l="0" t="0" r="6350" b="6350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84" w:leftChars="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任务详情</w:t>
      </w:r>
    </w:p>
    <w:p>
      <w:pPr>
        <w:spacing w:line="360" w:lineRule="auto"/>
        <w:ind w:left="504" w:leftChars="2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点击任务名称后，可展示该任务的详细信息，如下图所示：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Cs w:val="20"/>
        </w:rPr>
        <w:drawing>
          <wp:inline distT="0" distB="0" distL="114300" distR="114300">
            <wp:extent cx="4229100" cy="4724400"/>
            <wp:effectExtent l="0" t="0" r="0" b="0"/>
            <wp:docPr id="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监测航迹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</w:t>
      </w:r>
      <w:r>
        <w:rPr>
          <w:rFonts w:hint="eastAsia" w:ascii="Times New Roman" w:hAnsi="Times New Roman" w:eastAsia="宋体" w:cs="Times New Roman"/>
          <w:sz w:val="24"/>
          <w:szCs w:val="24"/>
        </w:rPr>
        <w:t>已完成的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监测</w:t>
      </w:r>
      <w:r>
        <w:rPr>
          <w:rFonts w:hint="eastAsia" w:ascii="Times New Roman" w:hAnsi="Times New Roman" w:eastAsia="宋体" w:cs="Times New Roman"/>
          <w:sz w:val="24"/>
          <w:szCs w:val="24"/>
        </w:rPr>
        <w:t>任务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详情，可进入监测航迹页面，如下图所示：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279900" cy="4711700"/>
            <wp:effectExtent l="0" t="0" r="0" b="0"/>
            <wp:docPr id="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添加监测任务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点击添加监测任务按钮，可打开添加监测任务页面，如下图所示：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311650" cy="4857750"/>
            <wp:effectExtent l="0" t="0" r="6350" b="6350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开始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点击开始按钮，可开始监测任务，如下图所示：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286250" cy="4756150"/>
            <wp:effectExtent l="0" t="0" r="6350" b="6350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暂停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点击暂停按钮，可结束或继续该监测任务，如下图所示：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324350" cy="4845050"/>
            <wp:effectExtent l="0" t="0" r="6350" b="6350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结束/继续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点击结束按钮，可选择暂存、</w:t>
      </w:r>
      <w:r>
        <w:rPr>
          <w:rFonts w:hint="eastAsia" w:ascii="Times New Roman" w:hAnsi="Times New Roman" w:eastAsia="宋体" w:cs="Times New Roman"/>
          <w:sz w:val="24"/>
          <w:szCs w:val="24"/>
        </w:rPr>
        <w:t>结束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操作，点击继续按钮可继续该监测任务，</w:t>
      </w:r>
      <w:r>
        <w:rPr>
          <w:rFonts w:hint="eastAsia" w:ascii="Times New Roman" w:hAnsi="Times New Roman" w:eastAsia="宋体" w:cs="Times New Roman"/>
          <w:sz w:val="24"/>
          <w:szCs w:val="24"/>
        </w:rPr>
        <w:t>必须实验室分析完成后才能结束监测任务，采样和送样人员只能暂存监测任务，</w:t>
      </w:r>
      <w:r>
        <w:rPr>
          <w:rFonts w:ascii="Times New Roman" w:hAnsi="Times New Roman" w:eastAsia="宋体" w:cs="Times New Roman"/>
          <w:sz w:val="24"/>
          <w:szCs w:val="24"/>
          <w:lang w:val="zh-CN"/>
        </w:rPr>
        <w:t>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273550" cy="4826000"/>
            <wp:effectExtent l="0" t="0" r="6350" b="0"/>
            <wp:docPr id="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拍照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点击右上角拍照按钮，可进行现场拍照，拍照后可进入任务填报页面，如下图所示：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267200" cy="4749800"/>
            <wp:effectExtent l="0" t="0" r="0" b="0"/>
            <wp:docPr id="7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监测类型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点击监测类型按钮，可选择监测类型，如下图所示：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248150" cy="4768850"/>
            <wp:effectExtent l="0" t="0" r="6350" b="6350"/>
            <wp:docPr id="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照片类型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点击照片类型按钮，可弹出照片类型选项，选择后点击确定按钮可选择照片类型，选择照片类型后当前阶段也同时选定，且不能修改，如下图所示：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229100" cy="4679950"/>
            <wp:effectExtent l="0" t="0" r="0" b="6350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保存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点击保存按钮，可保存并上传该任务监测情况。</w:t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取消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点击取消按钮，可取消填报该任务监测情况。</w:t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返回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点击左上角返回按钮，可返回至上一页面。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color w:val="FF0000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color w:val="FF0000"/>
          <w:sz w:val="24"/>
          <w:szCs w:val="24"/>
          <w:lang w:val="zh-CN"/>
        </w:rPr>
        <w:t>注：照片类型选定后，系统会自动判断该阶段照片属于什么监测阶段，不需要进行重复选择，同时，每类选择系统会有备注提示。</w:t>
      </w:r>
    </w:p>
    <w:p>
      <w:pPr>
        <w:tabs>
          <w:tab w:val="left" w:pos="0"/>
          <w:tab w:val="left" w:pos="210"/>
        </w:tabs>
        <w:spacing w:line="360" w:lineRule="auto"/>
        <w:ind w:firstLine="480" w:firstLineChars="200"/>
        <w:jc w:val="left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ascii="宋体" w:hAnsi="宋体" w:eastAsia="宋体" w:cs="宋体"/>
          <w:color w:val="FF0000"/>
          <w:sz w:val="24"/>
          <w:szCs w:val="24"/>
          <w:lang w:val="zh-CN"/>
        </w:rPr>
        <w:t>采样作业照片、采样点现场照片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为必传项，完成后才能进行送样照片的上传，送样照片上传后才能进行实验室分析照片的上传，当实验室分析完成后，任务才能结束，之前的阶段任务都只能暂存。</w:t>
      </w:r>
    </w:p>
    <w:p>
      <w:pPr>
        <w:tabs>
          <w:tab w:val="left" w:pos="0"/>
          <w:tab w:val="left" w:pos="210"/>
        </w:tabs>
        <w:spacing w:line="360" w:lineRule="auto"/>
        <w:ind w:firstLine="480" w:firstLineChars="200"/>
        <w:jc w:val="left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监测任务统一由采样人员创建，送样和实验室分析人员在采样人员创建的任务上操作，任务结束只能由实验室分析人员上传照片后结束，采样和送样人员只能暂存任务。</w:t>
      </w:r>
    </w:p>
    <w:p>
      <w:pPr>
        <w:keepNext/>
        <w:keepLines/>
        <w:numPr>
          <w:ilvl w:val="1"/>
          <w:numId w:val="1"/>
        </w:numPr>
        <w:adjustRightInd w:val="0"/>
        <w:spacing w:before="480" w:after="120" w:line="360" w:lineRule="auto"/>
        <w:jc w:val="left"/>
        <w:textAlignment w:val="baseline"/>
        <w:outlineLvl w:val="1"/>
        <w:rPr>
          <w:rFonts w:ascii="Times New Roman" w:hAnsi="Times New Roman" w:eastAsia="宋体" w:cs="Times New Roman"/>
          <w:b/>
          <w:color w:val="000000"/>
          <w:kern w:val="0"/>
          <w:sz w:val="32"/>
          <w:szCs w:val="20"/>
          <w:lang w:val="zh-CN"/>
        </w:rPr>
      </w:pPr>
      <w:bookmarkStart w:id="33" w:name="_Toc17860"/>
      <w:bookmarkStart w:id="34" w:name="_Toc26189"/>
      <w:r>
        <w:rPr>
          <w:rFonts w:hint="eastAsia" w:ascii="Times New Roman" w:hAnsi="Times New Roman" w:eastAsia="宋体" w:cs="Times New Roman"/>
          <w:b/>
          <w:color w:val="000000"/>
          <w:kern w:val="0"/>
          <w:sz w:val="32"/>
          <w:szCs w:val="20"/>
          <w:lang w:val="zh-CN"/>
        </w:rPr>
        <w:t>完成项目数</w:t>
      </w:r>
      <w:bookmarkEnd w:id="33"/>
      <w:bookmarkEnd w:id="34"/>
    </w:p>
    <w:p>
      <w:pPr>
        <w:adjustRightInd w:val="0"/>
        <w:spacing w:line="360" w:lineRule="auto"/>
        <w:ind w:firstLine="480" w:firstLineChars="200"/>
        <w:jc w:val="left"/>
        <w:textAlignment w:val="baseline"/>
        <w:rPr>
          <w:rFonts w:ascii="Times New Roman" w:hAnsi="Times New Roman" w:eastAsia="宋体" w:cs="Times New Roman"/>
          <w:kern w:val="0"/>
          <w:sz w:val="24"/>
          <w:szCs w:val="20"/>
        </w:rPr>
      </w:pPr>
      <w:r>
        <w:rPr>
          <w:rFonts w:ascii="Times New Roman" w:hAnsi="Times New Roman" w:eastAsia="宋体" w:cs="Times New Roman"/>
          <w:kern w:val="0"/>
          <w:sz w:val="24"/>
          <w:szCs w:val="20"/>
        </w:rPr>
        <w:t>该模块展示了展示了已完成项目列表，可查看任务详情、监测航迹信息，如下图所示：</w:t>
      </w:r>
    </w:p>
    <w:p>
      <w:pPr>
        <w:adjustRightInd w:val="0"/>
        <w:spacing w:line="360" w:lineRule="auto"/>
        <w:jc w:val="center"/>
        <w:textAlignment w:val="baseline"/>
        <w:rPr>
          <w:rFonts w:ascii="Times New Roman" w:hAnsi="Times New Roman" w:eastAsia="宋体" w:cs="Times New Roman"/>
          <w:kern w:val="0"/>
          <w:sz w:val="24"/>
          <w:szCs w:val="20"/>
        </w:rPr>
      </w:pPr>
      <w:r>
        <w:rPr>
          <w:rFonts w:ascii="Times New Roman" w:hAnsi="Times New Roman" w:eastAsia="宋体" w:cs="Times New Roman"/>
          <w:kern w:val="0"/>
          <w:szCs w:val="20"/>
        </w:rPr>
        <w:drawing>
          <wp:inline distT="0" distB="0" distL="114300" distR="114300">
            <wp:extent cx="4241800" cy="4762500"/>
            <wp:effectExtent l="0" t="0" r="0" b="0"/>
            <wp:docPr id="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搜索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输入项目名称后，可显示出符合查询条件的项目数据列。</w:t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任务详情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点击任务名称后，可展示该任务的详细信息，如下图所示：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Cs w:val="20"/>
        </w:rPr>
        <w:drawing>
          <wp:inline distT="0" distB="0" distL="114300" distR="114300">
            <wp:extent cx="4254500" cy="4762500"/>
            <wp:effectExtent l="0" t="0" r="0" b="0"/>
            <wp:docPr id="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监测航迹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点击任意监测详情，可进入监测航迹页面，如下图所示：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Cs w:val="20"/>
        </w:rPr>
        <w:drawing>
          <wp:inline distT="0" distB="0" distL="114300" distR="114300">
            <wp:extent cx="4337050" cy="4838700"/>
            <wp:effectExtent l="0" t="0" r="6350" b="0"/>
            <wp:docPr id="8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pacing w:line="360" w:lineRule="auto"/>
        <w:ind w:left="294" w:leftChars="140"/>
        <w:jc w:val="left"/>
        <w:textAlignment w:val="baseline"/>
        <w:rPr>
          <w:rFonts w:ascii="Times New Roman" w:hAnsi="Times New Roman" w:eastAsia="宋体" w:cs="Times New Roman"/>
          <w:b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b/>
          <w:sz w:val="24"/>
          <w:szCs w:val="24"/>
          <w:lang w:val="zh-CN"/>
        </w:rPr>
        <w:t>返回</w:t>
      </w:r>
    </w:p>
    <w:p>
      <w:pPr>
        <w:spacing w:line="360" w:lineRule="auto"/>
        <w:ind w:left="714" w:leftChars="340"/>
        <w:jc w:val="left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宋体" w:cs="Times New Roman"/>
          <w:sz w:val="24"/>
          <w:szCs w:val="24"/>
          <w:lang w:val="zh-CN"/>
        </w:rPr>
        <w:t>点击左上角返回按钮，可返回至已办任务列表页面。</w:t>
      </w:r>
    </w:p>
    <w:p>
      <w:pPr>
        <w:adjustRightInd w:val="0"/>
        <w:spacing w:line="360" w:lineRule="auto"/>
        <w:jc w:val="left"/>
        <w:textAlignment w:val="baseline"/>
        <w:rPr>
          <w:rFonts w:ascii="Times New Roman" w:hAnsi="Times New Roman" w:eastAsia="宋体" w:cs="Times New Roman"/>
          <w:kern w:val="0"/>
          <w:szCs w:val="20"/>
        </w:rPr>
      </w:pP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  <w:sectPr>
          <w:footerReference r:id="rId8" w:type="default"/>
          <w:pgSz w:w="11906" w:h="16838"/>
          <w:pgMar w:top="2098" w:right="1474" w:bottom="1247" w:left="1588" w:header="851" w:footer="992" w:gutter="0"/>
          <w:cols w:space="425" w:num="1"/>
          <w:titlePg/>
          <w:docGrid w:type="lines" w:linePitch="312" w:charSpace="0"/>
        </w:sectPr>
      </w:pPr>
    </w:p>
    <w:p>
      <w:pPr>
        <w:widowControl/>
        <w:jc w:val="left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br w:type="page"/>
      </w: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黑体" w:hAnsi="黑体" w:eastAsia="黑体" w:cs="Times New Roman"/>
          <w:bCs/>
          <w:sz w:val="32"/>
          <w:szCs w:val="32"/>
        </w:rPr>
      </w:pPr>
    </w:p>
    <w:p>
      <w:pPr>
        <w:pStyle w:val="2"/>
        <w:overflowPunct w:val="0"/>
        <w:topLinePunct/>
        <w:spacing w:after="0" w:line="600" w:lineRule="exact"/>
        <w:ind w:right="1260" w:rightChars="6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信息</w:t>
      </w:r>
      <w:r>
        <w:rPr>
          <w:rFonts w:ascii="黑体" w:hAnsi="黑体" w:eastAsia="黑体" w:cs="Times New Roman"/>
          <w:bCs/>
          <w:sz w:val="32"/>
          <w:szCs w:val="32"/>
        </w:rPr>
        <w:t>公开选项：</w:t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t>主动公开</w:t>
      </w:r>
    </w:p>
    <w:sectPr>
      <w:footerReference r:id="rId9" w:type="even"/>
      <w:pgSz w:w="11906" w:h="16838"/>
      <w:pgMar w:top="2098" w:right="1474" w:bottom="1247" w:left="1588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宋体" w:hAnsi="宋体"/>
        <w:sz w:val="28"/>
        <w:szCs w:val="28"/>
      </w:rPr>
      <w:id w:val="1566218204"/>
      <w:docPartObj>
        <w:docPartGallery w:val="autotext"/>
      </w:docPartObj>
    </w:sdtPr>
    <w:sdtEndPr>
      <w:rPr>
        <w:rFonts w:hint="eastAsia" w:ascii="宋体" w:hAnsi="宋体"/>
        <w:sz w:val="28"/>
        <w:szCs w:val="28"/>
      </w:rPr>
    </w:sdtEndPr>
    <w:sdtContent>
      <w:p>
        <w:pPr>
          <w:pStyle w:val="9"/>
          <w:ind w:left="210" w:leftChars="100" w:right="210" w:rightChars="100"/>
          <w:jc w:val="right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3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宋体" w:hAnsi="宋体"/>
        <w:sz w:val="28"/>
        <w:szCs w:val="28"/>
      </w:rPr>
      <w:id w:val="1431617380"/>
      <w:docPartObj>
        <w:docPartGallery w:val="autotext"/>
      </w:docPartObj>
    </w:sdtPr>
    <w:sdtEndPr>
      <w:rPr>
        <w:rFonts w:hint="eastAsia" w:ascii="宋体" w:hAnsi="宋体"/>
        <w:sz w:val="28"/>
        <w:szCs w:val="28"/>
      </w:rPr>
    </w:sdtEndPr>
    <w:sdtContent>
      <w:p>
        <w:pPr>
          <w:pStyle w:val="9"/>
          <w:ind w:left="210" w:leftChars="100" w:right="210" w:rightChars="100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—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宋体" w:hAnsi="宋体"/>
        <w:sz w:val="28"/>
        <w:szCs w:val="28"/>
      </w:rPr>
      <w:id w:val="619033867"/>
      <w:docPartObj>
        <w:docPartGallery w:val="autotext"/>
      </w:docPartObj>
    </w:sdtPr>
    <w:sdtEndPr>
      <w:rPr>
        <w:rFonts w:hint="eastAsia" w:ascii="宋体" w:hAnsi="宋体"/>
        <w:sz w:val="28"/>
        <w:szCs w:val="28"/>
      </w:rPr>
    </w:sdtEndPr>
    <w:sdtContent>
      <w:p>
        <w:pPr>
          <w:pStyle w:val="9"/>
          <w:ind w:left="210" w:leftChars="100" w:right="210" w:rightChars="100"/>
          <w:jc w:val="right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17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—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hint="eastAsia" w:ascii="宋体" w:hAnsi="宋体"/>
        <w:sz w:val="28"/>
        <w:szCs w:val="28"/>
      </w:rPr>
      <w:id w:val="1207065679"/>
      <w:docPartObj>
        <w:docPartGallery w:val="autotext"/>
      </w:docPartObj>
    </w:sdtPr>
    <w:sdtEndPr>
      <w:rPr>
        <w:rFonts w:hint="eastAsia" w:ascii="宋体" w:hAnsi="宋体"/>
        <w:sz w:val="28"/>
        <w:szCs w:val="28"/>
      </w:rPr>
    </w:sdtEndPr>
    <w:sdtContent>
      <w:p>
        <w:pPr>
          <w:pStyle w:val="9"/>
          <w:ind w:left="210" w:leftChars="100" w:right="210" w:rightChars="100"/>
          <w:rPr>
            <w:rFonts w:ascii="宋体" w:hAnsi="宋体"/>
            <w:sz w:val="28"/>
            <w:szCs w:val="28"/>
          </w:rPr>
        </w:pPr>
        <w:r>
          <w:rPr>
            <w:rFonts w:hint="eastAsia" w:ascii="宋体" w:hAnsi="宋体"/>
            <w:sz w:val="28"/>
            <w:szCs w:val="28"/>
          </w:rPr>
          <w:t xml:space="preserve">— </w:t>
        </w: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21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hint="eastAsia" w:ascii="宋体" w:hAnsi="宋体"/>
            <w:sz w:val="28"/>
            <w:szCs w:val="28"/>
          </w:rPr>
          <w:t xml:space="preserve"> —</w:t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210" w:leftChars="100" w:right="210" w:rightChars="100"/>
      <w:rPr>
        <w:rFonts w:ascii="宋体" w:hAnsi="宋体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3"/>
      </w:pBdr>
      <w:tabs>
        <w:tab w:val="left" w:pos="4912"/>
        <w:tab w:val="right" w:pos="8364"/>
        <w:tab w:val="clear" w:pos="8306"/>
      </w:tabs>
      <w:wordWrap w:val="0"/>
      <w:ind w:right="-51"/>
    </w:pPr>
    <w:r>
      <w:rPr>
        <w:rFonts w:hint="eastAsia"/>
      </w:rPr>
      <w:tab/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01911"/>
    <w:multiLevelType w:val="multilevel"/>
    <w:tmpl w:val="03701911"/>
    <w:lvl w:ilvl="0" w:tentative="0">
      <w:start w:val="1"/>
      <w:numFmt w:val="bullet"/>
      <w:lvlText w:val=""/>
      <w:lvlJc w:val="left"/>
      <w:pPr>
        <w:ind w:left="155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97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39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81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23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65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7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9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914" w:hanging="420"/>
      </w:pPr>
      <w:rPr>
        <w:rFonts w:hint="default" w:ascii="Wingdings" w:hAnsi="Wingdings"/>
      </w:rPr>
    </w:lvl>
  </w:abstractNum>
  <w:abstractNum w:abstractNumId="1">
    <w:nsid w:val="089D320C"/>
    <w:multiLevelType w:val="multilevel"/>
    <w:tmpl w:val="089D320C"/>
    <w:lvl w:ilvl="0" w:tentative="0">
      <w:start w:val="1"/>
      <w:numFmt w:val="decimal"/>
      <w:pStyle w:val="3"/>
      <w:isLgl/>
      <w:suff w:val="space"/>
      <w:lvlText w:val="第%1章"/>
      <w:lvlJc w:val="left"/>
      <w:pPr>
        <w:ind w:left="0" w:firstLine="0"/>
      </w:pPr>
      <w:rPr>
        <w:rFonts w:hint="eastAsia" w:ascii="宋体" w:eastAsia="宋体"/>
        <w:b/>
        <w:i w:val="0"/>
        <w:sz w:val="44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 w:ascii="宋体" w:eastAsia="宋体"/>
        <w:b/>
        <w:i w:val="0"/>
        <w:sz w:val="32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eastAsia" w:ascii="宋体" w:eastAsia="宋体"/>
        <w:b/>
        <w:i w:val="0"/>
        <w:sz w:val="28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宋体" w:eastAsia="宋体"/>
        <w:b/>
        <w:i w:val="0"/>
        <w:sz w:val="24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宋体" w:eastAsia="宋体"/>
        <w:b/>
        <w:i w:val="0"/>
        <w:sz w:val="24"/>
      </w:rPr>
    </w:lvl>
    <w:lvl w:ilvl="5" w:tentative="0">
      <w:start w:val="1"/>
      <w:numFmt w:val="decimal"/>
      <w:lvlText w:val="%1.%2.%3.%4.%5.%6"/>
      <w:lvlJc w:val="left"/>
      <w:pPr>
        <w:tabs>
          <w:tab w:val="left" w:pos="3566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51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776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562"/>
        </w:tabs>
        <w:ind w:left="0" w:firstLine="0"/>
      </w:pPr>
      <w:rPr>
        <w:rFonts w:hint="eastAsia"/>
      </w:rPr>
    </w:lvl>
  </w:abstractNum>
  <w:abstractNum w:abstractNumId="2">
    <w:nsid w:val="50B1538E"/>
    <w:multiLevelType w:val="multilevel"/>
    <w:tmpl w:val="50B1538E"/>
    <w:lvl w:ilvl="0" w:tentative="0">
      <w:start w:val="1"/>
      <w:numFmt w:val="bullet"/>
      <w:lvlText w:val=""/>
      <w:lvlJc w:val="left"/>
      <w:pPr>
        <w:ind w:left="155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97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39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81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23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65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07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49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914" w:hanging="420"/>
      </w:pPr>
      <w:rPr>
        <w:rFonts w:hint="default" w:ascii="Wingdings" w:hAnsi="Wingdings"/>
      </w:rPr>
    </w:lvl>
  </w:abstractNum>
  <w:abstractNum w:abstractNumId="3">
    <w:nsid w:val="7E3C2819"/>
    <w:multiLevelType w:val="multilevel"/>
    <w:tmpl w:val="7E3C2819"/>
    <w:lvl w:ilvl="0" w:tentative="0">
      <w:start w:val="1"/>
      <w:numFmt w:val="bullet"/>
      <w:lvlText w:val=""/>
      <w:lvlJc w:val="left"/>
      <w:pPr>
        <w:ind w:left="90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2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dit="readOnly"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JkY2Y0MzllMTU3Y2I2YmZlMzNmYTY0NzExNjVlNmUifQ=="/>
  </w:docVars>
  <w:rsids>
    <w:rsidRoot w:val="710E72B4"/>
    <w:rsid w:val="00042A20"/>
    <w:rsid w:val="00232A6E"/>
    <w:rsid w:val="003C2EBE"/>
    <w:rsid w:val="004F367D"/>
    <w:rsid w:val="00504EF2"/>
    <w:rsid w:val="00551F36"/>
    <w:rsid w:val="0055386D"/>
    <w:rsid w:val="0057511A"/>
    <w:rsid w:val="00635328"/>
    <w:rsid w:val="006E5506"/>
    <w:rsid w:val="007018F3"/>
    <w:rsid w:val="007C35FC"/>
    <w:rsid w:val="0094498C"/>
    <w:rsid w:val="00A118D5"/>
    <w:rsid w:val="00A37058"/>
    <w:rsid w:val="00A446FB"/>
    <w:rsid w:val="00CD026D"/>
    <w:rsid w:val="00D963B7"/>
    <w:rsid w:val="00DB549A"/>
    <w:rsid w:val="00DE46AE"/>
    <w:rsid w:val="00E0344B"/>
    <w:rsid w:val="00E17245"/>
    <w:rsid w:val="00EC51B9"/>
    <w:rsid w:val="036263E4"/>
    <w:rsid w:val="06870F28"/>
    <w:rsid w:val="069D1319"/>
    <w:rsid w:val="08EE49A8"/>
    <w:rsid w:val="092858BB"/>
    <w:rsid w:val="0F9950A6"/>
    <w:rsid w:val="16337C8E"/>
    <w:rsid w:val="203F47C5"/>
    <w:rsid w:val="20AC5329"/>
    <w:rsid w:val="215A0ED9"/>
    <w:rsid w:val="23EF1035"/>
    <w:rsid w:val="23F90BBF"/>
    <w:rsid w:val="24FA4738"/>
    <w:rsid w:val="26B23ABD"/>
    <w:rsid w:val="293933AF"/>
    <w:rsid w:val="2B1F1A10"/>
    <w:rsid w:val="2F917175"/>
    <w:rsid w:val="2FD957BE"/>
    <w:rsid w:val="31A8585E"/>
    <w:rsid w:val="35D233B0"/>
    <w:rsid w:val="371B335C"/>
    <w:rsid w:val="37A63266"/>
    <w:rsid w:val="39910700"/>
    <w:rsid w:val="3B394C50"/>
    <w:rsid w:val="3BDFF2F1"/>
    <w:rsid w:val="3BF627E3"/>
    <w:rsid w:val="3C3C579D"/>
    <w:rsid w:val="3D1D5391"/>
    <w:rsid w:val="3EDBAA6C"/>
    <w:rsid w:val="3FD1FA63"/>
    <w:rsid w:val="3FFB78D9"/>
    <w:rsid w:val="40826F5E"/>
    <w:rsid w:val="4652461A"/>
    <w:rsid w:val="47217C60"/>
    <w:rsid w:val="48ED67A5"/>
    <w:rsid w:val="4B3429AA"/>
    <w:rsid w:val="4EE7350C"/>
    <w:rsid w:val="4F951E06"/>
    <w:rsid w:val="4FAE294B"/>
    <w:rsid w:val="5142093E"/>
    <w:rsid w:val="5296628B"/>
    <w:rsid w:val="555273D7"/>
    <w:rsid w:val="575A66B2"/>
    <w:rsid w:val="579A38D0"/>
    <w:rsid w:val="5A6822BC"/>
    <w:rsid w:val="5AB133D7"/>
    <w:rsid w:val="5B5A0B8A"/>
    <w:rsid w:val="5B7E6457"/>
    <w:rsid w:val="5CF64413"/>
    <w:rsid w:val="5FC95432"/>
    <w:rsid w:val="631E594C"/>
    <w:rsid w:val="6A065239"/>
    <w:rsid w:val="6ADF0314"/>
    <w:rsid w:val="6E393DE4"/>
    <w:rsid w:val="710E72B4"/>
    <w:rsid w:val="72570448"/>
    <w:rsid w:val="76464F30"/>
    <w:rsid w:val="7BDA42FE"/>
    <w:rsid w:val="7BEC448A"/>
    <w:rsid w:val="7CBA30A8"/>
    <w:rsid w:val="7D7A3041"/>
    <w:rsid w:val="7E3E3550"/>
    <w:rsid w:val="7EFFC80A"/>
    <w:rsid w:val="7FB51C95"/>
    <w:rsid w:val="7FFA1FCF"/>
    <w:rsid w:val="BFCB2627"/>
    <w:rsid w:val="C4F7FB48"/>
    <w:rsid w:val="DF5FD986"/>
    <w:rsid w:val="EB166ACA"/>
    <w:rsid w:val="EEF98F3D"/>
    <w:rsid w:val="F8EB362F"/>
    <w:rsid w:val="FB7FDAA4"/>
    <w:rsid w:val="FBFFF356"/>
    <w:rsid w:val="FFD99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0"/>
    <w:pPr>
      <w:keepNext/>
      <w:keepLines/>
      <w:numPr>
        <w:ilvl w:val="0"/>
        <w:numId w:val="1"/>
      </w:numPr>
      <w:adjustRightInd w:val="0"/>
      <w:spacing w:before="240" w:line="578" w:lineRule="atLeast"/>
      <w:jc w:val="left"/>
      <w:textAlignment w:val="baseline"/>
      <w:outlineLvl w:val="0"/>
    </w:pPr>
    <w:rPr>
      <w:rFonts w:ascii="Times New Roman" w:hAnsi="Times New Roman" w:eastAsia="宋体" w:cs="Times New Roman"/>
      <w:b/>
      <w:kern w:val="44"/>
      <w:sz w:val="44"/>
      <w:szCs w:val="20"/>
    </w:rPr>
  </w:style>
  <w:style w:type="paragraph" w:styleId="4">
    <w:name w:val="heading 3"/>
    <w:basedOn w:val="1"/>
    <w:next w:val="1"/>
    <w:link w:val="19"/>
    <w:qFormat/>
    <w:uiPriority w:val="0"/>
    <w:pPr>
      <w:keepNext/>
      <w:keepLines/>
      <w:numPr>
        <w:ilvl w:val="2"/>
        <w:numId w:val="1"/>
      </w:numPr>
      <w:adjustRightInd w:val="0"/>
      <w:spacing w:before="120" w:after="120" w:line="416" w:lineRule="atLeast"/>
      <w:jc w:val="left"/>
      <w:textAlignment w:val="baseline"/>
      <w:outlineLvl w:val="2"/>
    </w:pPr>
    <w:rPr>
      <w:rFonts w:ascii="黑体" w:hAnsi="Times New Roman" w:eastAsia="宋体" w:cs="Times New Roman"/>
      <w:b/>
      <w:kern w:val="0"/>
      <w:sz w:val="28"/>
      <w:szCs w:val="20"/>
    </w:rPr>
  </w:style>
  <w:style w:type="paragraph" w:styleId="5">
    <w:name w:val="heading 4"/>
    <w:basedOn w:val="1"/>
    <w:next w:val="1"/>
    <w:link w:val="20"/>
    <w:qFormat/>
    <w:uiPriority w:val="0"/>
    <w:pPr>
      <w:keepNext/>
      <w:keepLines/>
      <w:numPr>
        <w:ilvl w:val="3"/>
        <w:numId w:val="1"/>
      </w:numPr>
      <w:adjustRightInd w:val="0"/>
      <w:spacing w:before="280" w:after="290" w:line="376" w:lineRule="atLeast"/>
      <w:jc w:val="left"/>
      <w:textAlignment w:val="baseline"/>
      <w:outlineLvl w:val="3"/>
    </w:pPr>
    <w:rPr>
      <w:rFonts w:ascii="Arial" w:hAnsi="Arial" w:eastAsia="宋体" w:cs="Times New Roman"/>
      <w:b/>
      <w:bCs/>
      <w:kern w:val="0"/>
      <w:sz w:val="24"/>
      <w:szCs w:val="28"/>
    </w:rPr>
  </w:style>
  <w:style w:type="paragraph" w:styleId="6">
    <w:name w:val="heading 5"/>
    <w:basedOn w:val="1"/>
    <w:next w:val="1"/>
    <w:link w:val="21"/>
    <w:qFormat/>
    <w:uiPriority w:val="0"/>
    <w:pPr>
      <w:keepNext/>
      <w:keepLines/>
      <w:numPr>
        <w:ilvl w:val="4"/>
        <w:numId w:val="1"/>
      </w:numPr>
      <w:adjustRightInd w:val="0"/>
      <w:spacing w:before="280" w:after="290" w:line="376" w:lineRule="atLeast"/>
      <w:ind w:right="100" w:rightChars="100"/>
      <w:jc w:val="left"/>
      <w:textAlignment w:val="baseline"/>
      <w:outlineLvl w:val="4"/>
    </w:pPr>
    <w:rPr>
      <w:rFonts w:ascii="Times New Roman" w:hAnsi="Times New Roman" w:eastAsia="宋体" w:cs="Times New Roman"/>
      <w:b/>
      <w:bCs/>
      <w:kern w:val="0"/>
      <w:sz w:val="24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7">
    <w:name w:val="Date"/>
    <w:basedOn w:val="1"/>
    <w:next w:val="1"/>
    <w:link w:val="17"/>
    <w:uiPriority w:val="0"/>
    <w:pPr>
      <w:ind w:left="100" w:leftChars="2500"/>
    </w:pPr>
  </w:style>
  <w:style w:type="paragraph" w:styleId="8">
    <w:name w:val="Balloon Text"/>
    <w:basedOn w:val="1"/>
    <w:link w:val="14"/>
    <w:uiPriority w:val="0"/>
    <w:rPr>
      <w:sz w:val="18"/>
      <w:szCs w:val="18"/>
    </w:rPr>
  </w:style>
  <w:style w:type="paragraph" w:styleId="9">
    <w:name w:val="footer"/>
    <w:basedOn w:val="1"/>
    <w:link w:val="1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page number"/>
    <w:basedOn w:val="12"/>
    <w:qFormat/>
    <w:uiPriority w:val="0"/>
  </w:style>
  <w:style w:type="character" w:customStyle="1" w:styleId="14">
    <w:name w:val="批注框文本 字符"/>
    <w:basedOn w:val="12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眉 字符"/>
    <w:basedOn w:val="12"/>
    <w:link w:val="10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2"/>
    <w:link w:val="9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日期 字符"/>
    <w:basedOn w:val="12"/>
    <w:link w:val="7"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8">
    <w:name w:val="标题 1 字符"/>
    <w:basedOn w:val="12"/>
    <w:link w:val="3"/>
    <w:uiPriority w:val="0"/>
    <w:rPr>
      <w:b/>
      <w:kern w:val="44"/>
      <w:sz w:val="44"/>
    </w:rPr>
  </w:style>
  <w:style w:type="character" w:customStyle="1" w:styleId="19">
    <w:name w:val="标题 3 字符"/>
    <w:basedOn w:val="12"/>
    <w:link w:val="4"/>
    <w:uiPriority w:val="0"/>
    <w:rPr>
      <w:rFonts w:ascii="黑体"/>
      <w:b/>
      <w:sz w:val="28"/>
    </w:rPr>
  </w:style>
  <w:style w:type="character" w:customStyle="1" w:styleId="20">
    <w:name w:val="标题 4 字符"/>
    <w:basedOn w:val="12"/>
    <w:link w:val="5"/>
    <w:uiPriority w:val="0"/>
    <w:rPr>
      <w:rFonts w:ascii="Arial" w:hAnsi="Arial"/>
      <w:b/>
      <w:bCs/>
      <w:sz w:val="24"/>
      <w:szCs w:val="28"/>
    </w:rPr>
  </w:style>
  <w:style w:type="character" w:customStyle="1" w:styleId="21">
    <w:name w:val="标题 5 字符"/>
    <w:basedOn w:val="12"/>
    <w:link w:val="6"/>
    <w:uiPriority w:val="0"/>
    <w:rPr>
      <w:b/>
      <w:bCs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7" Type="http://schemas.openxmlformats.org/officeDocument/2006/relationships/fontTable" Target="fontTable.xml"/><Relationship Id="rId76" Type="http://schemas.openxmlformats.org/officeDocument/2006/relationships/numbering" Target="numbering.xml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footer" Target="footer4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1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footer" Target="foot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footer" Target="foot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er" Target="foot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jpeg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52</Pages>
  <Words>5459</Words>
  <Characters>5675</Characters>
  <Lines>52</Lines>
  <Paragraphs>14</Paragraphs>
  <TotalTime>10</TotalTime>
  <ScaleCrop>false</ScaleCrop>
  <LinksUpToDate>false</LinksUpToDate>
  <CharactersWithSpaces>5792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2022-11-04T02:43:00Z</dcterms:created>
  <dc:creator>侯尧淳</dc:creator>
  <cp:lastModifiedBy>c℃局外人</cp:lastModifiedBy>
  <cp:lastPrinted>2022-11-04T07:19:00Z</cp:lastPrinted>
  <dcterms:modified xsi:type="dcterms:W3CDTF">2022-11-16T08:47:11Z</dcterms:modified>
  <dc:title>四川省生态环境厅办公室</dc:title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A3E667961D204309A8D3010CB4E53FAB</vt:lpwstr>
  </property>
  <property fmtid="{D5CDD505-2E9C-101B-9397-08002B2CF9AE}" pid="3" name="KSOProductBuildVer">
    <vt:lpwstr>2052-11.1.0.12763</vt:lpwstr>
  </property>
</Properties>
</file>