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ind w:firstLine="878" w:firstLineChars="125"/>
        <w:rPr>
          <w:b/>
          <w:color w:val="auto"/>
          <w:sz w:val="70"/>
          <w:highlight w:val="yellow"/>
          <w:lang w:eastAsia="zh-CN"/>
        </w:rPr>
      </w:pPr>
    </w:p>
    <w:p>
      <w:pPr>
        <w:spacing w:line="360" w:lineRule="auto"/>
        <w:ind w:firstLine="904" w:firstLineChars="125"/>
        <w:rPr>
          <w:b/>
          <w:color w:val="auto"/>
          <w:sz w:val="72"/>
          <w:highlight w:val="none"/>
          <w:lang w:eastAsia="zh-CN"/>
        </w:rPr>
      </w:pPr>
    </w:p>
    <w:p>
      <w:pPr>
        <w:spacing w:line="360" w:lineRule="auto"/>
        <w:jc w:val="center"/>
        <w:outlineLvl w:val="0"/>
        <w:rPr>
          <w:b/>
          <w:color w:val="auto"/>
          <w:sz w:val="72"/>
          <w:highlight w:val="none"/>
        </w:rPr>
      </w:pPr>
      <w:r>
        <w:rPr>
          <w:b/>
          <w:color w:val="auto"/>
          <w:sz w:val="72"/>
          <w:highlight w:val="none"/>
        </w:rPr>
        <w:t>建设项目环境影响报告表</w:t>
      </w:r>
    </w:p>
    <w:p>
      <w:pPr>
        <w:spacing w:line="360" w:lineRule="auto"/>
        <w:ind w:firstLine="3080" w:firstLineChars="1100"/>
        <w:rPr>
          <w:color w:val="auto"/>
          <w:sz w:val="28"/>
          <w:highlight w:val="none"/>
        </w:rPr>
      </w:pPr>
    </w:p>
    <w:p>
      <w:pPr>
        <w:spacing w:line="360" w:lineRule="auto"/>
        <w:ind w:firstLine="198" w:firstLineChars="71"/>
        <w:rPr>
          <w:color w:val="auto"/>
          <w:sz w:val="28"/>
          <w:highlight w:val="none"/>
        </w:rPr>
      </w:pPr>
    </w:p>
    <w:p>
      <w:pPr>
        <w:spacing w:line="360" w:lineRule="auto"/>
        <w:ind w:firstLine="560"/>
        <w:jc w:val="center"/>
        <w:rPr>
          <w:color w:val="auto"/>
          <w:sz w:val="28"/>
          <w:highlight w:val="none"/>
        </w:rPr>
      </w:pPr>
    </w:p>
    <w:p>
      <w:pPr>
        <w:spacing w:line="360" w:lineRule="auto"/>
        <w:ind w:firstLine="560"/>
        <w:jc w:val="center"/>
        <w:rPr>
          <w:color w:val="auto"/>
          <w:sz w:val="28"/>
          <w:highlight w:val="none"/>
        </w:rPr>
      </w:pPr>
    </w:p>
    <w:p>
      <w:pPr>
        <w:spacing w:line="360" w:lineRule="auto"/>
        <w:jc w:val="left"/>
        <w:rPr>
          <w:b/>
          <w:color w:val="auto"/>
          <w:sz w:val="36"/>
          <w:highlight w:val="none"/>
          <w:lang w:eastAsia="zh-CN"/>
        </w:rPr>
      </w:pPr>
    </w:p>
    <w:p>
      <w:pPr>
        <w:spacing w:line="360" w:lineRule="auto"/>
        <w:ind w:left="2168" w:hanging="2168" w:hangingChars="600"/>
        <w:jc w:val="left"/>
        <w:outlineLvl w:val="0"/>
        <w:rPr>
          <w:rFonts w:ascii="宋体" w:hAnsi="宋体" w:cs="宋体"/>
          <w:b/>
          <w:bCs/>
          <w:color w:val="auto"/>
          <w:sz w:val="36"/>
          <w:szCs w:val="36"/>
          <w:highlight w:val="none"/>
          <w:u w:val="single"/>
          <w:lang w:eastAsia="zh-CN"/>
        </w:rPr>
      </w:pPr>
      <w:r>
        <w:rPr>
          <w:b/>
          <w:color w:val="auto"/>
          <w:sz w:val="36"/>
          <w:highlight w:val="none"/>
          <w:lang w:eastAsia="zh-CN"/>
        </w:rPr>
        <w:t>项目名称</w:t>
      </w:r>
      <w:r>
        <w:rPr>
          <w:rFonts w:hint="eastAsia"/>
          <w:b/>
          <w:color w:val="auto"/>
          <w:sz w:val="36"/>
          <w:highlight w:val="none"/>
          <w:lang w:eastAsia="zh-CN"/>
        </w:rPr>
        <w:t>：</w:t>
      </w:r>
      <w:r>
        <w:rPr>
          <w:b/>
          <w:color w:val="auto"/>
          <w:sz w:val="36"/>
          <w:highlight w:val="none"/>
          <w:lang w:eastAsia="zh-CN"/>
        </w:rPr>
        <w:tab/>
      </w:r>
      <w:r>
        <w:rPr>
          <w:rFonts w:hint="eastAsia"/>
          <w:b/>
          <w:color w:val="auto"/>
          <w:sz w:val="36"/>
          <w:highlight w:val="none"/>
          <w:u w:val="single"/>
          <w:lang w:eastAsia="zh-CN"/>
        </w:rPr>
        <w:t>国家能源集团贞观山灰场光伏电站项目</w:t>
      </w:r>
    </w:p>
    <w:p>
      <w:pPr>
        <w:spacing w:line="360" w:lineRule="auto"/>
        <w:ind w:left="4727" w:hanging="4727" w:hangingChars="1308"/>
        <w:rPr>
          <w:b/>
          <w:color w:val="auto"/>
          <w:sz w:val="36"/>
          <w:highlight w:val="none"/>
          <w:lang w:eastAsia="zh-CN"/>
        </w:rPr>
      </w:pPr>
    </w:p>
    <w:p>
      <w:pPr>
        <w:spacing w:line="360" w:lineRule="auto"/>
        <w:outlineLvl w:val="0"/>
        <w:rPr>
          <w:b/>
          <w:color w:val="auto"/>
          <w:sz w:val="36"/>
          <w:highlight w:val="none"/>
          <w:u w:val="thick"/>
          <w:lang w:eastAsia="zh-CN"/>
        </w:rPr>
      </w:pPr>
      <w:r>
        <w:rPr>
          <w:b/>
          <w:color w:val="auto"/>
          <w:sz w:val="36"/>
          <w:highlight w:val="none"/>
          <w:lang w:eastAsia="zh-CN"/>
        </w:rPr>
        <w:t>建设单位（盖章）：</w:t>
      </w:r>
      <w:r>
        <w:rPr>
          <w:rFonts w:hint="eastAsia"/>
          <w:b/>
          <w:bCs/>
          <w:color w:val="auto"/>
          <w:sz w:val="36"/>
          <w:szCs w:val="36"/>
          <w:highlight w:val="none"/>
          <w:u w:val="single"/>
          <w:lang w:eastAsia="zh-CN"/>
        </w:rPr>
        <w:t>国家能源集团谏壁发电厂</w:t>
      </w:r>
    </w:p>
    <w:p>
      <w:pPr>
        <w:spacing w:line="360" w:lineRule="auto"/>
        <w:ind w:firstLine="199" w:firstLineChars="55"/>
        <w:rPr>
          <w:b/>
          <w:color w:val="auto"/>
          <w:sz w:val="36"/>
          <w:highlight w:val="none"/>
          <w:u w:val="single"/>
        </w:rPr>
      </w:pPr>
    </w:p>
    <w:p>
      <w:pPr>
        <w:spacing w:line="360" w:lineRule="auto"/>
        <w:ind w:firstLine="723"/>
        <w:rPr>
          <w:b/>
          <w:color w:val="auto"/>
          <w:sz w:val="36"/>
          <w:highlight w:val="none"/>
          <w:u w:val="single"/>
        </w:rPr>
      </w:pPr>
    </w:p>
    <w:p>
      <w:pPr>
        <w:spacing w:line="360" w:lineRule="auto"/>
        <w:ind w:firstLine="723"/>
        <w:rPr>
          <w:b/>
          <w:color w:val="auto"/>
          <w:sz w:val="36"/>
          <w:highlight w:val="none"/>
          <w:u w:val="single"/>
          <w:lang w:eastAsia="zh-CN"/>
        </w:rPr>
      </w:pPr>
    </w:p>
    <w:p>
      <w:pPr>
        <w:spacing w:line="360" w:lineRule="auto"/>
        <w:ind w:firstLine="723"/>
        <w:rPr>
          <w:b/>
          <w:color w:val="auto"/>
          <w:sz w:val="36"/>
          <w:highlight w:val="none"/>
          <w:u w:val="single"/>
          <w:lang w:eastAsia="zh-CN"/>
        </w:rPr>
      </w:pPr>
    </w:p>
    <w:p>
      <w:pPr>
        <w:spacing w:line="360" w:lineRule="auto"/>
        <w:ind w:firstLine="723"/>
        <w:rPr>
          <w:b/>
          <w:color w:val="auto"/>
          <w:sz w:val="36"/>
          <w:highlight w:val="none"/>
          <w:u w:val="single"/>
          <w:lang w:eastAsia="zh-CN"/>
        </w:rPr>
      </w:pPr>
    </w:p>
    <w:p>
      <w:pPr>
        <w:spacing w:line="360" w:lineRule="auto"/>
        <w:ind w:firstLine="723"/>
        <w:rPr>
          <w:b/>
          <w:color w:val="auto"/>
          <w:sz w:val="36"/>
          <w:highlight w:val="none"/>
          <w:u w:val="single"/>
          <w:lang w:eastAsia="zh-CN"/>
        </w:rPr>
      </w:pPr>
    </w:p>
    <w:p>
      <w:pPr>
        <w:spacing w:line="360" w:lineRule="auto"/>
        <w:jc w:val="center"/>
        <w:outlineLvl w:val="0"/>
        <w:rPr>
          <w:b/>
          <w:color w:val="auto"/>
          <w:sz w:val="36"/>
          <w:highlight w:val="none"/>
        </w:rPr>
      </w:pPr>
      <w:r>
        <w:rPr>
          <w:b/>
          <w:color w:val="auto"/>
          <w:sz w:val="36"/>
          <w:highlight w:val="none"/>
        </w:rPr>
        <w:t>编制日期：</w:t>
      </w:r>
      <w:r>
        <w:rPr>
          <w:rFonts w:hint="eastAsia"/>
          <w:b/>
          <w:color w:val="auto"/>
          <w:sz w:val="36"/>
          <w:highlight w:val="none"/>
          <w:lang w:val="en-US" w:eastAsia="zh-CN"/>
        </w:rPr>
        <w:t>2020</w:t>
      </w:r>
      <w:r>
        <w:rPr>
          <w:b/>
          <w:color w:val="auto"/>
          <w:sz w:val="36"/>
          <w:highlight w:val="none"/>
        </w:rPr>
        <w:t>年</w:t>
      </w:r>
      <w:r>
        <w:rPr>
          <w:rFonts w:hint="eastAsia"/>
          <w:b/>
          <w:color w:val="auto"/>
          <w:sz w:val="36"/>
          <w:highlight w:val="none"/>
          <w:lang w:val="en-US" w:eastAsia="zh-CN"/>
        </w:rPr>
        <w:t>10</w:t>
      </w:r>
      <w:r>
        <w:rPr>
          <w:b/>
          <w:color w:val="auto"/>
          <w:sz w:val="36"/>
          <w:highlight w:val="none"/>
          <w:lang w:eastAsia="zh-CN"/>
        </w:rPr>
        <w:t>月</w:t>
      </w:r>
    </w:p>
    <w:p>
      <w:pPr>
        <w:spacing w:line="360" w:lineRule="auto"/>
        <w:jc w:val="center"/>
        <w:outlineLvl w:val="0"/>
        <w:rPr>
          <w:b/>
          <w:color w:val="auto"/>
          <w:sz w:val="36"/>
          <w:highlight w:val="none"/>
        </w:rPr>
      </w:pPr>
      <w:r>
        <w:rPr>
          <w:rFonts w:hint="eastAsia"/>
          <w:b/>
          <w:color w:val="auto"/>
          <w:sz w:val="36"/>
          <w:highlight w:val="none"/>
        </w:rPr>
        <w:t>江苏省环境保护厅制</w:t>
      </w:r>
    </w:p>
    <w:p>
      <w:pPr>
        <w:spacing w:line="480" w:lineRule="auto"/>
        <w:rPr>
          <w:color w:val="auto"/>
          <w:sz w:val="32"/>
          <w:highlight w:val="none"/>
          <w:lang w:eastAsia="zh-CN"/>
        </w:rPr>
      </w:pPr>
    </w:p>
    <w:p>
      <w:pPr>
        <w:spacing w:line="480" w:lineRule="auto"/>
        <w:ind w:left="-210" w:firstLine="210"/>
        <w:jc w:val="center"/>
        <w:rPr>
          <w:color w:val="auto"/>
          <w:sz w:val="32"/>
          <w:highlight w:val="none"/>
          <w:lang w:eastAsia="zh-CN"/>
        </w:rPr>
      </w:pPr>
    </w:p>
    <w:p>
      <w:pPr>
        <w:spacing w:line="480" w:lineRule="auto"/>
        <w:ind w:left="-210" w:firstLine="210"/>
        <w:jc w:val="center"/>
        <w:rPr>
          <w:color w:val="auto"/>
          <w:sz w:val="32"/>
          <w:highlight w:val="none"/>
          <w:lang w:eastAsia="zh-CN"/>
        </w:rPr>
      </w:pPr>
    </w:p>
    <w:p>
      <w:pPr>
        <w:spacing w:line="480" w:lineRule="auto"/>
        <w:ind w:left="-210" w:firstLine="210"/>
        <w:jc w:val="center"/>
        <w:outlineLvl w:val="1"/>
        <w:rPr>
          <w:color w:val="auto"/>
          <w:sz w:val="32"/>
          <w:highlight w:val="none"/>
          <w:lang w:eastAsia="zh-CN"/>
        </w:rPr>
      </w:pPr>
      <w:r>
        <w:rPr>
          <w:color w:val="auto"/>
          <w:sz w:val="32"/>
          <w:highlight w:val="none"/>
        </w:rPr>
        <w:t>《建设项目环境影响报告表》编制说明</w:t>
      </w:r>
    </w:p>
    <w:p>
      <w:pPr>
        <w:spacing w:line="640" w:lineRule="exact"/>
        <w:ind w:left="-210" w:leftChars="-100" w:firstLine="560" w:firstLineChars="200"/>
        <w:rPr>
          <w:color w:val="auto"/>
          <w:sz w:val="28"/>
          <w:highlight w:val="none"/>
        </w:rPr>
      </w:pPr>
      <w:r>
        <w:rPr>
          <w:color w:val="auto"/>
          <w:sz w:val="28"/>
          <w:highlight w:val="none"/>
        </w:rPr>
        <w:t>《建设项目环境影响报告表》由具有从事环境影响评价的工作资质的单位编制。</w:t>
      </w:r>
    </w:p>
    <w:p>
      <w:pPr>
        <w:spacing w:line="640" w:lineRule="exact"/>
        <w:ind w:left="-210" w:firstLine="210"/>
        <w:rPr>
          <w:color w:val="auto"/>
          <w:sz w:val="28"/>
          <w:highlight w:val="none"/>
        </w:rPr>
      </w:pPr>
      <w:r>
        <w:rPr>
          <w:color w:val="auto"/>
          <w:sz w:val="28"/>
          <w:highlight w:val="none"/>
        </w:rPr>
        <w:t xml:space="preserve">  1.项目名称——指项目立项批复时的名称，应不超过30个字（两个英文字段作一个汉字）。</w:t>
      </w:r>
    </w:p>
    <w:p>
      <w:pPr>
        <w:spacing w:line="640" w:lineRule="exact"/>
        <w:ind w:left="-210" w:firstLine="210"/>
        <w:rPr>
          <w:color w:val="auto"/>
          <w:sz w:val="28"/>
          <w:highlight w:val="none"/>
        </w:rPr>
      </w:pPr>
      <w:r>
        <w:rPr>
          <w:color w:val="auto"/>
          <w:sz w:val="28"/>
          <w:highlight w:val="none"/>
        </w:rPr>
        <w:t xml:space="preserve">  2.建设地点——指项目所在地详细地址，公路</w:t>
      </w:r>
      <w:r>
        <w:rPr>
          <w:rFonts w:hint="eastAsia"/>
          <w:color w:val="auto"/>
          <w:sz w:val="28"/>
          <w:highlight w:val="none"/>
        </w:rPr>
        <w:t>、</w:t>
      </w:r>
      <w:r>
        <w:rPr>
          <w:color w:val="auto"/>
          <w:sz w:val="28"/>
          <w:highlight w:val="none"/>
        </w:rPr>
        <w:t>铁路应填写起止地点。</w:t>
      </w:r>
    </w:p>
    <w:p>
      <w:pPr>
        <w:spacing w:line="640" w:lineRule="exact"/>
        <w:ind w:left="-210" w:firstLine="210"/>
        <w:rPr>
          <w:color w:val="auto"/>
          <w:sz w:val="28"/>
          <w:highlight w:val="none"/>
        </w:rPr>
      </w:pPr>
      <w:r>
        <w:rPr>
          <w:color w:val="auto"/>
          <w:sz w:val="28"/>
          <w:highlight w:val="none"/>
        </w:rPr>
        <w:t xml:space="preserve">  3.行业类别——按国标填写。</w:t>
      </w:r>
    </w:p>
    <w:p>
      <w:pPr>
        <w:spacing w:line="640" w:lineRule="exact"/>
        <w:ind w:left="-210" w:firstLine="210"/>
        <w:rPr>
          <w:color w:val="auto"/>
          <w:sz w:val="28"/>
          <w:highlight w:val="none"/>
        </w:rPr>
      </w:pPr>
      <w:r>
        <w:rPr>
          <w:color w:val="auto"/>
          <w:sz w:val="28"/>
          <w:highlight w:val="none"/>
        </w:rPr>
        <w:t xml:space="preserve">  4.总投资——指项目投资总额。</w:t>
      </w:r>
    </w:p>
    <w:p>
      <w:pPr>
        <w:spacing w:line="640" w:lineRule="exact"/>
        <w:ind w:left="-210" w:firstLine="210"/>
        <w:rPr>
          <w:color w:val="auto"/>
          <w:sz w:val="28"/>
          <w:highlight w:val="none"/>
        </w:rPr>
      </w:pPr>
      <w:r>
        <w:rPr>
          <w:color w:val="auto"/>
          <w:sz w:val="28"/>
          <w:highlight w:val="none"/>
        </w:rPr>
        <w:t xml:space="preserve">  5.主要环境保护目标——指项目区周围一定范围内集中居民住宅区、学校、医院、保护文物、风景名胜区、水源地和生态敏感点等，应尽可能给出保护目标、性质、规模和距边界距离等。</w:t>
      </w:r>
    </w:p>
    <w:p>
      <w:pPr>
        <w:spacing w:line="640" w:lineRule="exact"/>
        <w:ind w:left="-210" w:firstLine="210"/>
        <w:rPr>
          <w:color w:val="auto"/>
          <w:sz w:val="28"/>
          <w:highlight w:val="none"/>
        </w:rPr>
      </w:pPr>
      <w:r>
        <w:rPr>
          <w:color w:val="auto"/>
          <w:sz w:val="28"/>
          <w:highlight w:val="none"/>
        </w:rPr>
        <w:t xml:space="preserve">  6.结论和建议——给出本项目清洁生产、达标排放和总量控制分析结论，确定污染防治措施的有效性，说明本项目对环境造成的影响，给出建设项目环境可行性的明确结论。同时提出减少环境影响的其他建议。</w:t>
      </w:r>
    </w:p>
    <w:p>
      <w:pPr>
        <w:spacing w:line="640" w:lineRule="exact"/>
        <w:ind w:left="-210" w:firstLine="210"/>
        <w:rPr>
          <w:color w:val="auto"/>
          <w:sz w:val="28"/>
          <w:highlight w:val="none"/>
        </w:rPr>
      </w:pPr>
      <w:r>
        <w:rPr>
          <w:color w:val="auto"/>
          <w:sz w:val="28"/>
          <w:highlight w:val="none"/>
        </w:rPr>
        <w:t xml:space="preserve">  7.预审意见——由行业主管部门填写答复意见，无主管部门项目，可不填。</w:t>
      </w:r>
    </w:p>
    <w:p>
      <w:pPr>
        <w:spacing w:line="640" w:lineRule="exact"/>
        <w:ind w:left="-210" w:firstLine="210"/>
        <w:rPr>
          <w:color w:val="auto"/>
          <w:sz w:val="28"/>
          <w:highlight w:val="none"/>
        </w:rPr>
      </w:pPr>
      <w:r>
        <w:rPr>
          <w:color w:val="auto"/>
          <w:sz w:val="28"/>
          <w:highlight w:val="none"/>
        </w:rPr>
        <w:t xml:space="preserve">  8.审批意见——由负责审批本项目的环境保护行政主管部门批复。</w:t>
      </w:r>
    </w:p>
    <w:p>
      <w:pPr>
        <w:pStyle w:val="15"/>
        <w:rPr>
          <w:color w:val="auto"/>
          <w:sz w:val="28"/>
          <w:highlight w:val="none"/>
        </w:rPr>
      </w:pPr>
    </w:p>
    <w:p>
      <w:pPr>
        <w:pStyle w:val="15"/>
        <w:rPr>
          <w:color w:val="auto"/>
          <w:sz w:val="28"/>
          <w:highlight w:val="none"/>
        </w:rPr>
        <w:sectPr>
          <w:headerReference r:id="rId3" w:type="default"/>
          <w:footerReference r:id="rId4" w:type="default"/>
          <w:pgSz w:w="11906" w:h="16838"/>
          <w:pgMar w:top="1440" w:right="1644" w:bottom="1440" w:left="1758" w:header="851" w:footer="992" w:gutter="0"/>
          <w:pgBorders>
            <w:top w:val="none" w:sz="0" w:space="0"/>
            <w:left w:val="none" w:sz="0" w:space="0"/>
            <w:bottom w:val="none" w:sz="0" w:space="0"/>
            <w:right w:val="none" w:sz="0" w:space="0"/>
          </w:pgBorders>
          <w:pgNumType w:fmt="upperRoman"/>
          <w:cols w:space="720" w:num="1"/>
          <w:docGrid w:type="lines" w:linePitch="312" w:charSpace="0"/>
        </w:sectPr>
      </w:pPr>
    </w:p>
    <w:p>
      <w:pPr>
        <w:pStyle w:val="167"/>
        <w:numPr>
          <w:ilvl w:val="0"/>
          <w:numId w:val="0"/>
        </w:numPr>
        <w:ind w:leftChars="0"/>
        <w:jc w:val="center"/>
        <w:outlineLvl w:val="0"/>
        <w:rPr>
          <w:color w:val="auto"/>
          <w:sz w:val="36"/>
          <w:szCs w:val="36"/>
        </w:rPr>
      </w:pPr>
      <w:r>
        <w:rPr>
          <w:color w:val="auto"/>
          <w:sz w:val="36"/>
          <w:szCs w:val="36"/>
          <w:lang w:val="zh-CN"/>
        </w:rPr>
        <w:t>目录</w:t>
      </w:r>
    </w:p>
    <w:p>
      <w:pPr>
        <w:pStyle w:val="21"/>
        <w:tabs>
          <w:tab w:val="right" w:leader="dot" w:pos="8504"/>
        </w:tabs>
        <w:rPr>
          <w:color w:val="auto"/>
          <w:sz w:val="28"/>
          <w:szCs w:val="28"/>
        </w:rPr>
      </w:pPr>
      <w:r>
        <w:rPr>
          <w:color w:val="auto"/>
          <w:sz w:val="28"/>
          <w:szCs w:val="28"/>
        </w:rPr>
        <w:fldChar w:fldCharType="begin"/>
      </w:r>
      <w:r>
        <w:rPr>
          <w:color w:val="auto"/>
          <w:sz w:val="28"/>
          <w:szCs w:val="28"/>
        </w:rPr>
        <w:instrText xml:space="preserve"> TOC \o "1-3" \h \z \u </w:instrText>
      </w:r>
      <w:r>
        <w:rPr>
          <w:color w:val="auto"/>
          <w:sz w:val="28"/>
          <w:szCs w:val="28"/>
        </w:rPr>
        <w:fldChar w:fldCharType="separate"/>
      </w:r>
      <w:r>
        <w:rPr>
          <w:color w:val="auto"/>
          <w:sz w:val="28"/>
          <w:szCs w:val="28"/>
        </w:rPr>
        <w:fldChar w:fldCharType="begin"/>
      </w:r>
      <w:r>
        <w:rPr>
          <w:color w:val="auto"/>
          <w:sz w:val="28"/>
          <w:szCs w:val="28"/>
        </w:rPr>
        <w:instrText xml:space="preserve"> HYPERLINK \l _Toc32695 </w:instrText>
      </w:r>
      <w:r>
        <w:rPr>
          <w:color w:val="auto"/>
          <w:sz w:val="28"/>
          <w:szCs w:val="28"/>
        </w:rPr>
        <w:fldChar w:fldCharType="separate"/>
      </w:r>
      <w:r>
        <w:rPr>
          <w:rFonts w:hint="eastAsia" w:ascii="Times New Roman" w:hAnsi="Times New Roman"/>
          <w:color w:val="auto"/>
          <w:sz w:val="28"/>
          <w:szCs w:val="28"/>
          <w:lang w:val="en-US" w:eastAsia="zh-CN"/>
        </w:rPr>
        <w:t>一、建设项目基本情况</w:t>
      </w:r>
      <w:r>
        <w:rPr>
          <w:color w:val="auto"/>
          <w:sz w:val="28"/>
          <w:szCs w:val="28"/>
        </w:rPr>
        <w:tab/>
      </w:r>
      <w:r>
        <w:rPr>
          <w:color w:val="auto"/>
          <w:sz w:val="28"/>
          <w:szCs w:val="28"/>
        </w:rPr>
        <w:fldChar w:fldCharType="begin"/>
      </w:r>
      <w:r>
        <w:rPr>
          <w:color w:val="auto"/>
          <w:sz w:val="28"/>
          <w:szCs w:val="28"/>
        </w:rPr>
        <w:instrText xml:space="preserve"> PAGEREF _Toc32695 \h </w:instrText>
      </w:r>
      <w:r>
        <w:rPr>
          <w:color w:val="auto"/>
          <w:sz w:val="28"/>
          <w:szCs w:val="28"/>
        </w:rPr>
        <w:fldChar w:fldCharType="separate"/>
      </w:r>
      <w:r>
        <w:rPr>
          <w:color w:val="auto"/>
          <w:sz w:val="28"/>
          <w:szCs w:val="28"/>
        </w:rPr>
        <w:t>1</w:t>
      </w:r>
      <w:r>
        <w:rPr>
          <w:color w:val="auto"/>
          <w:sz w:val="28"/>
          <w:szCs w:val="28"/>
        </w:rPr>
        <w:fldChar w:fldCharType="end"/>
      </w:r>
      <w:r>
        <w:rPr>
          <w:color w:val="auto"/>
          <w:sz w:val="28"/>
          <w:szCs w:val="28"/>
        </w:rPr>
        <w:fldChar w:fldCharType="end"/>
      </w:r>
    </w:p>
    <w:p>
      <w:pPr>
        <w:pStyle w:val="21"/>
        <w:tabs>
          <w:tab w:val="right" w:leader="dot" w:pos="8504"/>
        </w:tabs>
        <w:rPr>
          <w:color w:val="auto"/>
          <w:sz w:val="28"/>
          <w:szCs w:val="28"/>
        </w:rPr>
      </w:pPr>
      <w:r>
        <w:rPr>
          <w:bCs/>
          <w:color w:val="auto"/>
          <w:sz w:val="28"/>
          <w:szCs w:val="28"/>
          <w:lang w:val="zh-CN"/>
        </w:rPr>
        <w:fldChar w:fldCharType="begin"/>
      </w:r>
      <w:r>
        <w:rPr>
          <w:bCs/>
          <w:color w:val="auto"/>
          <w:sz w:val="28"/>
          <w:szCs w:val="28"/>
          <w:lang w:val="zh-CN"/>
        </w:rPr>
        <w:instrText xml:space="preserve"> HYPERLINK \l _Toc7133 </w:instrText>
      </w:r>
      <w:r>
        <w:rPr>
          <w:bCs/>
          <w:color w:val="auto"/>
          <w:sz w:val="28"/>
          <w:szCs w:val="28"/>
          <w:lang w:val="zh-CN"/>
        </w:rPr>
        <w:fldChar w:fldCharType="separate"/>
      </w:r>
      <w:r>
        <w:rPr>
          <w:rFonts w:hint="eastAsia"/>
          <w:color w:val="auto"/>
          <w:sz w:val="28"/>
          <w:szCs w:val="28"/>
          <w:lang w:val="en-US" w:eastAsia="zh-CN"/>
        </w:rPr>
        <w:t>二、建设项目所在地自然环境社会环境简况</w:t>
      </w:r>
      <w:r>
        <w:rPr>
          <w:color w:val="auto"/>
          <w:sz w:val="28"/>
          <w:szCs w:val="28"/>
        </w:rPr>
        <w:tab/>
      </w:r>
      <w:r>
        <w:rPr>
          <w:color w:val="auto"/>
          <w:sz w:val="28"/>
          <w:szCs w:val="28"/>
        </w:rPr>
        <w:fldChar w:fldCharType="begin"/>
      </w:r>
      <w:r>
        <w:rPr>
          <w:color w:val="auto"/>
          <w:sz w:val="28"/>
          <w:szCs w:val="28"/>
        </w:rPr>
        <w:instrText xml:space="preserve"> PAGEREF _Toc7133 \h </w:instrText>
      </w:r>
      <w:r>
        <w:rPr>
          <w:color w:val="auto"/>
          <w:sz w:val="28"/>
          <w:szCs w:val="28"/>
        </w:rPr>
        <w:fldChar w:fldCharType="separate"/>
      </w:r>
      <w:r>
        <w:rPr>
          <w:color w:val="auto"/>
          <w:sz w:val="28"/>
          <w:szCs w:val="28"/>
        </w:rPr>
        <w:t>16</w:t>
      </w:r>
      <w:r>
        <w:rPr>
          <w:color w:val="auto"/>
          <w:sz w:val="28"/>
          <w:szCs w:val="28"/>
        </w:rPr>
        <w:fldChar w:fldCharType="end"/>
      </w:r>
      <w:r>
        <w:rPr>
          <w:bCs/>
          <w:color w:val="auto"/>
          <w:sz w:val="28"/>
          <w:szCs w:val="28"/>
          <w:lang w:val="zh-CN"/>
        </w:rPr>
        <w:fldChar w:fldCharType="end"/>
      </w:r>
    </w:p>
    <w:p>
      <w:pPr>
        <w:pStyle w:val="21"/>
        <w:tabs>
          <w:tab w:val="right" w:leader="dot" w:pos="8504"/>
        </w:tabs>
        <w:rPr>
          <w:color w:val="auto"/>
          <w:sz w:val="28"/>
          <w:szCs w:val="28"/>
        </w:rPr>
      </w:pPr>
      <w:r>
        <w:rPr>
          <w:bCs/>
          <w:color w:val="auto"/>
          <w:sz w:val="28"/>
          <w:szCs w:val="28"/>
          <w:lang w:val="zh-CN"/>
        </w:rPr>
        <w:fldChar w:fldCharType="begin"/>
      </w:r>
      <w:r>
        <w:rPr>
          <w:bCs/>
          <w:color w:val="auto"/>
          <w:sz w:val="28"/>
          <w:szCs w:val="28"/>
          <w:lang w:val="zh-CN"/>
        </w:rPr>
        <w:instrText xml:space="preserve"> HYPERLINK \l _Toc508 </w:instrText>
      </w:r>
      <w:r>
        <w:rPr>
          <w:bCs/>
          <w:color w:val="auto"/>
          <w:sz w:val="28"/>
          <w:szCs w:val="28"/>
          <w:lang w:val="zh-CN"/>
        </w:rPr>
        <w:fldChar w:fldCharType="separate"/>
      </w:r>
      <w:r>
        <w:rPr>
          <w:rFonts w:hint="eastAsia"/>
          <w:color w:val="auto"/>
          <w:sz w:val="28"/>
          <w:szCs w:val="28"/>
          <w:lang w:val="en-US" w:eastAsia="zh-CN"/>
        </w:rPr>
        <w:t>三、环境质量状况</w:t>
      </w:r>
      <w:r>
        <w:rPr>
          <w:color w:val="auto"/>
          <w:sz w:val="28"/>
          <w:szCs w:val="28"/>
        </w:rPr>
        <w:tab/>
      </w:r>
      <w:r>
        <w:rPr>
          <w:color w:val="auto"/>
          <w:sz w:val="28"/>
          <w:szCs w:val="28"/>
        </w:rPr>
        <w:fldChar w:fldCharType="begin"/>
      </w:r>
      <w:r>
        <w:rPr>
          <w:color w:val="auto"/>
          <w:sz w:val="28"/>
          <w:szCs w:val="28"/>
        </w:rPr>
        <w:instrText xml:space="preserve"> PAGEREF _Toc508 \h </w:instrText>
      </w:r>
      <w:r>
        <w:rPr>
          <w:color w:val="auto"/>
          <w:sz w:val="28"/>
          <w:szCs w:val="28"/>
        </w:rPr>
        <w:fldChar w:fldCharType="separate"/>
      </w:r>
      <w:r>
        <w:rPr>
          <w:color w:val="auto"/>
          <w:sz w:val="28"/>
          <w:szCs w:val="28"/>
        </w:rPr>
        <w:t>20</w:t>
      </w:r>
      <w:r>
        <w:rPr>
          <w:color w:val="auto"/>
          <w:sz w:val="28"/>
          <w:szCs w:val="28"/>
        </w:rPr>
        <w:fldChar w:fldCharType="end"/>
      </w:r>
      <w:r>
        <w:rPr>
          <w:bCs/>
          <w:color w:val="auto"/>
          <w:sz w:val="28"/>
          <w:szCs w:val="28"/>
          <w:lang w:val="zh-CN"/>
        </w:rPr>
        <w:fldChar w:fldCharType="end"/>
      </w:r>
    </w:p>
    <w:p>
      <w:pPr>
        <w:pStyle w:val="21"/>
        <w:tabs>
          <w:tab w:val="right" w:leader="dot" w:pos="8504"/>
        </w:tabs>
        <w:rPr>
          <w:color w:val="auto"/>
          <w:sz w:val="28"/>
          <w:szCs w:val="28"/>
        </w:rPr>
      </w:pPr>
      <w:r>
        <w:rPr>
          <w:bCs/>
          <w:color w:val="auto"/>
          <w:sz w:val="28"/>
          <w:szCs w:val="28"/>
          <w:lang w:val="zh-CN"/>
        </w:rPr>
        <w:fldChar w:fldCharType="begin"/>
      </w:r>
      <w:r>
        <w:rPr>
          <w:bCs/>
          <w:color w:val="auto"/>
          <w:sz w:val="28"/>
          <w:szCs w:val="28"/>
          <w:lang w:val="zh-CN"/>
        </w:rPr>
        <w:instrText xml:space="preserve"> HYPERLINK \l _Toc11226 </w:instrText>
      </w:r>
      <w:r>
        <w:rPr>
          <w:bCs/>
          <w:color w:val="auto"/>
          <w:sz w:val="28"/>
          <w:szCs w:val="28"/>
          <w:lang w:val="zh-CN"/>
        </w:rPr>
        <w:fldChar w:fldCharType="separate"/>
      </w:r>
      <w:r>
        <w:rPr>
          <w:rFonts w:hint="eastAsia"/>
          <w:color w:val="auto"/>
          <w:sz w:val="28"/>
          <w:szCs w:val="28"/>
          <w:lang w:val="en-US" w:eastAsia="zh-CN"/>
        </w:rPr>
        <w:t>四、评价适用标准</w:t>
      </w:r>
      <w:r>
        <w:rPr>
          <w:color w:val="auto"/>
          <w:sz w:val="28"/>
          <w:szCs w:val="28"/>
        </w:rPr>
        <w:tab/>
      </w:r>
      <w:r>
        <w:rPr>
          <w:color w:val="auto"/>
          <w:sz w:val="28"/>
          <w:szCs w:val="28"/>
        </w:rPr>
        <w:fldChar w:fldCharType="begin"/>
      </w:r>
      <w:r>
        <w:rPr>
          <w:color w:val="auto"/>
          <w:sz w:val="28"/>
          <w:szCs w:val="28"/>
        </w:rPr>
        <w:instrText xml:space="preserve"> PAGEREF _Toc11226 \h </w:instrText>
      </w:r>
      <w:r>
        <w:rPr>
          <w:color w:val="auto"/>
          <w:sz w:val="28"/>
          <w:szCs w:val="28"/>
        </w:rPr>
        <w:fldChar w:fldCharType="separate"/>
      </w:r>
      <w:r>
        <w:rPr>
          <w:color w:val="auto"/>
          <w:sz w:val="28"/>
          <w:szCs w:val="28"/>
        </w:rPr>
        <w:t>22</w:t>
      </w:r>
      <w:r>
        <w:rPr>
          <w:color w:val="auto"/>
          <w:sz w:val="28"/>
          <w:szCs w:val="28"/>
        </w:rPr>
        <w:fldChar w:fldCharType="end"/>
      </w:r>
      <w:r>
        <w:rPr>
          <w:bCs/>
          <w:color w:val="auto"/>
          <w:sz w:val="28"/>
          <w:szCs w:val="28"/>
          <w:lang w:val="zh-CN"/>
        </w:rPr>
        <w:fldChar w:fldCharType="end"/>
      </w:r>
    </w:p>
    <w:p>
      <w:pPr>
        <w:pStyle w:val="21"/>
        <w:tabs>
          <w:tab w:val="right" w:leader="dot" w:pos="8504"/>
        </w:tabs>
        <w:rPr>
          <w:color w:val="auto"/>
          <w:sz w:val="28"/>
          <w:szCs w:val="28"/>
        </w:rPr>
      </w:pPr>
      <w:r>
        <w:rPr>
          <w:bCs/>
          <w:color w:val="auto"/>
          <w:sz w:val="28"/>
          <w:szCs w:val="28"/>
          <w:lang w:val="zh-CN"/>
        </w:rPr>
        <w:fldChar w:fldCharType="begin"/>
      </w:r>
      <w:r>
        <w:rPr>
          <w:bCs/>
          <w:color w:val="auto"/>
          <w:sz w:val="28"/>
          <w:szCs w:val="28"/>
          <w:lang w:val="zh-CN"/>
        </w:rPr>
        <w:instrText xml:space="preserve"> HYPERLINK \l _Toc13763 </w:instrText>
      </w:r>
      <w:r>
        <w:rPr>
          <w:bCs/>
          <w:color w:val="auto"/>
          <w:sz w:val="28"/>
          <w:szCs w:val="28"/>
          <w:lang w:val="zh-CN"/>
        </w:rPr>
        <w:fldChar w:fldCharType="separate"/>
      </w:r>
      <w:r>
        <w:rPr>
          <w:rFonts w:hint="eastAsia"/>
          <w:color w:val="auto"/>
          <w:sz w:val="28"/>
          <w:szCs w:val="28"/>
          <w:lang w:val="en-US" w:eastAsia="zh-CN"/>
        </w:rPr>
        <w:t>五、建设项目工程分析</w:t>
      </w:r>
      <w:r>
        <w:rPr>
          <w:color w:val="auto"/>
          <w:sz w:val="28"/>
          <w:szCs w:val="28"/>
        </w:rPr>
        <w:tab/>
      </w:r>
      <w:r>
        <w:rPr>
          <w:color w:val="auto"/>
          <w:sz w:val="28"/>
          <w:szCs w:val="28"/>
        </w:rPr>
        <w:fldChar w:fldCharType="begin"/>
      </w:r>
      <w:r>
        <w:rPr>
          <w:color w:val="auto"/>
          <w:sz w:val="28"/>
          <w:szCs w:val="28"/>
        </w:rPr>
        <w:instrText xml:space="preserve"> PAGEREF _Toc13763 \h </w:instrText>
      </w:r>
      <w:r>
        <w:rPr>
          <w:color w:val="auto"/>
          <w:sz w:val="28"/>
          <w:szCs w:val="28"/>
        </w:rPr>
        <w:fldChar w:fldCharType="separate"/>
      </w:r>
      <w:r>
        <w:rPr>
          <w:color w:val="auto"/>
          <w:sz w:val="28"/>
          <w:szCs w:val="28"/>
        </w:rPr>
        <w:t>24</w:t>
      </w:r>
      <w:r>
        <w:rPr>
          <w:color w:val="auto"/>
          <w:sz w:val="28"/>
          <w:szCs w:val="28"/>
        </w:rPr>
        <w:fldChar w:fldCharType="end"/>
      </w:r>
      <w:r>
        <w:rPr>
          <w:bCs/>
          <w:color w:val="auto"/>
          <w:sz w:val="28"/>
          <w:szCs w:val="28"/>
          <w:lang w:val="zh-CN"/>
        </w:rPr>
        <w:fldChar w:fldCharType="end"/>
      </w:r>
    </w:p>
    <w:p>
      <w:pPr>
        <w:pStyle w:val="21"/>
        <w:tabs>
          <w:tab w:val="right" w:leader="dot" w:pos="8504"/>
        </w:tabs>
        <w:rPr>
          <w:color w:val="auto"/>
          <w:sz w:val="28"/>
          <w:szCs w:val="28"/>
        </w:rPr>
      </w:pPr>
      <w:r>
        <w:rPr>
          <w:bCs/>
          <w:color w:val="auto"/>
          <w:sz w:val="28"/>
          <w:szCs w:val="28"/>
          <w:lang w:val="zh-CN"/>
        </w:rPr>
        <w:fldChar w:fldCharType="begin"/>
      </w:r>
      <w:r>
        <w:rPr>
          <w:bCs/>
          <w:color w:val="auto"/>
          <w:sz w:val="28"/>
          <w:szCs w:val="28"/>
          <w:lang w:val="zh-CN"/>
        </w:rPr>
        <w:instrText xml:space="preserve"> HYPERLINK \l _Toc18036 </w:instrText>
      </w:r>
      <w:r>
        <w:rPr>
          <w:bCs/>
          <w:color w:val="auto"/>
          <w:sz w:val="28"/>
          <w:szCs w:val="28"/>
          <w:lang w:val="zh-CN"/>
        </w:rPr>
        <w:fldChar w:fldCharType="separate"/>
      </w:r>
      <w:r>
        <w:rPr>
          <w:rFonts w:hint="eastAsia"/>
          <w:color w:val="auto"/>
          <w:sz w:val="28"/>
          <w:szCs w:val="28"/>
          <w:lang w:val="en-US" w:eastAsia="zh-CN"/>
        </w:rPr>
        <w:t>六、建设项目主要污染物产生及预计排放情况</w:t>
      </w:r>
      <w:r>
        <w:rPr>
          <w:color w:val="auto"/>
          <w:sz w:val="28"/>
          <w:szCs w:val="28"/>
        </w:rPr>
        <w:tab/>
      </w:r>
      <w:r>
        <w:rPr>
          <w:color w:val="auto"/>
          <w:sz w:val="28"/>
          <w:szCs w:val="28"/>
        </w:rPr>
        <w:fldChar w:fldCharType="begin"/>
      </w:r>
      <w:r>
        <w:rPr>
          <w:color w:val="auto"/>
          <w:sz w:val="28"/>
          <w:szCs w:val="28"/>
        </w:rPr>
        <w:instrText xml:space="preserve"> PAGEREF _Toc18036 \h </w:instrText>
      </w:r>
      <w:r>
        <w:rPr>
          <w:color w:val="auto"/>
          <w:sz w:val="28"/>
          <w:szCs w:val="28"/>
        </w:rPr>
        <w:fldChar w:fldCharType="separate"/>
      </w:r>
      <w:r>
        <w:rPr>
          <w:color w:val="auto"/>
          <w:sz w:val="28"/>
          <w:szCs w:val="28"/>
        </w:rPr>
        <w:t>29</w:t>
      </w:r>
      <w:r>
        <w:rPr>
          <w:color w:val="auto"/>
          <w:sz w:val="28"/>
          <w:szCs w:val="28"/>
        </w:rPr>
        <w:fldChar w:fldCharType="end"/>
      </w:r>
      <w:r>
        <w:rPr>
          <w:bCs/>
          <w:color w:val="auto"/>
          <w:sz w:val="28"/>
          <w:szCs w:val="28"/>
          <w:lang w:val="zh-CN"/>
        </w:rPr>
        <w:fldChar w:fldCharType="end"/>
      </w:r>
    </w:p>
    <w:p>
      <w:pPr>
        <w:pStyle w:val="21"/>
        <w:tabs>
          <w:tab w:val="right" w:leader="dot" w:pos="8504"/>
        </w:tabs>
        <w:rPr>
          <w:color w:val="auto"/>
          <w:sz w:val="28"/>
          <w:szCs w:val="28"/>
        </w:rPr>
      </w:pPr>
      <w:r>
        <w:rPr>
          <w:bCs/>
          <w:color w:val="auto"/>
          <w:sz w:val="28"/>
          <w:szCs w:val="28"/>
          <w:lang w:val="zh-CN"/>
        </w:rPr>
        <w:fldChar w:fldCharType="begin"/>
      </w:r>
      <w:r>
        <w:rPr>
          <w:bCs/>
          <w:color w:val="auto"/>
          <w:sz w:val="28"/>
          <w:szCs w:val="28"/>
          <w:lang w:val="zh-CN"/>
        </w:rPr>
        <w:instrText xml:space="preserve"> HYPERLINK \l _Toc957 </w:instrText>
      </w:r>
      <w:r>
        <w:rPr>
          <w:bCs/>
          <w:color w:val="auto"/>
          <w:sz w:val="28"/>
          <w:szCs w:val="28"/>
          <w:lang w:val="zh-CN"/>
        </w:rPr>
        <w:fldChar w:fldCharType="separate"/>
      </w:r>
      <w:r>
        <w:rPr>
          <w:rFonts w:hint="eastAsia"/>
          <w:color w:val="auto"/>
          <w:sz w:val="28"/>
          <w:szCs w:val="28"/>
          <w:lang w:val="en-US" w:eastAsia="zh-CN"/>
        </w:rPr>
        <w:t>七、环境影响分析</w:t>
      </w:r>
      <w:r>
        <w:rPr>
          <w:color w:val="auto"/>
          <w:sz w:val="28"/>
          <w:szCs w:val="28"/>
        </w:rPr>
        <w:tab/>
      </w:r>
      <w:r>
        <w:rPr>
          <w:color w:val="auto"/>
          <w:sz w:val="28"/>
          <w:szCs w:val="28"/>
        </w:rPr>
        <w:fldChar w:fldCharType="begin"/>
      </w:r>
      <w:r>
        <w:rPr>
          <w:color w:val="auto"/>
          <w:sz w:val="28"/>
          <w:szCs w:val="28"/>
        </w:rPr>
        <w:instrText xml:space="preserve"> PAGEREF _Toc957 \h </w:instrText>
      </w:r>
      <w:r>
        <w:rPr>
          <w:color w:val="auto"/>
          <w:sz w:val="28"/>
          <w:szCs w:val="28"/>
        </w:rPr>
        <w:fldChar w:fldCharType="separate"/>
      </w:r>
      <w:r>
        <w:rPr>
          <w:color w:val="auto"/>
          <w:sz w:val="28"/>
          <w:szCs w:val="28"/>
        </w:rPr>
        <w:t>31</w:t>
      </w:r>
      <w:r>
        <w:rPr>
          <w:color w:val="auto"/>
          <w:sz w:val="28"/>
          <w:szCs w:val="28"/>
        </w:rPr>
        <w:fldChar w:fldCharType="end"/>
      </w:r>
      <w:r>
        <w:rPr>
          <w:bCs/>
          <w:color w:val="auto"/>
          <w:sz w:val="28"/>
          <w:szCs w:val="28"/>
          <w:lang w:val="zh-CN"/>
        </w:rPr>
        <w:fldChar w:fldCharType="end"/>
      </w:r>
    </w:p>
    <w:p>
      <w:pPr>
        <w:pStyle w:val="21"/>
        <w:tabs>
          <w:tab w:val="right" w:leader="dot" w:pos="8504"/>
        </w:tabs>
        <w:rPr>
          <w:color w:val="auto"/>
          <w:sz w:val="28"/>
          <w:szCs w:val="28"/>
        </w:rPr>
      </w:pPr>
      <w:r>
        <w:rPr>
          <w:bCs/>
          <w:color w:val="auto"/>
          <w:sz w:val="28"/>
          <w:szCs w:val="28"/>
          <w:lang w:val="zh-CN"/>
        </w:rPr>
        <w:fldChar w:fldCharType="begin"/>
      </w:r>
      <w:r>
        <w:rPr>
          <w:bCs/>
          <w:color w:val="auto"/>
          <w:sz w:val="28"/>
          <w:szCs w:val="28"/>
          <w:lang w:val="zh-CN"/>
        </w:rPr>
        <w:instrText xml:space="preserve"> HYPERLINK \l _Toc22895 </w:instrText>
      </w:r>
      <w:r>
        <w:rPr>
          <w:bCs/>
          <w:color w:val="auto"/>
          <w:sz w:val="28"/>
          <w:szCs w:val="28"/>
          <w:lang w:val="zh-CN"/>
        </w:rPr>
        <w:fldChar w:fldCharType="separate"/>
      </w:r>
      <w:r>
        <w:rPr>
          <w:rFonts w:hint="eastAsia"/>
          <w:color w:val="auto"/>
          <w:sz w:val="28"/>
          <w:szCs w:val="28"/>
          <w:lang w:val="en-US" w:eastAsia="zh-CN"/>
        </w:rPr>
        <w:t>八、建设项目拟采取的防治措施及预期治理效果</w:t>
      </w:r>
      <w:r>
        <w:rPr>
          <w:color w:val="auto"/>
          <w:sz w:val="28"/>
          <w:szCs w:val="28"/>
        </w:rPr>
        <w:tab/>
      </w:r>
      <w:r>
        <w:rPr>
          <w:color w:val="auto"/>
          <w:sz w:val="28"/>
          <w:szCs w:val="28"/>
        </w:rPr>
        <w:fldChar w:fldCharType="begin"/>
      </w:r>
      <w:r>
        <w:rPr>
          <w:color w:val="auto"/>
          <w:sz w:val="28"/>
          <w:szCs w:val="28"/>
        </w:rPr>
        <w:instrText xml:space="preserve"> PAGEREF _Toc22895 \h </w:instrText>
      </w:r>
      <w:r>
        <w:rPr>
          <w:color w:val="auto"/>
          <w:sz w:val="28"/>
          <w:szCs w:val="28"/>
        </w:rPr>
        <w:fldChar w:fldCharType="separate"/>
      </w:r>
      <w:r>
        <w:rPr>
          <w:color w:val="auto"/>
          <w:sz w:val="28"/>
          <w:szCs w:val="28"/>
        </w:rPr>
        <w:t>40</w:t>
      </w:r>
      <w:r>
        <w:rPr>
          <w:color w:val="auto"/>
          <w:sz w:val="28"/>
          <w:szCs w:val="28"/>
        </w:rPr>
        <w:fldChar w:fldCharType="end"/>
      </w:r>
      <w:r>
        <w:rPr>
          <w:bCs/>
          <w:color w:val="auto"/>
          <w:sz w:val="28"/>
          <w:szCs w:val="28"/>
          <w:lang w:val="zh-CN"/>
        </w:rPr>
        <w:fldChar w:fldCharType="end"/>
      </w:r>
    </w:p>
    <w:p>
      <w:pPr>
        <w:pStyle w:val="21"/>
        <w:tabs>
          <w:tab w:val="right" w:leader="dot" w:pos="8504"/>
        </w:tabs>
        <w:rPr>
          <w:color w:val="auto"/>
        </w:rPr>
      </w:pPr>
      <w:r>
        <w:rPr>
          <w:bCs/>
          <w:color w:val="auto"/>
          <w:sz w:val="28"/>
          <w:szCs w:val="28"/>
          <w:lang w:val="zh-CN"/>
        </w:rPr>
        <w:fldChar w:fldCharType="begin"/>
      </w:r>
      <w:r>
        <w:rPr>
          <w:bCs/>
          <w:color w:val="auto"/>
          <w:sz w:val="28"/>
          <w:szCs w:val="28"/>
          <w:lang w:val="zh-CN"/>
        </w:rPr>
        <w:instrText xml:space="preserve"> HYPERLINK \l _Toc11810 </w:instrText>
      </w:r>
      <w:r>
        <w:rPr>
          <w:bCs/>
          <w:color w:val="auto"/>
          <w:sz w:val="28"/>
          <w:szCs w:val="28"/>
          <w:lang w:val="zh-CN"/>
        </w:rPr>
        <w:fldChar w:fldCharType="separate"/>
      </w:r>
      <w:r>
        <w:rPr>
          <w:rFonts w:hint="eastAsia"/>
          <w:color w:val="auto"/>
          <w:sz w:val="28"/>
          <w:szCs w:val="28"/>
          <w:lang w:val="en-US" w:eastAsia="zh-CN"/>
        </w:rPr>
        <w:t>九、结论与建议</w:t>
      </w:r>
      <w:r>
        <w:rPr>
          <w:color w:val="auto"/>
          <w:sz w:val="28"/>
          <w:szCs w:val="28"/>
        </w:rPr>
        <w:tab/>
      </w:r>
      <w:r>
        <w:rPr>
          <w:color w:val="auto"/>
          <w:sz w:val="28"/>
          <w:szCs w:val="28"/>
        </w:rPr>
        <w:fldChar w:fldCharType="begin"/>
      </w:r>
      <w:r>
        <w:rPr>
          <w:color w:val="auto"/>
          <w:sz w:val="28"/>
          <w:szCs w:val="28"/>
        </w:rPr>
        <w:instrText xml:space="preserve"> PAGEREF _Toc11810 \h </w:instrText>
      </w:r>
      <w:r>
        <w:rPr>
          <w:color w:val="auto"/>
          <w:sz w:val="28"/>
          <w:szCs w:val="28"/>
        </w:rPr>
        <w:fldChar w:fldCharType="separate"/>
      </w:r>
      <w:r>
        <w:rPr>
          <w:color w:val="auto"/>
          <w:sz w:val="28"/>
          <w:szCs w:val="28"/>
        </w:rPr>
        <w:t>41</w:t>
      </w:r>
      <w:r>
        <w:rPr>
          <w:color w:val="auto"/>
          <w:sz w:val="28"/>
          <w:szCs w:val="28"/>
        </w:rPr>
        <w:fldChar w:fldCharType="end"/>
      </w:r>
      <w:r>
        <w:rPr>
          <w:bCs/>
          <w:color w:val="auto"/>
          <w:sz w:val="28"/>
          <w:szCs w:val="28"/>
          <w:lang w:val="zh-CN"/>
        </w:rPr>
        <w:fldChar w:fldCharType="end"/>
      </w:r>
    </w:p>
    <w:p>
      <w:pPr>
        <w:spacing w:line="360" w:lineRule="auto"/>
        <w:rPr>
          <w:bCs/>
          <w:color w:val="auto"/>
          <w:szCs w:val="28"/>
          <w:lang w:val="zh-CN"/>
        </w:rPr>
      </w:pPr>
      <w:r>
        <w:rPr>
          <w:bCs/>
          <w:color w:val="auto"/>
          <w:szCs w:val="28"/>
          <w:lang w:val="zh-CN"/>
        </w:rPr>
        <w:fldChar w:fldCharType="end"/>
      </w:r>
    </w:p>
    <w:p>
      <w:pPr>
        <w:spacing w:line="360" w:lineRule="auto"/>
        <w:rPr>
          <w:rFonts w:hint="eastAsia"/>
          <w:b/>
          <w:color w:val="auto"/>
          <w:sz w:val="21"/>
          <w:szCs w:val="21"/>
          <w:highlight w:val="none"/>
        </w:rPr>
        <w:sectPr>
          <w:footerReference r:id="rId5" w:type="default"/>
          <w:pgSz w:w="11906" w:h="16838"/>
          <w:pgMar w:top="1440" w:right="1644" w:bottom="1440" w:left="1758" w:header="851" w:footer="992" w:gutter="0"/>
          <w:pgBorders>
            <w:top w:val="none" w:sz="0" w:space="0"/>
            <w:left w:val="none" w:sz="0" w:space="0"/>
            <w:bottom w:val="none" w:sz="0" w:space="0"/>
            <w:right w:val="none" w:sz="0" w:space="0"/>
          </w:pgBorders>
          <w:pgNumType w:fmt="upperRoman" w:start="1"/>
          <w:cols w:space="720" w:num="1"/>
          <w:docGrid w:type="lines" w:linePitch="312" w:charSpace="0"/>
        </w:sectPr>
      </w:pPr>
    </w:p>
    <w:p>
      <w:pPr>
        <w:pStyle w:val="2"/>
        <w:rPr>
          <w:rFonts w:hint="eastAsia"/>
          <w:color w:val="auto"/>
        </w:rPr>
      </w:pPr>
    </w:p>
    <w:p>
      <w:pPr>
        <w:spacing w:line="360" w:lineRule="auto"/>
        <w:rPr>
          <w:rFonts w:hint="eastAsia"/>
          <w:b/>
          <w:color w:val="auto"/>
          <w:sz w:val="21"/>
          <w:szCs w:val="21"/>
          <w:highlight w:val="none"/>
        </w:rPr>
      </w:pPr>
      <w:r>
        <w:rPr>
          <w:rFonts w:hint="eastAsia"/>
          <w:b/>
          <w:color w:val="auto"/>
          <w:sz w:val="21"/>
          <w:szCs w:val="21"/>
          <w:highlight w:val="none"/>
        </w:rPr>
        <w:t>附图</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0"/>
        <w:rPr>
          <w:rFonts w:hint="eastAsia"/>
          <w:color w:val="auto"/>
          <w:sz w:val="21"/>
          <w:szCs w:val="21"/>
          <w:highlight w:val="none"/>
        </w:rPr>
      </w:pPr>
      <w:r>
        <w:rPr>
          <w:rFonts w:hint="eastAsia"/>
          <w:color w:val="auto"/>
          <w:sz w:val="21"/>
          <w:szCs w:val="21"/>
          <w:highlight w:val="none"/>
        </w:rPr>
        <w:t>附图1 本工程地理位置图</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0"/>
        <w:rPr>
          <w:rFonts w:hint="eastAsia"/>
          <w:color w:val="auto"/>
          <w:sz w:val="21"/>
          <w:szCs w:val="21"/>
          <w:highlight w:val="none"/>
        </w:rPr>
      </w:pPr>
      <w:r>
        <w:rPr>
          <w:rFonts w:hint="eastAsia"/>
          <w:color w:val="auto"/>
          <w:sz w:val="21"/>
          <w:szCs w:val="21"/>
          <w:highlight w:val="none"/>
        </w:rPr>
        <w:t xml:space="preserve">附图2 </w:t>
      </w:r>
      <w:r>
        <w:rPr>
          <w:rFonts w:hint="eastAsia"/>
          <w:color w:val="auto"/>
          <w:sz w:val="21"/>
          <w:szCs w:val="21"/>
          <w:highlight w:val="none"/>
          <w:lang w:val="en-US" w:eastAsia="zh-CN"/>
        </w:rPr>
        <w:t>周边情况图</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0"/>
        <w:rPr>
          <w:rFonts w:hint="eastAsia"/>
          <w:color w:val="auto"/>
          <w:sz w:val="21"/>
          <w:szCs w:val="21"/>
          <w:highlight w:val="none"/>
        </w:rPr>
      </w:pPr>
      <w:r>
        <w:rPr>
          <w:rFonts w:hint="eastAsia"/>
          <w:color w:val="auto"/>
          <w:sz w:val="21"/>
          <w:szCs w:val="21"/>
          <w:highlight w:val="none"/>
        </w:rPr>
        <w:t>附图3</w:t>
      </w:r>
      <w:r>
        <w:rPr>
          <w:color w:val="auto"/>
          <w:sz w:val="21"/>
          <w:szCs w:val="21"/>
          <w:highlight w:val="none"/>
        </w:rPr>
        <w:t xml:space="preserve"> </w:t>
      </w:r>
      <w:r>
        <w:rPr>
          <w:rFonts w:hint="eastAsia"/>
          <w:color w:val="auto"/>
          <w:sz w:val="21"/>
          <w:szCs w:val="21"/>
          <w:highlight w:val="none"/>
        </w:rPr>
        <w:t>本工程光伏区总平面布置图</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0"/>
        <w:rPr>
          <w:rFonts w:hint="eastAsia"/>
          <w:color w:val="auto"/>
          <w:sz w:val="21"/>
          <w:szCs w:val="21"/>
          <w:highlight w:val="none"/>
          <w:lang w:val="en-US" w:eastAsia="zh-CN"/>
        </w:rPr>
      </w:pPr>
      <w:r>
        <w:rPr>
          <w:rFonts w:hint="eastAsia"/>
          <w:color w:val="auto"/>
          <w:sz w:val="21"/>
          <w:szCs w:val="21"/>
          <w:highlight w:val="none"/>
          <w:lang w:val="en-US" w:eastAsia="zh-CN"/>
        </w:rPr>
        <w:t xml:space="preserve">附图4 </w:t>
      </w:r>
      <w:r>
        <w:rPr>
          <w:rFonts w:hint="eastAsia"/>
          <w:color w:val="auto"/>
          <w:sz w:val="21"/>
          <w:szCs w:val="21"/>
          <w:highlight w:val="none"/>
        </w:rPr>
        <w:t>本工程35kV开关站总平面布置图</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0"/>
        <w:rPr>
          <w:rFonts w:hint="eastAsia" w:ascii="Times New Roman" w:hAnsi="Times New Roman" w:cs="Times New Roman"/>
          <w:color w:val="0000FF"/>
          <w:sz w:val="21"/>
          <w:szCs w:val="21"/>
          <w:highlight w:val="none"/>
          <w:lang w:val="en-US" w:eastAsia="zh-CN"/>
        </w:rPr>
      </w:pPr>
      <w:r>
        <w:rPr>
          <w:rFonts w:hint="eastAsia" w:ascii="Times New Roman" w:hAnsi="Times New Roman" w:cs="Times New Roman"/>
          <w:color w:val="0000FF"/>
          <w:sz w:val="21"/>
          <w:szCs w:val="21"/>
          <w:highlight w:val="none"/>
          <w:lang w:val="en-US" w:eastAsia="zh-CN"/>
        </w:rPr>
        <w:t>附图5 生态红线区规划图</w:t>
      </w:r>
      <w:r>
        <w:rPr>
          <w:rFonts w:hint="eastAsia" w:cs="Times New Roman"/>
          <w:color w:val="0000FF"/>
          <w:sz w:val="21"/>
          <w:szCs w:val="21"/>
          <w:highlight w:val="none"/>
          <w:lang w:val="en-US" w:eastAsia="zh-CN"/>
        </w:rPr>
        <w:t>（原2013版）</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0"/>
        <w:rPr>
          <w:rFonts w:hint="default" w:ascii="Times New Roman" w:hAnsi="Times New Roman" w:cs="Times New Roman"/>
          <w:color w:val="0000FF"/>
          <w:sz w:val="21"/>
          <w:szCs w:val="21"/>
          <w:highlight w:val="none"/>
          <w:lang w:val="en-US" w:eastAsia="zh-CN"/>
        </w:rPr>
      </w:pPr>
      <w:r>
        <w:rPr>
          <w:rFonts w:hint="eastAsia" w:cs="Times New Roman"/>
          <w:color w:val="0000FF"/>
          <w:sz w:val="21"/>
          <w:szCs w:val="21"/>
          <w:highlight w:val="none"/>
          <w:lang w:val="en-US" w:eastAsia="zh-CN"/>
        </w:rPr>
        <w:t xml:space="preserve">附图6 </w:t>
      </w:r>
      <w:r>
        <w:rPr>
          <w:rFonts w:hint="eastAsia" w:ascii="Times New Roman" w:hAnsi="Times New Roman" w:cs="Times New Roman"/>
          <w:color w:val="0000FF"/>
          <w:sz w:val="21"/>
          <w:szCs w:val="21"/>
          <w:highlight w:val="none"/>
          <w:lang w:val="en-US" w:eastAsia="zh-CN"/>
        </w:rPr>
        <w:t>生态红线区规划图</w:t>
      </w:r>
      <w:r>
        <w:rPr>
          <w:rFonts w:hint="eastAsia" w:cs="Times New Roman"/>
          <w:color w:val="0000FF"/>
          <w:sz w:val="21"/>
          <w:szCs w:val="21"/>
          <w:highlight w:val="none"/>
          <w:lang w:val="en-US" w:eastAsia="zh-CN"/>
        </w:rPr>
        <w:t>（2020版）</w:t>
      </w:r>
    </w:p>
    <w:p>
      <w:pPr>
        <w:pStyle w:val="2"/>
        <w:rPr>
          <w:rFonts w:hint="default"/>
          <w:color w:val="auto"/>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0"/>
        <w:rPr>
          <w:rFonts w:hint="eastAsia"/>
          <w:b/>
          <w:color w:val="auto"/>
          <w:sz w:val="21"/>
          <w:szCs w:val="21"/>
          <w:highlight w:val="none"/>
        </w:rPr>
      </w:pPr>
      <w:r>
        <w:rPr>
          <w:rFonts w:hint="eastAsia"/>
          <w:b/>
          <w:color w:val="auto"/>
          <w:sz w:val="21"/>
          <w:szCs w:val="21"/>
          <w:highlight w:val="none"/>
        </w:rPr>
        <w:t>附件</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eastAsia="宋体"/>
          <w:color w:val="auto"/>
          <w:sz w:val="21"/>
          <w:szCs w:val="21"/>
          <w:highlight w:val="none"/>
          <w:lang w:eastAsia="zh-CN"/>
        </w:rPr>
      </w:pPr>
      <w:r>
        <w:rPr>
          <w:rFonts w:hint="eastAsia"/>
          <w:color w:val="auto"/>
          <w:sz w:val="21"/>
          <w:szCs w:val="21"/>
          <w:highlight w:val="none"/>
        </w:rPr>
        <w:t xml:space="preserve">附件1 </w:t>
      </w:r>
      <w:r>
        <w:rPr>
          <w:rFonts w:hint="eastAsia"/>
          <w:color w:val="auto"/>
          <w:sz w:val="21"/>
          <w:szCs w:val="21"/>
          <w:highlight w:val="none"/>
          <w:lang w:val="en-US" w:eastAsia="zh-CN"/>
        </w:rPr>
        <w:t>委托书</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color w:val="auto"/>
          <w:sz w:val="21"/>
          <w:szCs w:val="21"/>
          <w:highlight w:val="none"/>
          <w:lang w:val="en-US" w:eastAsia="zh-CN"/>
        </w:rPr>
      </w:pPr>
      <w:r>
        <w:rPr>
          <w:rFonts w:hint="eastAsia"/>
          <w:color w:val="auto"/>
          <w:sz w:val="21"/>
          <w:szCs w:val="21"/>
          <w:highlight w:val="none"/>
        </w:rPr>
        <w:t xml:space="preserve">附件2 </w:t>
      </w:r>
      <w:r>
        <w:rPr>
          <w:rFonts w:hint="eastAsia"/>
          <w:color w:val="auto"/>
          <w:sz w:val="21"/>
          <w:szCs w:val="21"/>
          <w:highlight w:val="none"/>
          <w:lang w:val="en-US" w:eastAsia="zh-CN"/>
        </w:rPr>
        <w:t>项目备案证</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sz w:val="21"/>
          <w:szCs w:val="21"/>
          <w:highlight w:val="none"/>
        </w:rPr>
      </w:pPr>
      <w:r>
        <w:rPr>
          <w:rFonts w:hint="eastAsia"/>
          <w:color w:val="auto"/>
          <w:sz w:val="21"/>
          <w:szCs w:val="21"/>
          <w:highlight w:val="none"/>
        </w:rPr>
        <w:t xml:space="preserve">附件3 </w:t>
      </w:r>
      <w:r>
        <w:rPr>
          <w:rFonts w:hint="eastAsia" w:ascii="宋体" w:hAnsi="宋体" w:eastAsia="宋体" w:cs="宋体"/>
          <w:color w:val="auto"/>
          <w:sz w:val="21"/>
          <w:szCs w:val="21"/>
          <w:highlight w:val="none"/>
        </w:rPr>
        <w:t>国家发展改革委、国家能源局</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发改办能源〔2020〕588号</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《国家发展改革委办公厅 国家能源局综合司关于公布2020年风电、光伏发电平价上网项目的通知》</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sz w:val="21"/>
          <w:szCs w:val="21"/>
          <w:highlight w:val="none"/>
          <w:lang w:val="en-US" w:eastAsia="zh-CN" w:bidi="ar"/>
        </w:rPr>
      </w:pPr>
      <w:r>
        <w:rPr>
          <w:rFonts w:hint="eastAsia"/>
          <w:color w:val="auto"/>
          <w:sz w:val="21"/>
          <w:szCs w:val="21"/>
          <w:highlight w:val="none"/>
        </w:rPr>
        <w:t xml:space="preserve">附件4 </w:t>
      </w:r>
      <w:r>
        <w:rPr>
          <w:rFonts w:hint="eastAsia" w:ascii="宋体" w:hAnsi="宋体" w:eastAsia="宋体" w:cs="宋体"/>
          <w:color w:val="auto"/>
          <w:sz w:val="21"/>
          <w:szCs w:val="21"/>
          <w:highlight w:val="none"/>
          <w:lang w:val="en-US" w:eastAsia="zh-CN" w:bidi="ar"/>
        </w:rPr>
        <w:t>镇江市人民政府出具的《关于国家能源集团贞观山灰场光伏电站项前期工作开展确认和土地落实承诺函》</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color w:val="auto"/>
          <w:sz w:val="21"/>
          <w:szCs w:val="21"/>
          <w:highlight w:val="none"/>
        </w:rPr>
      </w:pPr>
      <w:r>
        <w:rPr>
          <w:rFonts w:hint="eastAsia"/>
          <w:color w:val="auto"/>
          <w:sz w:val="21"/>
          <w:szCs w:val="21"/>
          <w:highlight w:val="none"/>
        </w:rPr>
        <w:t xml:space="preserve">附件5 </w:t>
      </w:r>
      <w:r>
        <w:rPr>
          <w:rFonts w:hint="eastAsia" w:ascii="宋体" w:hAnsi="宋体" w:eastAsia="宋体" w:cs="宋体"/>
          <w:color w:val="auto"/>
          <w:kern w:val="2"/>
          <w:sz w:val="21"/>
          <w:szCs w:val="21"/>
          <w:highlight w:val="none"/>
          <w:lang w:val="en-US" w:eastAsia="zh-CN" w:bidi="ar-SA"/>
        </w:rPr>
        <w:t>镇江市自然资源和规划局</w:t>
      </w:r>
      <w:r>
        <w:rPr>
          <w:rFonts w:hint="eastAsia" w:ascii="宋体" w:hAnsi="宋体" w:cs="宋体"/>
          <w:color w:val="auto"/>
          <w:kern w:val="2"/>
          <w:sz w:val="21"/>
          <w:szCs w:val="21"/>
          <w:highlight w:val="none"/>
          <w:lang w:val="en-US" w:eastAsia="zh-CN" w:bidi="ar-SA"/>
        </w:rPr>
        <w:t>，</w:t>
      </w:r>
      <w:r>
        <w:rPr>
          <w:rFonts w:hint="eastAsia" w:ascii="宋体" w:hAnsi="宋体" w:eastAsia="宋体" w:cs="宋体"/>
          <w:color w:val="auto"/>
          <w:kern w:val="2"/>
          <w:sz w:val="21"/>
          <w:szCs w:val="21"/>
          <w:highlight w:val="none"/>
          <w:lang w:val="en-US" w:eastAsia="zh-CN" w:bidi="ar-SA"/>
        </w:rPr>
        <w:t>镇自然资函[2020]293号</w:t>
      </w:r>
      <w:r>
        <w:rPr>
          <w:rFonts w:hint="eastAsia" w:ascii="宋体" w:hAnsi="宋体" w:cs="宋体"/>
          <w:color w:val="auto"/>
          <w:kern w:val="2"/>
          <w:sz w:val="21"/>
          <w:szCs w:val="21"/>
          <w:highlight w:val="none"/>
          <w:lang w:val="en-US" w:eastAsia="zh-CN" w:bidi="ar-SA"/>
        </w:rPr>
        <w:t>，</w:t>
      </w:r>
      <w:r>
        <w:rPr>
          <w:rFonts w:hint="eastAsia" w:ascii="宋体" w:hAnsi="宋体" w:eastAsia="宋体" w:cs="宋体"/>
          <w:color w:val="auto"/>
          <w:kern w:val="2"/>
          <w:sz w:val="21"/>
          <w:szCs w:val="21"/>
          <w:highlight w:val="none"/>
          <w:lang w:val="en-US" w:eastAsia="zh-CN" w:bidi="ar-SA"/>
        </w:rPr>
        <w:t>《关于国家额能源集团贞观山灰场光伏电站项目的规划意见》</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color w:val="auto"/>
          <w:sz w:val="24"/>
          <w:highlight w:val="none"/>
        </w:rPr>
      </w:pPr>
      <w:r>
        <w:rPr>
          <w:rFonts w:hint="eastAsia"/>
          <w:color w:val="auto"/>
          <w:sz w:val="21"/>
          <w:szCs w:val="21"/>
          <w:highlight w:val="none"/>
        </w:rPr>
        <w:t>附件6 监测报告</w:t>
      </w:r>
    </w:p>
    <w:p>
      <w:pPr>
        <w:pStyle w:val="2"/>
        <w:rPr>
          <w:color w:val="auto"/>
        </w:rPr>
        <w:sectPr>
          <w:footerReference r:id="rId6" w:type="default"/>
          <w:pgSz w:w="11906" w:h="16838"/>
          <w:pgMar w:top="1440" w:right="1644" w:bottom="1440" w:left="1758" w:header="851" w:footer="992" w:gutter="0"/>
          <w:pgBorders>
            <w:top w:val="none" w:sz="0" w:space="0"/>
            <w:left w:val="none" w:sz="0" w:space="0"/>
            <w:bottom w:val="none" w:sz="0" w:space="0"/>
            <w:right w:val="none" w:sz="0" w:space="0"/>
          </w:pgBorders>
          <w:pgNumType w:fmt="upperRoman" w:start="2"/>
          <w:cols w:space="720" w:num="1"/>
          <w:docGrid w:type="lines" w:linePitch="312" w:charSpace="0"/>
        </w:sectPr>
      </w:pPr>
    </w:p>
    <w:p>
      <w:pPr>
        <w:pStyle w:val="25"/>
        <w:numPr>
          <w:ilvl w:val="0"/>
          <w:numId w:val="6"/>
        </w:numPr>
        <w:ind w:left="-1" w:leftChars="0" w:right="166" w:rightChars="79" w:firstLine="0" w:firstLineChars="0"/>
        <w:jc w:val="left"/>
        <w:outlineLvl w:val="0"/>
        <w:rPr>
          <w:rFonts w:hint="eastAsia" w:ascii="Times New Roman" w:hAnsi="Times New Roman"/>
          <w:color w:val="auto"/>
          <w:lang w:val="en-US" w:eastAsia="zh-CN"/>
        </w:rPr>
      </w:pPr>
      <w:bookmarkStart w:id="0" w:name="_Toc32695"/>
      <w:r>
        <w:rPr>
          <w:rFonts w:hint="eastAsia" w:ascii="Times New Roman" w:hAnsi="Times New Roman"/>
          <w:color w:val="auto"/>
          <w:lang w:val="en-US" w:eastAsia="zh-CN"/>
        </w:rPr>
        <w:t>建设项目基本情况</w:t>
      </w:r>
      <w:bookmarkEnd w:id="0"/>
    </w:p>
    <w:tbl>
      <w:tblPr>
        <w:tblStyle w:val="30"/>
        <w:tblW w:w="9071"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354"/>
        <w:gridCol w:w="439"/>
        <w:gridCol w:w="817"/>
        <w:gridCol w:w="687"/>
        <w:gridCol w:w="697"/>
        <w:gridCol w:w="126"/>
        <w:gridCol w:w="197"/>
        <w:gridCol w:w="890"/>
        <w:gridCol w:w="607"/>
        <w:gridCol w:w="57"/>
        <w:gridCol w:w="171"/>
        <w:gridCol w:w="1129"/>
        <w:gridCol w:w="57"/>
        <w:gridCol w:w="1843"/>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84" w:hRule="atLeast"/>
          <w:jc w:val="center"/>
        </w:trPr>
        <w:tc>
          <w:tcPr>
            <w:tcW w:w="1387" w:type="dxa"/>
            <w:tcBorders>
              <w:tl2br w:val="nil"/>
              <w:tr2bl w:val="nil"/>
            </w:tcBorders>
            <w:noWrap w:val="0"/>
            <w:vAlign w:val="center"/>
          </w:tcPr>
          <w:p>
            <w:pPr>
              <w:jc w:val="center"/>
              <w:rPr>
                <w:color w:val="auto"/>
                <w:sz w:val="24"/>
              </w:rPr>
            </w:pPr>
            <w:r>
              <w:rPr>
                <w:color w:val="auto"/>
                <w:sz w:val="24"/>
              </w:rPr>
              <w:t>项目名称</w:t>
            </w:r>
          </w:p>
        </w:tc>
        <w:tc>
          <w:tcPr>
            <w:tcW w:w="7900" w:type="dxa"/>
            <w:gridSpan w:val="13"/>
            <w:tcBorders>
              <w:tl2br w:val="nil"/>
              <w:tr2bl w:val="nil"/>
            </w:tcBorders>
            <w:noWrap w:val="0"/>
            <w:vAlign w:val="center"/>
          </w:tcPr>
          <w:p>
            <w:pPr>
              <w:jc w:val="center"/>
              <w:rPr>
                <w:color w:val="auto"/>
                <w:sz w:val="24"/>
              </w:rPr>
            </w:pPr>
            <w:r>
              <w:rPr>
                <w:rFonts w:hint="eastAsia"/>
                <w:color w:val="auto"/>
                <w:sz w:val="24"/>
                <w:highlight w:val="none"/>
                <w:lang w:eastAsia="zh-CN"/>
              </w:rPr>
              <w:t>国家能源集团贞观山灰场光伏电站项目</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400" w:hRule="exact"/>
          <w:jc w:val="center"/>
        </w:trPr>
        <w:tc>
          <w:tcPr>
            <w:tcW w:w="1387" w:type="dxa"/>
            <w:tcBorders>
              <w:tl2br w:val="nil"/>
              <w:tr2bl w:val="nil"/>
            </w:tcBorders>
            <w:noWrap w:val="0"/>
            <w:vAlign w:val="center"/>
          </w:tcPr>
          <w:p>
            <w:pPr>
              <w:jc w:val="center"/>
              <w:rPr>
                <w:color w:val="auto"/>
                <w:sz w:val="24"/>
              </w:rPr>
            </w:pPr>
            <w:r>
              <w:rPr>
                <w:color w:val="auto"/>
                <w:sz w:val="24"/>
              </w:rPr>
              <w:t>建设单位</w:t>
            </w:r>
          </w:p>
        </w:tc>
        <w:tc>
          <w:tcPr>
            <w:tcW w:w="7900" w:type="dxa"/>
            <w:gridSpan w:val="13"/>
            <w:tcBorders>
              <w:tl2br w:val="nil"/>
              <w:tr2bl w:val="nil"/>
            </w:tcBorders>
            <w:noWrap w:val="0"/>
            <w:vAlign w:val="center"/>
          </w:tcPr>
          <w:p>
            <w:pPr>
              <w:jc w:val="center"/>
              <w:rPr>
                <w:color w:val="auto"/>
                <w:sz w:val="24"/>
              </w:rPr>
            </w:pPr>
            <w:r>
              <w:rPr>
                <w:rFonts w:hint="eastAsia"/>
                <w:color w:val="auto"/>
                <w:sz w:val="24"/>
                <w:highlight w:val="none"/>
                <w:lang w:eastAsia="zh-CN"/>
              </w:rPr>
              <w:t>国家能源集团谏壁发电厂</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00" w:hRule="exact"/>
          <w:jc w:val="center"/>
        </w:trPr>
        <w:tc>
          <w:tcPr>
            <w:tcW w:w="1387" w:type="dxa"/>
            <w:tcBorders>
              <w:tl2br w:val="nil"/>
              <w:tr2bl w:val="nil"/>
            </w:tcBorders>
            <w:noWrap w:val="0"/>
            <w:vAlign w:val="center"/>
          </w:tcPr>
          <w:p>
            <w:pPr>
              <w:jc w:val="center"/>
              <w:rPr>
                <w:color w:val="auto"/>
                <w:sz w:val="24"/>
              </w:rPr>
            </w:pPr>
            <w:r>
              <w:rPr>
                <w:color w:val="auto"/>
                <w:sz w:val="24"/>
              </w:rPr>
              <w:t>法人代表</w:t>
            </w:r>
          </w:p>
        </w:tc>
        <w:tc>
          <w:tcPr>
            <w:tcW w:w="2701" w:type="dxa"/>
            <w:gridSpan w:val="4"/>
            <w:tcBorders>
              <w:tl2br w:val="nil"/>
              <w:tr2bl w:val="nil"/>
            </w:tcBorders>
            <w:noWrap w:val="0"/>
            <w:vAlign w:val="center"/>
          </w:tcPr>
          <w:p>
            <w:pPr>
              <w:jc w:val="center"/>
              <w:rPr>
                <w:color w:val="auto"/>
                <w:sz w:val="24"/>
              </w:rPr>
            </w:pPr>
            <w:r>
              <w:rPr>
                <w:rFonts w:hint="eastAsia"/>
                <w:color w:val="auto"/>
                <w:sz w:val="24"/>
                <w:highlight w:val="none"/>
                <w:lang w:eastAsia="zh-CN"/>
              </w:rPr>
              <w:t>邵家林</w:t>
            </w:r>
          </w:p>
        </w:tc>
        <w:tc>
          <w:tcPr>
            <w:tcW w:w="1238" w:type="dxa"/>
            <w:gridSpan w:val="3"/>
            <w:tcBorders>
              <w:tl2br w:val="nil"/>
              <w:tr2bl w:val="nil"/>
            </w:tcBorders>
            <w:noWrap w:val="0"/>
            <w:vAlign w:val="center"/>
          </w:tcPr>
          <w:p>
            <w:pPr>
              <w:jc w:val="center"/>
              <w:rPr>
                <w:color w:val="auto"/>
                <w:sz w:val="24"/>
              </w:rPr>
            </w:pPr>
            <w:r>
              <w:rPr>
                <w:color w:val="auto"/>
                <w:sz w:val="24"/>
              </w:rPr>
              <w:t>联系人</w:t>
            </w:r>
          </w:p>
        </w:tc>
        <w:tc>
          <w:tcPr>
            <w:tcW w:w="3961" w:type="dxa"/>
            <w:gridSpan w:val="6"/>
            <w:tcBorders>
              <w:tl2br w:val="nil"/>
              <w:tr2bl w:val="nil"/>
            </w:tcBorders>
            <w:noWrap w:val="0"/>
            <w:vAlign w:val="center"/>
          </w:tcPr>
          <w:p>
            <w:pPr>
              <w:jc w:val="center"/>
              <w:rPr>
                <w:color w:val="auto"/>
                <w:sz w:val="24"/>
              </w:rPr>
            </w:pPr>
            <w:r>
              <w:rPr>
                <w:rFonts w:hint="eastAsia"/>
                <w:color w:val="auto"/>
                <w:sz w:val="24"/>
                <w:highlight w:val="none"/>
                <w:lang w:eastAsia="zh-CN"/>
              </w:rPr>
              <w:t>朱伟</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478" w:hRule="exact"/>
          <w:jc w:val="center"/>
        </w:trPr>
        <w:tc>
          <w:tcPr>
            <w:tcW w:w="1387" w:type="dxa"/>
            <w:tcBorders>
              <w:tl2br w:val="nil"/>
              <w:tr2bl w:val="nil"/>
            </w:tcBorders>
            <w:noWrap w:val="0"/>
            <w:vAlign w:val="center"/>
          </w:tcPr>
          <w:p>
            <w:pPr>
              <w:jc w:val="center"/>
              <w:rPr>
                <w:color w:val="auto"/>
                <w:sz w:val="24"/>
              </w:rPr>
            </w:pPr>
            <w:r>
              <w:rPr>
                <w:color w:val="auto"/>
                <w:sz w:val="24"/>
              </w:rPr>
              <w:t>通讯地址</w:t>
            </w:r>
          </w:p>
        </w:tc>
        <w:tc>
          <w:tcPr>
            <w:tcW w:w="7900" w:type="dxa"/>
            <w:gridSpan w:val="13"/>
            <w:tcBorders>
              <w:tl2br w:val="nil"/>
              <w:tr2bl w:val="nil"/>
            </w:tcBorders>
            <w:noWrap w:val="0"/>
            <w:vAlign w:val="center"/>
          </w:tcPr>
          <w:p>
            <w:pPr>
              <w:jc w:val="center"/>
              <w:rPr>
                <w:color w:val="auto"/>
                <w:sz w:val="24"/>
              </w:rPr>
            </w:pPr>
            <w:r>
              <w:rPr>
                <w:rFonts w:hint="eastAsia"/>
                <w:color w:val="auto"/>
                <w:sz w:val="24"/>
                <w:highlight w:val="none"/>
                <w:lang w:eastAsia="zh-CN"/>
              </w:rPr>
              <w:t>江苏省镇江市京口区谏壁镇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00" w:hRule="exact"/>
          <w:jc w:val="center"/>
        </w:trPr>
        <w:tc>
          <w:tcPr>
            <w:tcW w:w="1387" w:type="dxa"/>
            <w:tcBorders>
              <w:tl2br w:val="nil"/>
              <w:tr2bl w:val="nil"/>
            </w:tcBorders>
            <w:noWrap w:val="0"/>
            <w:vAlign w:val="center"/>
          </w:tcPr>
          <w:p>
            <w:pPr>
              <w:jc w:val="center"/>
              <w:rPr>
                <w:color w:val="auto"/>
                <w:sz w:val="24"/>
              </w:rPr>
            </w:pPr>
            <w:r>
              <w:rPr>
                <w:color w:val="auto"/>
                <w:sz w:val="24"/>
              </w:rPr>
              <w:t>联系电话</w:t>
            </w:r>
          </w:p>
        </w:tc>
        <w:tc>
          <w:tcPr>
            <w:tcW w:w="1989" w:type="dxa"/>
            <w:gridSpan w:val="3"/>
            <w:tcBorders>
              <w:tl2br w:val="nil"/>
              <w:tr2bl w:val="nil"/>
            </w:tcBorders>
            <w:noWrap w:val="0"/>
            <w:vAlign w:val="center"/>
          </w:tcPr>
          <w:p>
            <w:pPr>
              <w:jc w:val="center"/>
              <w:rPr>
                <w:color w:val="auto"/>
                <w:sz w:val="24"/>
              </w:rPr>
            </w:pPr>
            <w:r>
              <w:rPr>
                <w:rFonts w:hint="eastAsia"/>
                <w:color w:val="auto"/>
                <w:sz w:val="24"/>
                <w:highlight w:val="none"/>
                <w:lang w:val="en-US" w:eastAsia="zh-CN"/>
              </w:rPr>
              <w:t>15952889098</w:t>
            </w:r>
          </w:p>
        </w:tc>
        <w:tc>
          <w:tcPr>
            <w:tcW w:w="840" w:type="dxa"/>
            <w:gridSpan w:val="2"/>
            <w:tcBorders>
              <w:tl2br w:val="nil"/>
              <w:tr2bl w:val="nil"/>
            </w:tcBorders>
            <w:noWrap w:val="0"/>
            <w:vAlign w:val="center"/>
          </w:tcPr>
          <w:p>
            <w:pPr>
              <w:jc w:val="center"/>
              <w:rPr>
                <w:color w:val="auto"/>
                <w:sz w:val="24"/>
              </w:rPr>
            </w:pPr>
            <w:r>
              <w:rPr>
                <w:rFonts w:hint="eastAsia"/>
                <w:color w:val="auto"/>
                <w:sz w:val="24"/>
                <w:highlight w:val="none"/>
                <w:lang w:eastAsia="zh-CN"/>
              </w:rPr>
              <w:t>传真</w:t>
            </w:r>
          </w:p>
        </w:tc>
        <w:tc>
          <w:tcPr>
            <w:tcW w:w="1969" w:type="dxa"/>
            <w:gridSpan w:val="5"/>
            <w:tcBorders>
              <w:tl2br w:val="nil"/>
              <w:tr2bl w:val="nil"/>
            </w:tcBorders>
            <w:noWrap w:val="0"/>
            <w:vAlign w:val="center"/>
          </w:tcPr>
          <w:p>
            <w:pPr>
              <w:jc w:val="center"/>
              <w:rPr>
                <w:color w:val="auto"/>
                <w:sz w:val="24"/>
              </w:rPr>
            </w:pPr>
            <w:r>
              <w:rPr>
                <w:rFonts w:hint="eastAsia"/>
                <w:color w:val="auto"/>
                <w:sz w:val="24"/>
                <w:highlight w:val="none"/>
                <w:lang w:eastAsia="zh-CN"/>
              </w:rPr>
              <w:t>0511-85352242</w:t>
            </w:r>
          </w:p>
        </w:tc>
        <w:tc>
          <w:tcPr>
            <w:tcW w:w="1213" w:type="dxa"/>
            <w:gridSpan w:val="2"/>
            <w:tcBorders>
              <w:tl2br w:val="nil"/>
              <w:tr2bl w:val="nil"/>
            </w:tcBorders>
            <w:noWrap w:val="0"/>
            <w:vAlign w:val="center"/>
          </w:tcPr>
          <w:p>
            <w:pPr>
              <w:jc w:val="center"/>
              <w:rPr>
                <w:color w:val="auto"/>
                <w:sz w:val="24"/>
              </w:rPr>
            </w:pPr>
            <w:r>
              <w:rPr>
                <w:rFonts w:hint="eastAsia"/>
                <w:color w:val="auto"/>
                <w:sz w:val="24"/>
                <w:highlight w:val="none"/>
                <w:lang w:eastAsia="zh-CN"/>
              </w:rPr>
              <w:t>邮政编码</w:t>
            </w:r>
          </w:p>
        </w:tc>
        <w:tc>
          <w:tcPr>
            <w:tcW w:w="1889" w:type="dxa"/>
            <w:tcBorders>
              <w:tl2br w:val="nil"/>
              <w:tr2bl w:val="nil"/>
            </w:tcBorders>
            <w:noWrap w:val="0"/>
            <w:vAlign w:val="center"/>
          </w:tcPr>
          <w:p>
            <w:pPr>
              <w:jc w:val="center"/>
              <w:rPr>
                <w:color w:val="auto"/>
                <w:sz w:val="24"/>
              </w:rPr>
            </w:pPr>
            <w:r>
              <w:rPr>
                <w:rFonts w:hint="eastAsia"/>
                <w:color w:val="auto"/>
                <w:sz w:val="24"/>
                <w:highlight w:val="none"/>
                <w:lang w:val="en-US" w:eastAsia="zh-CN"/>
              </w:rPr>
              <w:t>212000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400" w:hRule="exact"/>
          <w:jc w:val="center"/>
        </w:trPr>
        <w:tc>
          <w:tcPr>
            <w:tcW w:w="1387" w:type="dxa"/>
            <w:tcBorders>
              <w:tl2br w:val="nil"/>
              <w:tr2bl w:val="nil"/>
            </w:tcBorders>
            <w:noWrap w:val="0"/>
            <w:vAlign w:val="center"/>
          </w:tcPr>
          <w:p>
            <w:pPr>
              <w:jc w:val="center"/>
              <w:rPr>
                <w:color w:val="auto"/>
                <w:sz w:val="24"/>
              </w:rPr>
            </w:pPr>
            <w:r>
              <w:rPr>
                <w:color w:val="auto"/>
                <w:sz w:val="24"/>
              </w:rPr>
              <w:t>建设地点</w:t>
            </w:r>
          </w:p>
        </w:tc>
        <w:tc>
          <w:tcPr>
            <w:tcW w:w="7900" w:type="dxa"/>
            <w:gridSpan w:val="13"/>
            <w:tcBorders>
              <w:tl2br w:val="nil"/>
              <w:tr2bl w:val="nil"/>
            </w:tcBorders>
            <w:noWrap w:val="0"/>
            <w:vAlign w:val="center"/>
          </w:tcPr>
          <w:p>
            <w:pPr>
              <w:jc w:val="center"/>
              <w:rPr>
                <w:rFonts w:hint="default"/>
                <w:color w:val="auto"/>
                <w:sz w:val="24"/>
                <w:lang w:val="en-US"/>
              </w:rPr>
            </w:pPr>
            <w:r>
              <w:rPr>
                <w:rFonts w:hint="eastAsia"/>
                <w:color w:val="auto"/>
                <w:sz w:val="24"/>
                <w:highlight w:val="none"/>
                <w:lang w:val="en-US" w:eastAsia="zh-CN"/>
              </w:rPr>
              <w:t>丹阳市埤城镇和镇江新区丁岗镇交界处</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00" w:hRule="exact"/>
          <w:jc w:val="center"/>
        </w:trPr>
        <w:tc>
          <w:tcPr>
            <w:tcW w:w="1387" w:type="dxa"/>
            <w:vMerge w:val="restart"/>
            <w:tcBorders>
              <w:tl2br w:val="nil"/>
              <w:tr2bl w:val="nil"/>
            </w:tcBorders>
            <w:noWrap w:val="0"/>
            <w:vAlign w:val="center"/>
          </w:tcPr>
          <w:p>
            <w:pPr>
              <w:jc w:val="center"/>
              <w:rPr>
                <w:color w:val="auto"/>
                <w:sz w:val="24"/>
              </w:rPr>
            </w:pPr>
            <w:r>
              <w:rPr>
                <w:color w:val="auto"/>
                <w:sz w:val="24"/>
              </w:rPr>
              <w:t>立项审批部门</w:t>
            </w:r>
          </w:p>
        </w:tc>
        <w:tc>
          <w:tcPr>
            <w:tcW w:w="3030" w:type="dxa"/>
            <w:gridSpan w:val="6"/>
            <w:vMerge w:val="restart"/>
            <w:tcBorders>
              <w:tl2br w:val="nil"/>
              <w:tr2bl w:val="nil"/>
            </w:tcBorders>
            <w:noWrap w:val="0"/>
            <w:vAlign w:val="center"/>
          </w:tcPr>
          <w:p>
            <w:pPr>
              <w:jc w:val="center"/>
              <w:rPr>
                <w:color w:val="auto"/>
                <w:sz w:val="24"/>
              </w:rPr>
            </w:pPr>
            <w:r>
              <w:rPr>
                <w:rFonts w:hint="eastAsia"/>
                <w:color w:val="auto"/>
                <w:sz w:val="24"/>
                <w:highlight w:val="none"/>
                <w:lang w:val="en-US" w:eastAsia="zh-CN"/>
              </w:rPr>
              <w:t>镇江市发改委</w:t>
            </w:r>
          </w:p>
        </w:tc>
        <w:tc>
          <w:tcPr>
            <w:tcW w:w="1533" w:type="dxa"/>
            <w:gridSpan w:val="2"/>
            <w:tcBorders>
              <w:tl2br w:val="nil"/>
              <w:tr2bl w:val="nil"/>
            </w:tcBorders>
            <w:noWrap w:val="0"/>
            <w:vAlign w:val="center"/>
          </w:tcPr>
          <w:p>
            <w:pPr>
              <w:jc w:val="center"/>
              <w:rPr>
                <w:color w:val="auto"/>
                <w:sz w:val="24"/>
              </w:rPr>
            </w:pPr>
            <w:r>
              <w:rPr>
                <w:color w:val="auto"/>
                <w:sz w:val="24"/>
              </w:rPr>
              <w:t>批准文号</w:t>
            </w:r>
          </w:p>
        </w:tc>
        <w:tc>
          <w:tcPr>
            <w:tcW w:w="3337" w:type="dxa"/>
            <w:gridSpan w:val="5"/>
            <w:tcBorders>
              <w:tl2br w:val="nil"/>
              <w:tr2bl w:val="nil"/>
            </w:tcBorders>
            <w:noWrap w:val="0"/>
            <w:vAlign w:val="center"/>
          </w:tcPr>
          <w:p>
            <w:pPr>
              <w:jc w:val="center"/>
              <w:rPr>
                <w:color w:val="auto"/>
                <w:sz w:val="24"/>
              </w:rPr>
            </w:pPr>
            <w:r>
              <w:rPr>
                <w:rFonts w:hint="eastAsia"/>
                <w:color w:val="auto"/>
                <w:sz w:val="24"/>
                <w:highlight w:val="none"/>
                <w:lang w:val="en-US" w:eastAsia="zh-CN"/>
              </w:rPr>
              <w:t>镇发改备[2020]1号</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5" w:hRule="exact"/>
          <w:jc w:val="center"/>
        </w:trPr>
        <w:tc>
          <w:tcPr>
            <w:tcW w:w="1387" w:type="dxa"/>
            <w:vMerge w:val="continue"/>
            <w:tcBorders>
              <w:tl2br w:val="nil"/>
              <w:tr2bl w:val="nil"/>
            </w:tcBorders>
            <w:noWrap w:val="0"/>
            <w:vAlign w:val="center"/>
          </w:tcPr>
          <w:p>
            <w:pPr>
              <w:jc w:val="center"/>
              <w:rPr>
                <w:color w:val="auto"/>
                <w:sz w:val="24"/>
              </w:rPr>
            </w:pPr>
          </w:p>
        </w:tc>
        <w:tc>
          <w:tcPr>
            <w:tcW w:w="3030" w:type="dxa"/>
            <w:gridSpan w:val="6"/>
            <w:vMerge w:val="continue"/>
            <w:tcBorders>
              <w:tl2br w:val="nil"/>
              <w:tr2bl w:val="nil"/>
            </w:tcBorders>
            <w:noWrap w:val="0"/>
            <w:vAlign w:val="center"/>
          </w:tcPr>
          <w:p>
            <w:pPr>
              <w:jc w:val="center"/>
              <w:rPr>
                <w:color w:val="auto"/>
                <w:sz w:val="24"/>
              </w:rPr>
            </w:pPr>
          </w:p>
        </w:tc>
        <w:tc>
          <w:tcPr>
            <w:tcW w:w="1533" w:type="dxa"/>
            <w:gridSpan w:val="2"/>
            <w:tcBorders>
              <w:tl2br w:val="nil"/>
              <w:tr2bl w:val="nil"/>
            </w:tcBorders>
            <w:noWrap w:val="0"/>
            <w:vAlign w:val="center"/>
          </w:tcPr>
          <w:p>
            <w:pPr>
              <w:jc w:val="center"/>
              <w:rPr>
                <w:color w:val="auto"/>
                <w:sz w:val="24"/>
              </w:rPr>
            </w:pPr>
            <w:r>
              <w:rPr>
                <w:rFonts w:hint="eastAsia"/>
                <w:color w:val="auto"/>
                <w:sz w:val="24"/>
              </w:rPr>
              <w:t>项目代码</w:t>
            </w:r>
          </w:p>
        </w:tc>
        <w:tc>
          <w:tcPr>
            <w:tcW w:w="3337" w:type="dxa"/>
            <w:gridSpan w:val="5"/>
            <w:tcBorders>
              <w:tl2br w:val="nil"/>
              <w:tr2bl w:val="nil"/>
            </w:tcBorders>
            <w:noWrap w:val="0"/>
            <w:vAlign w:val="center"/>
          </w:tcPr>
          <w:p>
            <w:pPr>
              <w:jc w:val="center"/>
              <w:rPr>
                <w:rFonts w:hint="default" w:eastAsia="宋体"/>
                <w:color w:val="auto"/>
                <w:sz w:val="24"/>
                <w:lang w:val="en-US" w:eastAsia="zh-CN"/>
              </w:rPr>
            </w:pPr>
            <w:r>
              <w:rPr>
                <w:rFonts w:hint="eastAsia"/>
                <w:color w:val="auto"/>
                <w:sz w:val="24"/>
                <w:lang w:val="en-US" w:eastAsia="zh-CN"/>
              </w:rPr>
              <w:t>2020</w:t>
            </w:r>
            <w:r>
              <w:rPr>
                <w:color w:val="auto"/>
                <w:sz w:val="24"/>
              </w:rPr>
              <w:t>-32</w:t>
            </w:r>
            <w:r>
              <w:rPr>
                <w:rFonts w:hint="eastAsia"/>
                <w:color w:val="auto"/>
                <w:sz w:val="24"/>
                <w:lang w:val="en-US" w:eastAsia="zh-CN"/>
              </w:rPr>
              <w:t>1100</w:t>
            </w:r>
            <w:r>
              <w:rPr>
                <w:color w:val="auto"/>
                <w:sz w:val="24"/>
              </w:rPr>
              <w:t>-44-03-</w:t>
            </w:r>
            <w:r>
              <w:rPr>
                <w:rFonts w:hint="eastAsia"/>
                <w:color w:val="auto"/>
                <w:sz w:val="24"/>
                <w:lang w:val="en-US" w:eastAsia="zh-CN"/>
              </w:rPr>
              <w:t>301780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47" w:hRule="exact"/>
          <w:jc w:val="center"/>
        </w:trPr>
        <w:tc>
          <w:tcPr>
            <w:tcW w:w="1387" w:type="dxa"/>
            <w:tcBorders>
              <w:tl2br w:val="nil"/>
              <w:tr2bl w:val="nil"/>
            </w:tcBorders>
            <w:noWrap w:val="0"/>
            <w:vAlign w:val="center"/>
          </w:tcPr>
          <w:p>
            <w:pPr>
              <w:jc w:val="center"/>
              <w:rPr>
                <w:color w:val="auto"/>
                <w:sz w:val="24"/>
              </w:rPr>
            </w:pPr>
            <w:r>
              <w:rPr>
                <w:color w:val="auto"/>
                <w:sz w:val="24"/>
              </w:rPr>
              <w:t>建设性质</w:t>
            </w:r>
          </w:p>
        </w:tc>
        <w:tc>
          <w:tcPr>
            <w:tcW w:w="3030" w:type="dxa"/>
            <w:gridSpan w:val="6"/>
            <w:tcBorders>
              <w:tl2br w:val="nil"/>
              <w:tr2bl w:val="nil"/>
            </w:tcBorders>
            <w:noWrap w:val="0"/>
            <w:vAlign w:val="center"/>
          </w:tcPr>
          <w:p>
            <w:pPr>
              <w:spacing w:line="500" w:lineRule="exact"/>
              <w:jc w:val="center"/>
              <w:rPr>
                <w:color w:val="auto"/>
                <w:sz w:val="24"/>
              </w:rPr>
            </w:pPr>
            <w:r>
              <w:rPr>
                <w:color w:val="auto"/>
                <w:sz w:val="24"/>
              </w:rPr>
              <w:sym w:font="Symbol" w:char="F0D6"/>
            </w:r>
            <w:r>
              <w:rPr>
                <w:color w:val="auto"/>
                <w:sz w:val="24"/>
              </w:rPr>
              <w:t>新建　□改扩建 □技改</w:t>
            </w:r>
          </w:p>
        </w:tc>
        <w:tc>
          <w:tcPr>
            <w:tcW w:w="1533" w:type="dxa"/>
            <w:gridSpan w:val="2"/>
            <w:tcBorders>
              <w:tl2br w:val="nil"/>
              <w:tr2bl w:val="nil"/>
            </w:tcBorders>
            <w:noWrap w:val="0"/>
            <w:vAlign w:val="center"/>
          </w:tcPr>
          <w:p>
            <w:pPr>
              <w:jc w:val="center"/>
              <w:rPr>
                <w:color w:val="auto"/>
                <w:sz w:val="24"/>
              </w:rPr>
            </w:pPr>
            <w:r>
              <w:rPr>
                <w:color w:val="auto"/>
                <w:sz w:val="24"/>
              </w:rPr>
              <w:t>行业类别</w:t>
            </w:r>
          </w:p>
          <w:p>
            <w:pPr>
              <w:jc w:val="center"/>
              <w:rPr>
                <w:color w:val="auto"/>
                <w:sz w:val="24"/>
              </w:rPr>
            </w:pPr>
            <w:r>
              <w:rPr>
                <w:color w:val="auto"/>
                <w:sz w:val="24"/>
              </w:rPr>
              <w:t>及</w:t>
            </w:r>
            <w:bookmarkStart w:id="28" w:name="_GoBack"/>
            <w:bookmarkEnd w:id="28"/>
            <w:r>
              <w:rPr>
                <w:color w:val="auto"/>
                <w:sz w:val="24"/>
              </w:rPr>
              <w:t>代码</w:t>
            </w:r>
          </w:p>
        </w:tc>
        <w:tc>
          <w:tcPr>
            <w:tcW w:w="3337" w:type="dxa"/>
            <w:gridSpan w:val="5"/>
            <w:tcBorders>
              <w:tl2br w:val="nil"/>
              <w:tr2bl w:val="nil"/>
            </w:tcBorders>
            <w:noWrap w:val="0"/>
            <w:vAlign w:val="center"/>
          </w:tcPr>
          <w:p>
            <w:pPr>
              <w:jc w:val="center"/>
              <w:rPr>
                <w:color w:val="auto"/>
                <w:sz w:val="24"/>
              </w:rPr>
            </w:pPr>
            <w:r>
              <w:rPr>
                <w:color w:val="auto"/>
                <w:sz w:val="24"/>
              </w:rPr>
              <w:t>[</w:t>
            </w:r>
            <w:r>
              <w:rPr>
                <w:rFonts w:hint="eastAsia"/>
                <w:color w:val="auto"/>
                <w:sz w:val="24"/>
              </w:rPr>
              <w:t>D4416</w:t>
            </w:r>
            <w:r>
              <w:rPr>
                <w:color w:val="auto"/>
                <w:sz w:val="24"/>
              </w:rPr>
              <w:t>]</w:t>
            </w:r>
            <w:r>
              <w:rPr>
                <w:rFonts w:hint="eastAsia"/>
                <w:color w:val="auto"/>
                <w:sz w:val="24"/>
              </w:rPr>
              <w:t>太阳能发电</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815" w:hRule="exact"/>
          <w:jc w:val="center"/>
        </w:trPr>
        <w:tc>
          <w:tcPr>
            <w:tcW w:w="1387" w:type="dxa"/>
            <w:tcBorders>
              <w:tl2br w:val="nil"/>
              <w:tr2bl w:val="nil"/>
            </w:tcBorders>
            <w:noWrap w:val="0"/>
            <w:vAlign w:val="center"/>
          </w:tcPr>
          <w:p>
            <w:pPr>
              <w:jc w:val="center"/>
              <w:rPr>
                <w:color w:val="auto"/>
                <w:sz w:val="24"/>
              </w:rPr>
            </w:pPr>
            <w:r>
              <w:rPr>
                <w:color w:val="auto"/>
                <w:sz w:val="24"/>
              </w:rPr>
              <w:t>占地面积</w:t>
            </w:r>
          </w:p>
          <w:p>
            <w:pPr>
              <w:jc w:val="center"/>
              <w:rPr>
                <w:color w:val="auto"/>
                <w:sz w:val="24"/>
              </w:rPr>
            </w:pPr>
            <w:r>
              <w:rPr>
                <w:color w:val="auto"/>
                <w:sz w:val="24"/>
              </w:rPr>
              <w:t>(平方米)</w:t>
            </w:r>
          </w:p>
        </w:tc>
        <w:tc>
          <w:tcPr>
            <w:tcW w:w="3030" w:type="dxa"/>
            <w:gridSpan w:val="6"/>
            <w:tcBorders>
              <w:tl2br w:val="nil"/>
              <w:tr2bl w:val="nil"/>
            </w:tcBorders>
            <w:noWrap w:val="0"/>
            <w:vAlign w:val="center"/>
          </w:tcPr>
          <w:p>
            <w:pPr>
              <w:jc w:val="center"/>
              <w:rPr>
                <w:rFonts w:hint="eastAsia"/>
                <w:color w:val="auto"/>
                <w:sz w:val="24"/>
              </w:rPr>
            </w:pPr>
            <w:r>
              <w:rPr>
                <w:rFonts w:hint="eastAsia"/>
                <w:color w:val="auto"/>
                <w:sz w:val="24"/>
                <w:highlight w:val="none"/>
                <w:lang w:val="en-US" w:eastAsia="zh-CN"/>
              </w:rPr>
              <w:t>326900</w:t>
            </w:r>
          </w:p>
        </w:tc>
        <w:tc>
          <w:tcPr>
            <w:tcW w:w="1533" w:type="dxa"/>
            <w:gridSpan w:val="2"/>
            <w:tcBorders>
              <w:tl2br w:val="nil"/>
              <w:tr2bl w:val="nil"/>
            </w:tcBorders>
            <w:noWrap w:val="0"/>
            <w:vAlign w:val="center"/>
          </w:tcPr>
          <w:p>
            <w:pPr>
              <w:jc w:val="center"/>
              <w:rPr>
                <w:color w:val="auto"/>
                <w:sz w:val="24"/>
              </w:rPr>
            </w:pPr>
            <w:r>
              <w:rPr>
                <w:color w:val="auto"/>
                <w:sz w:val="24"/>
              </w:rPr>
              <w:t>绿化面积</w:t>
            </w:r>
          </w:p>
          <w:p>
            <w:pPr>
              <w:jc w:val="center"/>
              <w:rPr>
                <w:color w:val="auto"/>
                <w:sz w:val="24"/>
              </w:rPr>
            </w:pPr>
            <w:r>
              <w:rPr>
                <w:color w:val="auto"/>
                <w:sz w:val="24"/>
              </w:rPr>
              <w:t>(平方米)</w:t>
            </w:r>
          </w:p>
        </w:tc>
        <w:tc>
          <w:tcPr>
            <w:tcW w:w="3337" w:type="dxa"/>
            <w:gridSpan w:val="5"/>
            <w:tcBorders>
              <w:tl2br w:val="nil"/>
              <w:tr2bl w:val="nil"/>
            </w:tcBorders>
            <w:noWrap w:val="0"/>
            <w:vAlign w:val="center"/>
          </w:tcPr>
          <w:p>
            <w:pPr>
              <w:jc w:val="center"/>
              <w:rPr>
                <w:color w:val="auto"/>
                <w:sz w:val="24"/>
              </w:rPr>
            </w:pPr>
            <w:r>
              <w:rPr>
                <w:color w:val="auto"/>
                <w:sz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71" w:hRule="exact"/>
          <w:jc w:val="center"/>
        </w:trPr>
        <w:tc>
          <w:tcPr>
            <w:tcW w:w="1387" w:type="dxa"/>
            <w:tcBorders>
              <w:tl2br w:val="nil"/>
              <w:tr2bl w:val="nil"/>
            </w:tcBorders>
            <w:noWrap w:val="0"/>
            <w:vAlign w:val="center"/>
          </w:tcPr>
          <w:p>
            <w:pPr>
              <w:jc w:val="center"/>
              <w:rPr>
                <w:color w:val="auto"/>
                <w:sz w:val="24"/>
              </w:rPr>
            </w:pPr>
            <w:r>
              <w:rPr>
                <w:color w:val="auto"/>
                <w:sz w:val="24"/>
              </w:rPr>
              <w:t>总投资</w:t>
            </w:r>
          </w:p>
          <w:p>
            <w:pPr>
              <w:jc w:val="center"/>
              <w:rPr>
                <w:color w:val="auto"/>
                <w:sz w:val="24"/>
              </w:rPr>
            </w:pPr>
            <w:r>
              <w:rPr>
                <w:color w:val="auto"/>
                <w:sz w:val="24"/>
              </w:rPr>
              <w:t>（万元）</w:t>
            </w:r>
          </w:p>
        </w:tc>
        <w:tc>
          <w:tcPr>
            <w:tcW w:w="1285" w:type="dxa"/>
            <w:gridSpan w:val="2"/>
            <w:tcBorders>
              <w:tl2br w:val="nil"/>
              <w:tr2bl w:val="nil"/>
            </w:tcBorders>
            <w:noWrap w:val="0"/>
            <w:vAlign w:val="center"/>
          </w:tcPr>
          <w:p>
            <w:pPr>
              <w:jc w:val="center"/>
              <w:rPr>
                <w:color w:val="auto"/>
                <w:sz w:val="18"/>
                <w:szCs w:val="18"/>
              </w:rPr>
            </w:pPr>
            <w:r>
              <w:rPr>
                <w:rFonts w:hint="eastAsia"/>
                <w:color w:val="auto"/>
                <w:sz w:val="24"/>
                <w:highlight w:val="none"/>
                <w:lang w:val="en-US" w:eastAsia="zh-CN"/>
              </w:rPr>
              <w:t>12715</w:t>
            </w:r>
          </w:p>
        </w:tc>
        <w:tc>
          <w:tcPr>
            <w:tcW w:w="1745" w:type="dxa"/>
            <w:gridSpan w:val="4"/>
            <w:tcBorders>
              <w:tl2br w:val="nil"/>
              <w:tr2bl w:val="nil"/>
            </w:tcBorders>
            <w:noWrap w:val="0"/>
            <w:vAlign w:val="center"/>
          </w:tcPr>
          <w:p>
            <w:pPr>
              <w:jc w:val="center"/>
              <w:rPr>
                <w:color w:val="auto"/>
                <w:sz w:val="24"/>
              </w:rPr>
            </w:pPr>
            <w:r>
              <w:rPr>
                <w:color w:val="auto"/>
                <w:sz w:val="24"/>
              </w:rPr>
              <w:t>其中：环保投资(万元)</w:t>
            </w:r>
          </w:p>
        </w:tc>
        <w:tc>
          <w:tcPr>
            <w:tcW w:w="1533" w:type="dxa"/>
            <w:gridSpan w:val="2"/>
            <w:tcBorders>
              <w:tl2br w:val="nil"/>
              <w:tr2bl w:val="nil"/>
            </w:tcBorders>
            <w:noWrap w:val="0"/>
            <w:vAlign w:val="center"/>
          </w:tcPr>
          <w:p>
            <w:pPr>
              <w:jc w:val="center"/>
              <w:rPr>
                <w:rFonts w:hint="default" w:eastAsia="宋体"/>
                <w:color w:val="auto"/>
                <w:sz w:val="24"/>
                <w:lang w:val="en-US" w:eastAsia="zh-CN"/>
              </w:rPr>
            </w:pPr>
            <w:r>
              <w:rPr>
                <w:rFonts w:hint="eastAsia"/>
                <w:color w:val="auto"/>
                <w:sz w:val="24"/>
                <w:lang w:val="en-US" w:eastAsia="zh-CN"/>
              </w:rPr>
              <w:t>49</w:t>
            </w:r>
          </w:p>
        </w:tc>
        <w:tc>
          <w:tcPr>
            <w:tcW w:w="1390" w:type="dxa"/>
            <w:gridSpan w:val="3"/>
            <w:tcBorders>
              <w:tl2br w:val="nil"/>
              <w:tr2bl w:val="nil"/>
            </w:tcBorders>
            <w:noWrap w:val="0"/>
            <w:vAlign w:val="center"/>
          </w:tcPr>
          <w:p>
            <w:pPr>
              <w:jc w:val="center"/>
              <w:rPr>
                <w:color w:val="auto"/>
                <w:sz w:val="24"/>
              </w:rPr>
            </w:pPr>
            <w:r>
              <w:rPr>
                <w:color w:val="auto"/>
                <w:sz w:val="24"/>
              </w:rPr>
              <w:t>环保投资占总投资比例</w:t>
            </w:r>
          </w:p>
        </w:tc>
        <w:tc>
          <w:tcPr>
            <w:tcW w:w="1947" w:type="dxa"/>
            <w:gridSpan w:val="2"/>
            <w:tcBorders>
              <w:tl2br w:val="nil"/>
              <w:tr2bl w:val="nil"/>
            </w:tcBorders>
            <w:noWrap w:val="0"/>
            <w:vAlign w:val="center"/>
          </w:tcPr>
          <w:p>
            <w:pPr>
              <w:jc w:val="center"/>
              <w:rPr>
                <w:rFonts w:hint="default" w:eastAsia="宋体"/>
                <w:color w:val="auto"/>
                <w:sz w:val="24"/>
                <w:lang w:val="en-US" w:eastAsia="zh-CN"/>
              </w:rPr>
            </w:pPr>
            <w:r>
              <w:rPr>
                <w:rFonts w:hint="eastAsia"/>
                <w:color w:val="auto"/>
                <w:sz w:val="24"/>
                <w:lang w:val="en-US" w:eastAsia="zh-CN"/>
              </w:rPr>
              <w:t>0.4%</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704" w:hRule="exact"/>
          <w:jc w:val="center"/>
        </w:trPr>
        <w:tc>
          <w:tcPr>
            <w:tcW w:w="1387" w:type="dxa"/>
            <w:tcBorders>
              <w:tl2br w:val="nil"/>
              <w:tr2bl w:val="nil"/>
            </w:tcBorders>
            <w:noWrap w:val="0"/>
            <w:vAlign w:val="center"/>
          </w:tcPr>
          <w:p>
            <w:pPr>
              <w:jc w:val="center"/>
              <w:rPr>
                <w:color w:val="auto"/>
                <w:sz w:val="24"/>
              </w:rPr>
            </w:pPr>
            <w:r>
              <w:rPr>
                <w:color w:val="auto"/>
                <w:sz w:val="24"/>
              </w:rPr>
              <w:t>评价经费</w:t>
            </w:r>
          </w:p>
          <w:p>
            <w:pPr>
              <w:jc w:val="center"/>
              <w:rPr>
                <w:color w:val="auto"/>
                <w:sz w:val="24"/>
              </w:rPr>
            </w:pPr>
            <w:r>
              <w:rPr>
                <w:color w:val="auto"/>
                <w:sz w:val="24"/>
              </w:rPr>
              <w:t>（万元）</w:t>
            </w:r>
          </w:p>
        </w:tc>
        <w:tc>
          <w:tcPr>
            <w:tcW w:w="1285" w:type="dxa"/>
            <w:gridSpan w:val="2"/>
            <w:tcBorders>
              <w:tl2br w:val="nil"/>
              <w:tr2bl w:val="nil"/>
            </w:tcBorders>
            <w:noWrap w:val="0"/>
            <w:vAlign w:val="center"/>
          </w:tcPr>
          <w:p>
            <w:pPr>
              <w:jc w:val="center"/>
              <w:rPr>
                <w:color w:val="auto"/>
                <w:sz w:val="24"/>
              </w:rPr>
            </w:pPr>
            <w:r>
              <w:rPr>
                <w:color w:val="auto"/>
                <w:sz w:val="24"/>
              </w:rPr>
              <w:t>/</w:t>
            </w:r>
          </w:p>
        </w:tc>
        <w:tc>
          <w:tcPr>
            <w:tcW w:w="1745" w:type="dxa"/>
            <w:gridSpan w:val="4"/>
            <w:tcBorders>
              <w:tl2br w:val="nil"/>
              <w:tr2bl w:val="nil"/>
            </w:tcBorders>
            <w:noWrap w:val="0"/>
            <w:vAlign w:val="center"/>
          </w:tcPr>
          <w:p>
            <w:pPr>
              <w:jc w:val="center"/>
              <w:rPr>
                <w:color w:val="auto"/>
                <w:sz w:val="24"/>
              </w:rPr>
            </w:pPr>
            <w:r>
              <w:rPr>
                <w:color w:val="auto"/>
                <w:sz w:val="24"/>
              </w:rPr>
              <w:t>预期投产日期</w:t>
            </w:r>
          </w:p>
        </w:tc>
        <w:tc>
          <w:tcPr>
            <w:tcW w:w="4870" w:type="dxa"/>
            <w:gridSpan w:val="7"/>
            <w:tcBorders>
              <w:tl2br w:val="nil"/>
              <w:tr2bl w:val="nil"/>
            </w:tcBorders>
            <w:noWrap w:val="0"/>
            <w:vAlign w:val="center"/>
          </w:tcPr>
          <w:p>
            <w:pPr>
              <w:jc w:val="center"/>
              <w:rPr>
                <w:color w:val="auto"/>
                <w:sz w:val="24"/>
              </w:rPr>
            </w:pPr>
            <w:r>
              <w:rPr>
                <w:rFonts w:hint="eastAsia"/>
                <w:color w:val="auto"/>
                <w:sz w:val="24"/>
              </w:rPr>
              <w:t>2</w:t>
            </w:r>
            <w:r>
              <w:rPr>
                <w:color w:val="auto"/>
                <w:sz w:val="24"/>
              </w:rPr>
              <w:t>02</w:t>
            </w:r>
            <w:r>
              <w:rPr>
                <w:rFonts w:hint="eastAsia"/>
                <w:color w:val="auto"/>
                <w:sz w:val="24"/>
                <w:lang w:val="en-US" w:eastAsia="zh-CN"/>
              </w:rPr>
              <w:t>1</w:t>
            </w:r>
            <w:r>
              <w:rPr>
                <w:color w:val="auto"/>
                <w:sz w:val="24"/>
              </w:rPr>
              <w:t>年</w:t>
            </w:r>
            <w:r>
              <w:rPr>
                <w:rFonts w:hint="eastAsia"/>
                <w:color w:val="auto"/>
                <w:sz w:val="24"/>
                <w:lang w:val="en-US" w:eastAsia="zh-CN"/>
              </w:rPr>
              <w:t>1</w:t>
            </w:r>
            <w:r>
              <w:rPr>
                <w:color w:val="auto"/>
                <w:sz w:val="24"/>
              </w:rPr>
              <w:t>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1193" w:hRule="exact"/>
          <w:jc w:val="center"/>
        </w:trPr>
        <w:tc>
          <w:tcPr>
            <w:tcW w:w="9287" w:type="dxa"/>
            <w:gridSpan w:val="14"/>
            <w:tcBorders>
              <w:tl2br w:val="nil"/>
              <w:tr2bl w:val="nil"/>
            </w:tcBorders>
            <w:noWrap w:val="0"/>
            <w:vAlign w:val="top"/>
          </w:tcPr>
          <w:p>
            <w:pPr>
              <w:rPr>
                <w:color w:val="auto"/>
                <w:sz w:val="24"/>
              </w:rPr>
            </w:pPr>
            <w:r>
              <w:rPr>
                <w:color w:val="auto"/>
                <w:sz w:val="24"/>
              </w:rPr>
              <w:t>原辅材料(包括名称、用量)及主要设施规格、数量</w:t>
            </w:r>
          </w:p>
          <w:p>
            <w:pPr>
              <w:spacing w:line="360" w:lineRule="auto"/>
              <w:ind w:left="1330" w:hanging="1329" w:hangingChars="554"/>
              <w:jc w:val="left"/>
              <w:rPr>
                <w:color w:val="auto"/>
                <w:sz w:val="24"/>
              </w:rPr>
            </w:pPr>
            <w:r>
              <w:rPr>
                <w:color w:val="auto"/>
                <w:sz w:val="24"/>
              </w:rPr>
              <w:t>主要原辅料：见表1</w:t>
            </w:r>
          </w:p>
          <w:p>
            <w:pPr>
              <w:ind w:left="1440" w:hanging="1440" w:hangingChars="600"/>
              <w:jc w:val="left"/>
              <w:rPr>
                <w:color w:val="auto"/>
                <w:sz w:val="24"/>
              </w:rPr>
            </w:pPr>
            <w:r>
              <w:rPr>
                <w:color w:val="auto"/>
                <w:sz w:val="24"/>
              </w:rPr>
              <w:t>主要设备：见表2</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458" w:hRule="exact"/>
          <w:jc w:val="center"/>
        </w:trPr>
        <w:tc>
          <w:tcPr>
            <w:tcW w:w="9287" w:type="dxa"/>
            <w:gridSpan w:val="14"/>
            <w:tcBorders>
              <w:tl2br w:val="nil"/>
              <w:tr2bl w:val="nil"/>
            </w:tcBorders>
            <w:noWrap w:val="0"/>
            <w:vAlign w:val="center"/>
          </w:tcPr>
          <w:p>
            <w:pPr>
              <w:rPr>
                <w:color w:val="auto"/>
                <w:sz w:val="24"/>
              </w:rPr>
            </w:pPr>
            <w:r>
              <w:rPr>
                <w:color w:val="auto"/>
                <w:sz w:val="24"/>
              </w:rPr>
              <w:t>水及能源消耗量：</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94" w:hRule="exact"/>
          <w:jc w:val="center"/>
        </w:trPr>
        <w:tc>
          <w:tcPr>
            <w:tcW w:w="1836" w:type="dxa"/>
            <w:gridSpan w:val="2"/>
            <w:tcBorders>
              <w:tl2br w:val="nil"/>
              <w:tr2bl w:val="nil"/>
            </w:tcBorders>
            <w:noWrap w:val="0"/>
            <w:vAlign w:val="center"/>
          </w:tcPr>
          <w:p>
            <w:pPr>
              <w:jc w:val="center"/>
              <w:rPr>
                <w:color w:val="auto"/>
                <w:sz w:val="24"/>
              </w:rPr>
            </w:pPr>
            <w:r>
              <w:rPr>
                <w:color w:val="auto"/>
                <w:sz w:val="24"/>
              </w:rPr>
              <w:t>名称</w:t>
            </w:r>
          </w:p>
        </w:tc>
        <w:tc>
          <w:tcPr>
            <w:tcW w:w="1540" w:type="dxa"/>
            <w:gridSpan w:val="2"/>
            <w:tcBorders>
              <w:tl2br w:val="nil"/>
              <w:tr2bl w:val="nil"/>
            </w:tcBorders>
            <w:noWrap w:val="0"/>
            <w:vAlign w:val="center"/>
          </w:tcPr>
          <w:p>
            <w:pPr>
              <w:jc w:val="center"/>
              <w:rPr>
                <w:color w:val="auto"/>
                <w:sz w:val="24"/>
              </w:rPr>
            </w:pPr>
            <w:r>
              <w:rPr>
                <w:color w:val="auto"/>
                <w:sz w:val="24"/>
              </w:rPr>
              <w:t>消耗量</w:t>
            </w:r>
          </w:p>
        </w:tc>
        <w:tc>
          <w:tcPr>
            <w:tcW w:w="2633" w:type="dxa"/>
            <w:gridSpan w:val="6"/>
            <w:tcBorders>
              <w:tl2br w:val="nil"/>
              <w:tr2bl w:val="nil"/>
            </w:tcBorders>
            <w:noWrap w:val="0"/>
            <w:vAlign w:val="center"/>
          </w:tcPr>
          <w:p>
            <w:pPr>
              <w:jc w:val="center"/>
              <w:rPr>
                <w:color w:val="auto"/>
                <w:sz w:val="24"/>
              </w:rPr>
            </w:pPr>
            <w:r>
              <w:rPr>
                <w:color w:val="auto"/>
                <w:sz w:val="24"/>
              </w:rPr>
              <w:t>名称</w:t>
            </w:r>
          </w:p>
        </w:tc>
        <w:tc>
          <w:tcPr>
            <w:tcW w:w="3278" w:type="dxa"/>
            <w:gridSpan w:val="4"/>
            <w:tcBorders>
              <w:tl2br w:val="nil"/>
              <w:tr2bl w:val="nil"/>
            </w:tcBorders>
            <w:noWrap w:val="0"/>
            <w:vAlign w:val="center"/>
          </w:tcPr>
          <w:p>
            <w:pPr>
              <w:pStyle w:val="13"/>
              <w:spacing w:line="240" w:lineRule="auto"/>
              <w:rPr>
                <w:rFonts w:ascii="Times New Roman" w:eastAsia="宋体"/>
                <w:color w:val="auto"/>
                <w:sz w:val="24"/>
                <w:szCs w:val="24"/>
              </w:rPr>
            </w:pPr>
            <w:r>
              <w:rPr>
                <w:rFonts w:ascii="Times New Roman" w:eastAsia="宋体"/>
                <w:color w:val="auto"/>
                <w:sz w:val="24"/>
                <w:szCs w:val="24"/>
              </w:rPr>
              <w:t>消耗量</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13" w:hRule="exact"/>
          <w:jc w:val="center"/>
        </w:trPr>
        <w:tc>
          <w:tcPr>
            <w:tcW w:w="1836" w:type="dxa"/>
            <w:gridSpan w:val="2"/>
            <w:tcBorders>
              <w:tl2br w:val="nil"/>
              <w:tr2bl w:val="nil"/>
            </w:tcBorders>
            <w:noWrap w:val="0"/>
            <w:vAlign w:val="center"/>
          </w:tcPr>
          <w:p>
            <w:pPr>
              <w:jc w:val="center"/>
              <w:rPr>
                <w:color w:val="auto"/>
                <w:sz w:val="24"/>
              </w:rPr>
            </w:pPr>
            <w:r>
              <w:rPr>
                <w:color w:val="auto"/>
                <w:sz w:val="24"/>
              </w:rPr>
              <w:t>水（吨/年）</w:t>
            </w:r>
          </w:p>
        </w:tc>
        <w:tc>
          <w:tcPr>
            <w:tcW w:w="1540" w:type="dxa"/>
            <w:gridSpan w:val="2"/>
            <w:tcBorders>
              <w:tl2br w:val="nil"/>
              <w:tr2bl w:val="nil"/>
            </w:tcBorders>
            <w:noWrap w:val="0"/>
            <w:vAlign w:val="center"/>
          </w:tcPr>
          <w:p>
            <w:pPr>
              <w:jc w:val="center"/>
              <w:rPr>
                <w:rFonts w:hint="default" w:eastAsia="宋体"/>
                <w:color w:val="auto"/>
                <w:sz w:val="24"/>
                <w:lang w:val="en-US" w:eastAsia="zh-CN"/>
              </w:rPr>
            </w:pPr>
            <w:r>
              <w:rPr>
                <w:rFonts w:hint="eastAsia"/>
                <w:color w:val="auto"/>
                <w:sz w:val="24"/>
                <w:highlight w:val="none"/>
                <w:lang w:val="en-US" w:eastAsia="zh-CN"/>
              </w:rPr>
              <w:t>6003</w:t>
            </w:r>
          </w:p>
        </w:tc>
        <w:tc>
          <w:tcPr>
            <w:tcW w:w="2633" w:type="dxa"/>
            <w:gridSpan w:val="6"/>
            <w:tcBorders>
              <w:tl2br w:val="nil"/>
              <w:tr2bl w:val="nil"/>
            </w:tcBorders>
            <w:noWrap w:val="0"/>
            <w:vAlign w:val="center"/>
          </w:tcPr>
          <w:p>
            <w:pPr>
              <w:jc w:val="center"/>
              <w:rPr>
                <w:color w:val="auto"/>
                <w:sz w:val="24"/>
              </w:rPr>
            </w:pPr>
            <w:r>
              <w:rPr>
                <w:color w:val="auto"/>
                <w:sz w:val="24"/>
              </w:rPr>
              <w:t>燃油（吨/年）</w:t>
            </w:r>
          </w:p>
        </w:tc>
        <w:tc>
          <w:tcPr>
            <w:tcW w:w="3278" w:type="dxa"/>
            <w:gridSpan w:val="4"/>
            <w:tcBorders>
              <w:tl2br w:val="nil"/>
              <w:tr2bl w:val="nil"/>
            </w:tcBorders>
            <w:noWrap w:val="0"/>
            <w:vAlign w:val="center"/>
          </w:tcPr>
          <w:p>
            <w:pPr>
              <w:jc w:val="center"/>
              <w:rPr>
                <w:color w:val="auto"/>
                <w:sz w:val="24"/>
              </w:rPr>
            </w:pPr>
            <w:r>
              <w:rPr>
                <w:rFonts w:hint="eastAsia"/>
                <w:color w:val="auto"/>
                <w:sz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94" w:hRule="exact"/>
          <w:jc w:val="center"/>
        </w:trPr>
        <w:tc>
          <w:tcPr>
            <w:tcW w:w="1836" w:type="dxa"/>
            <w:gridSpan w:val="2"/>
            <w:tcBorders>
              <w:tl2br w:val="nil"/>
              <w:tr2bl w:val="nil"/>
            </w:tcBorders>
            <w:noWrap w:val="0"/>
            <w:vAlign w:val="center"/>
          </w:tcPr>
          <w:p>
            <w:pPr>
              <w:jc w:val="center"/>
              <w:rPr>
                <w:color w:val="auto"/>
                <w:sz w:val="24"/>
              </w:rPr>
            </w:pPr>
            <w:r>
              <w:rPr>
                <w:color w:val="auto"/>
                <w:sz w:val="24"/>
              </w:rPr>
              <w:t>电（千瓦时/年）</w:t>
            </w:r>
          </w:p>
        </w:tc>
        <w:tc>
          <w:tcPr>
            <w:tcW w:w="1540" w:type="dxa"/>
            <w:gridSpan w:val="2"/>
            <w:tcBorders>
              <w:tl2br w:val="nil"/>
              <w:tr2bl w:val="nil"/>
            </w:tcBorders>
            <w:noWrap w:val="0"/>
            <w:vAlign w:val="center"/>
          </w:tcPr>
          <w:p>
            <w:pPr>
              <w:jc w:val="center"/>
              <w:rPr>
                <w:color w:val="auto"/>
                <w:sz w:val="24"/>
              </w:rPr>
            </w:pPr>
            <w:r>
              <w:rPr>
                <w:rFonts w:hint="eastAsia"/>
                <w:color w:val="auto"/>
                <w:sz w:val="24"/>
              </w:rPr>
              <w:t>/</w:t>
            </w:r>
          </w:p>
        </w:tc>
        <w:tc>
          <w:tcPr>
            <w:tcW w:w="2633" w:type="dxa"/>
            <w:gridSpan w:val="6"/>
            <w:tcBorders>
              <w:tl2br w:val="nil"/>
              <w:tr2bl w:val="nil"/>
            </w:tcBorders>
            <w:noWrap w:val="0"/>
            <w:vAlign w:val="center"/>
          </w:tcPr>
          <w:p>
            <w:pPr>
              <w:jc w:val="center"/>
              <w:rPr>
                <w:color w:val="auto"/>
                <w:sz w:val="24"/>
              </w:rPr>
            </w:pPr>
            <w:r>
              <w:rPr>
                <w:color w:val="auto"/>
                <w:sz w:val="24"/>
              </w:rPr>
              <w:t>燃气（标立方米/年）</w:t>
            </w:r>
          </w:p>
        </w:tc>
        <w:tc>
          <w:tcPr>
            <w:tcW w:w="3278" w:type="dxa"/>
            <w:gridSpan w:val="4"/>
            <w:tcBorders>
              <w:tl2br w:val="nil"/>
              <w:tr2bl w:val="nil"/>
            </w:tcBorders>
            <w:noWrap w:val="0"/>
            <w:vAlign w:val="center"/>
          </w:tcPr>
          <w:p>
            <w:pPr>
              <w:jc w:val="center"/>
              <w:rPr>
                <w:color w:val="auto"/>
                <w:sz w:val="24"/>
              </w:rPr>
            </w:pPr>
            <w:r>
              <w:rPr>
                <w:rFonts w:hint="eastAsia"/>
                <w:color w:val="auto"/>
                <w:sz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exact"/>
          <w:jc w:val="center"/>
        </w:trPr>
        <w:tc>
          <w:tcPr>
            <w:tcW w:w="1836" w:type="dxa"/>
            <w:gridSpan w:val="2"/>
            <w:tcBorders>
              <w:tl2br w:val="nil"/>
              <w:tr2bl w:val="nil"/>
            </w:tcBorders>
            <w:noWrap w:val="0"/>
            <w:vAlign w:val="center"/>
          </w:tcPr>
          <w:p>
            <w:pPr>
              <w:jc w:val="center"/>
              <w:rPr>
                <w:color w:val="auto"/>
                <w:sz w:val="24"/>
              </w:rPr>
            </w:pPr>
            <w:r>
              <w:rPr>
                <w:color w:val="auto"/>
                <w:sz w:val="24"/>
              </w:rPr>
              <w:t>燃煤（吨/年）</w:t>
            </w:r>
          </w:p>
        </w:tc>
        <w:tc>
          <w:tcPr>
            <w:tcW w:w="1540" w:type="dxa"/>
            <w:gridSpan w:val="2"/>
            <w:tcBorders>
              <w:tl2br w:val="nil"/>
              <w:tr2bl w:val="nil"/>
            </w:tcBorders>
            <w:noWrap w:val="0"/>
            <w:vAlign w:val="center"/>
          </w:tcPr>
          <w:p>
            <w:pPr>
              <w:jc w:val="center"/>
              <w:rPr>
                <w:color w:val="auto"/>
                <w:sz w:val="24"/>
                <w:lang w:eastAsia="ko-KR"/>
              </w:rPr>
            </w:pPr>
            <w:r>
              <w:rPr>
                <w:color w:val="auto"/>
                <w:sz w:val="24"/>
                <w:lang w:eastAsia="ko-KR"/>
              </w:rPr>
              <w:t>/</w:t>
            </w:r>
          </w:p>
        </w:tc>
        <w:tc>
          <w:tcPr>
            <w:tcW w:w="2633" w:type="dxa"/>
            <w:gridSpan w:val="6"/>
            <w:tcBorders>
              <w:tl2br w:val="nil"/>
              <w:tr2bl w:val="nil"/>
            </w:tcBorders>
            <w:noWrap w:val="0"/>
            <w:vAlign w:val="center"/>
          </w:tcPr>
          <w:p>
            <w:pPr>
              <w:jc w:val="center"/>
              <w:rPr>
                <w:color w:val="auto"/>
                <w:sz w:val="24"/>
              </w:rPr>
            </w:pPr>
            <w:r>
              <w:rPr>
                <w:color w:val="auto"/>
                <w:sz w:val="24"/>
              </w:rPr>
              <w:t>其它（吨/年）</w:t>
            </w:r>
          </w:p>
        </w:tc>
        <w:tc>
          <w:tcPr>
            <w:tcW w:w="3278" w:type="dxa"/>
            <w:gridSpan w:val="4"/>
            <w:tcBorders>
              <w:tl2br w:val="nil"/>
              <w:tr2bl w:val="nil"/>
            </w:tcBorders>
            <w:noWrap w:val="0"/>
            <w:vAlign w:val="center"/>
          </w:tcPr>
          <w:p>
            <w:pPr>
              <w:jc w:val="center"/>
              <w:rPr>
                <w:color w:val="auto"/>
                <w:sz w:val="24"/>
              </w:rPr>
            </w:pPr>
            <w:r>
              <w:rPr>
                <w:color w:val="auto"/>
                <w:sz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1272" w:hRule="atLeast"/>
          <w:jc w:val="center"/>
        </w:trPr>
        <w:tc>
          <w:tcPr>
            <w:tcW w:w="9287" w:type="dxa"/>
            <w:gridSpan w:val="14"/>
            <w:tcBorders>
              <w:tl2br w:val="nil"/>
              <w:tr2bl w:val="nil"/>
            </w:tcBorders>
            <w:noWrap w:val="0"/>
            <w:vAlign w:val="top"/>
          </w:tcPr>
          <w:p>
            <w:pPr>
              <w:rPr>
                <w:color w:val="auto"/>
              </w:rPr>
            </w:pPr>
            <w:r>
              <w:rPr>
                <w:color w:val="auto"/>
              </w:rPr>
              <w:t>废水（工业废水</w:t>
            </w:r>
            <w:r>
              <w:rPr>
                <w:color w:val="auto"/>
              </w:rPr>
              <w:sym w:font="Symbol" w:char="F0F0"/>
            </w:r>
            <w:r>
              <w:rPr>
                <w:color w:val="auto"/>
              </w:rPr>
              <w:t>、生活</w:t>
            </w:r>
            <w:r>
              <w:rPr>
                <w:rFonts w:hint="eastAsia"/>
                <w:color w:val="auto"/>
              </w:rPr>
              <w:t>污</w:t>
            </w:r>
            <w:r>
              <w:rPr>
                <w:color w:val="auto"/>
              </w:rPr>
              <w:t>水</w:t>
            </w:r>
            <w:r>
              <w:rPr>
                <w:color w:val="auto"/>
              </w:rPr>
              <w:sym w:font="Symbol" w:char="F0F0"/>
            </w:r>
            <w:r>
              <w:rPr>
                <w:color w:val="auto"/>
              </w:rPr>
              <w:t>）排水量及排放去向</w:t>
            </w:r>
          </w:p>
          <w:p>
            <w:pPr>
              <w:spacing w:line="360" w:lineRule="auto"/>
              <w:ind w:firstLine="352" w:firstLineChars="147"/>
              <w:jc w:val="left"/>
              <w:rPr>
                <w:rFonts w:hint="default"/>
                <w:color w:val="auto"/>
                <w:sz w:val="24"/>
                <w:lang w:val="en-US" w:eastAsia="zh-CN"/>
              </w:rPr>
            </w:pPr>
            <w:r>
              <w:rPr>
                <w:rFonts w:hint="eastAsia"/>
                <w:color w:val="auto"/>
                <w:sz w:val="24"/>
                <w:lang w:val="en-US" w:eastAsia="zh-CN"/>
              </w:rPr>
              <w:t>运行期</w:t>
            </w:r>
            <w:r>
              <w:rPr>
                <w:rFonts w:hint="eastAsia"/>
                <w:color w:val="auto"/>
                <w:sz w:val="24"/>
              </w:rPr>
              <w:t>本项目太阳能电池板清洗废水</w:t>
            </w:r>
            <w:r>
              <w:rPr>
                <w:rFonts w:hint="eastAsia"/>
                <w:color w:val="auto"/>
                <w:sz w:val="24"/>
                <w:lang w:val="en-US" w:eastAsia="zh-CN"/>
              </w:rPr>
              <w:t>年产生量约</w:t>
            </w:r>
            <w:r>
              <w:rPr>
                <w:rFonts w:hint="eastAsia"/>
                <w:color w:val="auto"/>
                <w:sz w:val="24"/>
                <w:highlight w:val="none"/>
                <w:lang w:val="en-US" w:eastAsia="zh-CN"/>
              </w:rPr>
              <w:t>6003t/a</w:t>
            </w:r>
            <w:r>
              <w:rPr>
                <w:rFonts w:hint="eastAsia"/>
                <w:color w:val="auto"/>
                <w:sz w:val="24"/>
                <w:lang w:val="en-US" w:eastAsia="zh-CN"/>
              </w:rPr>
              <w:t>，</w:t>
            </w:r>
            <w:r>
              <w:rPr>
                <w:rFonts w:hint="eastAsia"/>
                <w:color w:val="auto"/>
                <w:sz w:val="24"/>
              </w:rPr>
              <w:t>主要污染物为</w:t>
            </w:r>
            <w:r>
              <w:rPr>
                <w:rFonts w:hint="eastAsia"/>
                <w:color w:val="auto"/>
                <w:sz w:val="24"/>
                <w:lang w:val="en-US" w:eastAsia="zh-CN"/>
              </w:rPr>
              <w:t>SS</w:t>
            </w:r>
            <w:r>
              <w:rPr>
                <w:rFonts w:hint="eastAsia"/>
                <w:color w:val="auto"/>
                <w:sz w:val="24"/>
              </w:rPr>
              <w:t>且浓度较低，直</w:t>
            </w:r>
            <w:r>
              <w:rPr>
                <w:rFonts w:hint="eastAsia" w:ascii="Times New Roman" w:hAnsi="Times New Roman" w:cs="Times New Roman"/>
                <w:color w:val="auto"/>
                <w:sz w:val="24"/>
                <w:lang w:val="en-US" w:eastAsia="zh-CN"/>
              </w:rPr>
              <w:t>接散排就地蒸发；</w:t>
            </w:r>
            <w:r>
              <w:rPr>
                <w:rFonts w:hint="eastAsia" w:cs="Times New Roman"/>
                <w:color w:val="auto"/>
                <w:sz w:val="24"/>
                <w:lang w:val="en-US" w:eastAsia="zh-CN"/>
              </w:rPr>
              <w:t>本项目</w:t>
            </w:r>
            <w:r>
              <w:rPr>
                <w:rFonts w:hint="eastAsia"/>
                <w:color w:val="auto"/>
                <w:sz w:val="24"/>
                <w:lang w:val="en-US" w:eastAsia="zh-CN"/>
              </w:rPr>
              <w:t>按无人值守考虑，无生活污水产生。</w:t>
            </w:r>
          </w:p>
          <w:p>
            <w:pPr>
              <w:pStyle w:val="15"/>
              <w:rPr>
                <w:rFonts w:hint="eastAsia"/>
                <w:color w:val="auto"/>
                <w:lang w:eastAsia="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685" w:hRule="atLeast"/>
          <w:jc w:val="center"/>
        </w:trPr>
        <w:tc>
          <w:tcPr>
            <w:tcW w:w="9287" w:type="dxa"/>
            <w:gridSpan w:val="14"/>
            <w:tcBorders>
              <w:tl2br w:val="nil"/>
              <w:tr2bl w:val="nil"/>
            </w:tcBorders>
            <w:noWrap w:val="0"/>
            <w:vAlign w:val="top"/>
          </w:tcPr>
          <w:p>
            <w:pPr>
              <w:spacing w:line="360" w:lineRule="auto"/>
              <w:ind w:firstLine="352" w:firstLineChars="147"/>
              <w:jc w:val="left"/>
              <w:rPr>
                <w:rFonts w:hint="eastAsia"/>
                <w:color w:val="auto"/>
                <w:sz w:val="24"/>
              </w:rPr>
            </w:pPr>
            <w:r>
              <w:rPr>
                <w:rFonts w:hint="eastAsia"/>
                <w:color w:val="auto"/>
                <w:sz w:val="24"/>
              </w:rPr>
              <w:t>放射性同位素和伴有电磁辐射的设施的使用情况：</w:t>
            </w:r>
          </w:p>
          <w:p>
            <w:pPr>
              <w:widowControl/>
              <w:shd w:val="clear" w:color="auto" w:fill="FFFFFF"/>
              <w:spacing w:line="360" w:lineRule="auto"/>
              <w:ind w:firstLine="480"/>
              <w:rPr>
                <w:color w:val="auto"/>
                <w:kern w:val="0"/>
                <w:sz w:val="24"/>
              </w:rPr>
            </w:pPr>
            <w:r>
              <w:rPr>
                <w:rFonts w:hint="eastAsia"/>
                <w:color w:val="auto"/>
                <w:kern w:val="0"/>
                <w:sz w:val="24"/>
                <w:lang w:val="en-US" w:eastAsia="zh-CN"/>
              </w:rPr>
              <w:t>本项目包括</w:t>
            </w:r>
            <w:r>
              <w:rPr>
                <w:rFonts w:hint="eastAsia"/>
                <w:color w:val="0000FF"/>
                <w:kern w:val="0"/>
                <w:sz w:val="24"/>
                <w:lang w:val="en-US" w:eastAsia="zh-CN"/>
              </w:rPr>
              <w:t>35kV升压变压器及35kV开关站。</w:t>
            </w:r>
            <w:r>
              <w:rPr>
                <w:rFonts w:hint="eastAsia"/>
                <w:color w:val="auto"/>
                <w:kern w:val="0"/>
                <w:sz w:val="24"/>
              </w:rPr>
              <w:t>根据《建设项目环境影响评价分类管理名录》，</w:t>
            </w:r>
            <w:r>
              <w:rPr>
                <w:rFonts w:hint="eastAsia"/>
                <w:color w:val="0000FF"/>
                <w:kern w:val="0"/>
                <w:sz w:val="24"/>
                <w:lang w:val="en-US" w:eastAsia="zh-CN"/>
              </w:rPr>
              <w:t>35kV升压变压器及35kV开关站</w:t>
            </w:r>
            <w:r>
              <w:rPr>
                <w:rFonts w:hint="eastAsia"/>
                <w:color w:val="auto"/>
                <w:kern w:val="0"/>
                <w:sz w:val="24"/>
              </w:rPr>
              <w:t>属于豁免管理，无需履行环评手续</w:t>
            </w:r>
            <w:r>
              <w:rPr>
                <w:color w:val="auto"/>
                <w:kern w:val="0"/>
                <w:sz w:val="24"/>
              </w:rPr>
              <w:t>。</w:t>
            </w:r>
          </w:p>
          <w:p>
            <w:pPr>
              <w:widowControl/>
              <w:shd w:val="clear" w:color="auto" w:fill="FFFFFF"/>
              <w:spacing w:line="360" w:lineRule="auto"/>
              <w:ind w:firstLine="480"/>
              <w:rPr>
                <w:rFonts w:hint="eastAsia" w:ascii="Times New Roman" w:hAnsi="Times New Roman" w:eastAsia="宋体" w:cs="Times New Roman"/>
                <w:b w:val="0"/>
                <w:bCs w:val="0"/>
                <w:color w:val="auto"/>
                <w:kern w:val="0"/>
                <w:sz w:val="24"/>
                <w:szCs w:val="24"/>
                <w:lang w:val="en-GB" w:eastAsia="zh-CN" w:bidi="ar-SA"/>
              </w:rPr>
            </w:pPr>
          </w:p>
          <w:p>
            <w:pPr>
              <w:adjustRightInd w:val="0"/>
              <w:snapToGrid w:val="0"/>
              <w:spacing w:line="440" w:lineRule="exact"/>
              <w:ind w:firstLine="480" w:firstLineChars="200"/>
              <w:rPr>
                <w:rFonts w:hint="eastAsia"/>
                <w:color w:val="auto"/>
                <w:sz w:val="24"/>
              </w:rPr>
            </w:pPr>
          </w:p>
          <w:p>
            <w:pPr>
              <w:adjustRightInd w:val="0"/>
              <w:snapToGrid w:val="0"/>
              <w:spacing w:line="440" w:lineRule="exact"/>
              <w:ind w:firstLine="480" w:firstLineChars="200"/>
              <w:rPr>
                <w:color w:val="auto"/>
                <w:sz w:val="24"/>
              </w:rPr>
            </w:pPr>
          </w:p>
        </w:tc>
      </w:tr>
    </w:tbl>
    <w:p>
      <w:pPr>
        <w:widowControl w:val="0"/>
        <w:numPr>
          <w:ilvl w:val="0"/>
          <w:numId w:val="0"/>
        </w:numPr>
        <w:jc w:val="both"/>
        <w:rPr>
          <w:rFonts w:hint="eastAsia"/>
          <w:color w:val="auto"/>
          <w:lang w:val="en-US" w:eastAsia="zh-CN"/>
        </w:rPr>
      </w:pPr>
    </w:p>
    <w:p>
      <w:pPr>
        <w:numPr>
          <w:ilvl w:val="0"/>
          <w:numId w:val="0"/>
        </w:numPr>
        <w:adjustRightInd w:val="0"/>
        <w:snapToGrid w:val="0"/>
        <w:ind w:left="226" w:leftChars="0"/>
        <w:jc w:val="both"/>
        <w:rPr>
          <w:rFonts w:hint="eastAsia"/>
          <w:color w:val="auto"/>
          <w:sz w:val="24"/>
        </w:rPr>
      </w:pPr>
      <w:bookmarkStart w:id="1" w:name="_Hlk36193058"/>
    </w:p>
    <w:p>
      <w:pPr>
        <w:pStyle w:val="15"/>
        <w:rPr>
          <w:rFonts w:hint="eastAsia"/>
          <w:color w:val="auto"/>
          <w:sz w:val="24"/>
        </w:rPr>
      </w:pPr>
    </w:p>
    <w:p>
      <w:pPr>
        <w:pStyle w:val="15"/>
        <w:rPr>
          <w:rFonts w:hint="eastAsia"/>
          <w:color w:val="auto"/>
          <w:sz w:val="24"/>
        </w:rPr>
      </w:pPr>
    </w:p>
    <w:p>
      <w:pPr>
        <w:keepNext w:val="0"/>
        <w:keepLines w:val="0"/>
        <w:pageBreakBefore w:val="0"/>
        <w:widowControl w:val="0"/>
        <w:numPr>
          <w:ilvl w:val="0"/>
          <w:numId w:val="7"/>
        </w:numPr>
        <w:kinsoku/>
        <w:wordWrap/>
        <w:overflowPunct/>
        <w:topLinePunct w:val="0"/>
        <w:autoSpaceDE/>
        <w:autoSpaceDN/>
        <w:bidi w:val="0"/>
        <w:adjustRightInd w:val="0"/>
        <w:snapToGrid w:val="0"/>
        <w:ind w:left="1667" w:leftChars="0" w:hanging="1667" w:firstLineChars="0"/>
        <w:jc w:val="center"/>
        <w:textAlignment w:val="auto"/>
        <w:rPr>
          <w:rFonts w:hint="eastAsia"/>
          <w:color w:val="auto"/>
          <w:sz w:val="24"/>
        </w:rPr>
      </w:pPr>
      <w:r>
        <w:rPr>
          <w:rFonts w:hint="eastAsia"/>
          <w:b/>
          <w:bCs/>
          <w:color w:val="auto"/>
          <w:sz w:val="24"/>
          <w:lang w:val="en-US" w:eastAsia="zh-CN"/>
        </w:rPr>
        <w:t>主要</w:t>
      </w:r>
      <w:r>
        <w:rPr>
          <w:b/>
          <w:bCs/>
          <w:color w:val="auto"/>
          <w:sz w:val="24"/>
        </w:rPr>
        <w:t>原辅料</w:t>
      </w:r>
    </w:p>
    <w:tbl>
      <w:tblPr>
        <w:tblStyle w:val="30"/>
        <w:tblW w:w="4998"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490"/>
        <w:gridCol w:w="2153"/>
        <w:gridCol w:w="2453"/>
        <w:gridCol w:w="1523"/>
        <w:gridCol w:w="241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271" w:type="pct"/>
            <w:noWrap w:val="0"/>
            <w:vAlign w:val="center"/>
          </w:tcPr>
          <w:p>
            <w:pPr>
              <w:jc w:val="center"/>
              <w:rPr>
                <w:color w:val="auto"/>
                <w:szCs w:val="21"/>
              </w:rPr>
            </w:pPr>
            <w:r>
              <w:rPr>
                <w:color w:val="auto"/>
                <w:szCs w:val="21"/>
              </w:rPr>
              <w:t>序号</w:t>
            </w:r>
          </w:p>
        </w:tc>
        <w:tc>
          <w:tcPr>
            <w:tcW w:w="1192" w:type="pct"/>
            <w:noWrap w:val="0"/>
            <w:vAlign w:val="center"/>
          </w:tcPr>
          <w:p>
            <w:pPr>
              <w:jc w:val="center"/>
              <w:rPr>
                <w:color w:val="auto"/>
                <w:szCs w:val="21"/>
              </w:rPr>
            </w:pPr>
            <w:r>
              <w:rPr>
                <w:color w:val="auto"/>
                <w:szCs w:val="21"/>
              </w:rPr>
              <w:t>名称</w:t>
            </w:r>
          </w:p>
        </w:tc>
        <w:tc>
          <w:tcPr>
            <w:tcW w:w="1358" w:type="pct"/>
            <w:noWrap w:val="0"/>
            <w:vAlign w:val="center"/>
          </w:tcPr>
          <w:p>
            <w:pPr>
              <w:jc w:val="center"/>
              <w:rPr>
                <w:color w:val="auto"/>
                <w:szCs w:val="21"/>
              </w:rPr>
            </w:pPr>
            <w:r>
              <w:rPr>
                <w:color w:val="auto"/>
                <w:szCs w:val="21"/>
              </w:rPr>
              <w:t>主要组分及规格</w:t>
            </w:r>
          </w:p>
        </w:tc>
        <w:tc>
          <w:tcPr>
            <w:tcW w:w="843" w:type="pct"/>
            <w:noWrap w:val="0"/>
            <w:vAlign w:val="center"/>
          </w:tcPr>
          <w:p>
            <w:pPr>
              <w:jc w:val="center"/>
              <w:rPr>
                <w:rFonts w:hint="eastAsia" w:eastAsia="宋体"/>
                <w:color w:val="auto"/>
                <w:szCs w:val="21"/>
                <w:lang w:eastAsia="zh-CN"/>
              </w:rPr>
            </w:pPr>
            <w:r>
              <w:rPr>
                <w:rFonts w:hint="eastAsia"/>
                <w:color w:val="auto"/>
                <w:szCs w:val="21"/>
                <w:lang w:val="en-US" w:eastAsia="zh-CN"/>
              </w:rPr>
              <w:t>数量</w:t>
            </w:r>
          </w:p>
        </w:tc>
        <w:tc>
          <w:tcPr>
            <w:tcW w:w="1334" w:type="pct"/>
            <w:noWrap w:val="0"/>
            <w:vAlign w:val="center"/>
          </w:tcPr>
          <w:p>
            <w:pPr>
              <w:jc w:val="center"/>
              <w:rPr>
                <w:color w:val="auto"/>
                <w:szCs w:val="21"/>
              </w:rPr>
            </w:pPr>
            <w:r>
              <w:rPr>
                <w:color w:val="auto"/>
                <w:szCs w:val="21"/>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5000" w:type="pct"/>
            <w:gridSpan w:val="5"/>
            <w:noWrap w:val="0"/>
            <w:vAlign w:val="center"/>
          </w:tcPr>
          <w:p>
            <w:pPr>
              <w:jc w:val="left"/>
              <w:rPr>
                <w:b/>
                <w:color w:val="auto"/>
                <w:szCs w:val="21"/>
              </w:rPr>
            </w:pPr>
            <w:r>
              <w:rPr>
                <w:b/>
                <w:color w:val="auto"/>
                <w:szCs w:val="21"/>
              </w:rPr>
              <w:t>原材料</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92" w:hRule="atLeast"/>
          <w:jc w:val="center"/>
        </w:trPr>
        <w:tc>
          <w:tcPr>
            <w:tcW w:w="271" w:type="pct"/>
            <w:noWrap w:val="0"/>
            <w:vAlign w:val="center"/>
          </w:tcPr>
          <w:p>
            <w:pPr>
              <w:adjustRightInd w:val="0"/>
              <w:snapToGrid w:val="0"/>
              <w:jc w:val="center"/>
              <w:rPr>
                <w:color w:val="auto"/>
                <w:szCs w:val="21"/>
              </w:rPr>
            </w:pPr>
            <w:r>
              <w:rPr>
                <w:color w:val="auto"/>
                <w:szCs w:val="21"/>
              </w:rPr>
              <w:t>1</w:t>
            </w:r>
          </w:p>
        </w:tc>
        <w:tc>
          <w:tcPr>
            <w:tcW w:w="1192" w:type="pct"/>
            <w:noWrap w:val="0"/>
            <w:vAlign w:val="center"/>
          </w:tcPr>
          <w:p>
            <w:pPr>
              <w:jc w:val="center"/>
              <w:rPr>
                <w:rFonts w:hint="eastAsia" w:eastAsia="宋体"/>
                <w:color w:val="auto"/>
                <w:szCs w:val="21"/>
                <w:lang w:eastAsia="zh-CN"/>
              </w:rPr>
            </w:pPr>
            <w:r>
              <w:rPr>
                <w:color w:val="auto"/>
              </w:rPr>
              <w:t>光伏</w:t>
            </w:r>
            <w:r>
              <w:rPr>
                <w:rFonts w:hint="eastAsia"/>
                <w:color w:val="auto"/>
                <w:lang w:val="en-US" w:eastAsia="zh-CN"/>
              </w:rPr>
              <w:t>组件</w:t>
            </w:r>
          </w:p>
        </w:tc>
        <w:tc>
          <w:tcPr>
            <w:tcW w:w="1358" w:type="pct"/>
            <w:noWrap w:val="0"/>
            <w:vAlign w:val="center"/>
          </w:tcPr>
          <w:p>
            <w:pPr>
              <w:jc w:val="center"/>
              <w:rPr>
                <w:color w:val="auto"/>
                <w:szCs w:val="21"/>
              </w:rPr>
            </w:pPr>
            <w:r>
              <w:rPr>
                <w:rFonts w:hint="eastAsia"/>
                <w:color w:val="auto"/>
                <w:szCs w:val="21"/>
                <w:lang w:val="en-US" w:eastAsia="zh-CN"/>
              </w:rPr>
              <w:t>415</w:t>
            </w:r>
            <w:r>
              <w:rPr>
                <w:rFonts w:hint="eastAsia"/>
                <w:color w:val="auto"/>
                <w:szCs w:val="21"/>
              </w:rPr>
              <w:t>Wp单晶硅电池组件</w:t>
            </w:r>
          </w:p>
        </w:tc>
        <w:tc>
          <w:tcPr>
            <w:tcW w:w="843" w:type="pct"/>
            <w:noWrap w:val="0"/>
            <w:vAlign w:val="center"/>
          </w:tcPr>
          <w:p>
            <w:pPr>
              <w:jc w:val="center"/>
              <w:rPr>
                <w:color w:val="auto"/>
                <w:szCs w:val="21"/>
              </w:rPr>
            </w:pPr>
            <w:r>
              <w:rPr>
                <w:rFonts w:hint="eastAsia"/>
                <w:color w:val="auto"/>
                <w:szCs w:val="21"/>
                <w:lang w:val="en-US" w:eastAsia="zh-CN"/>
              </w:rPr>
              <w:t>80379</w:t>
            </w:r>
            <w:r>
              <w:rPr>
                <w:color w:val="auto"/>
                <w:szCs w:val="21"/>
              </w:rPr>
              <w:t>块</w:t>
            </w:r>
          </w:p>
        </w:tc>
        <w:tc>
          <w:tcPr>
            <w:tcW w:w="1334" w:type="pct"/>
            <w:noWrap w:val="0"/>
            <w:vAlign w:val="center"/>
          </w:tcPr>
          <w:p>
            <w:pPr>
              <w:adjustRightInd w:val="0"/>
              <w:snapToGrid w:val="0"/>
              <w:jc w:val="center"/>
              <w:rPr>
                <w:color w:val="auto"/>
                <w:szCs w:val="21"/>
              </w:rPr>
            </w:pPr>
            <w:r>
              <w:rPr>
                <w:color w:val="auto"/>
              </w:rPr>
              <w:t>/</w:t>
            </w:r>
          </w:p>
        </w:tc>
      </w:tr>
    </w:tbl>
    <w:p>
      <w:pPr>
        <w:keepNext w:val="0"/>
        <w:keepLines w:val="0"/>
        <w:pageBreakBefore w:val="0"/>
        <w:widowControl w:val="0"/>
        <w:numPr>
          <w:ilvl w:val="0"/>
          <w:numId w:val="7"/>
        </w:numPr>
        <w:kinsoku/>
        <w:wordWrap/>
        <w:overflowPunct/>
        <w:topLinePunct w:val="0"/>
        <w:autoSpaceDE/>
        <w:autoSpaceDN/>
        <w:bidi w:val="0"/>
        <w:adjustRightInd w:val="0"/>
        <w:snapToGrid w:val="0"/>
        <w:ind w:left="0" w:leftChars="0" w:firstLine="0" w:firstLineChars="0"/>
        <w:jc w:val="center"/>
        <w:textAlignment w:val="auto"/>
        <w:rPr>
          <w:b/>
          <w:bCs/>
          <w:color w:val="auto"/>
          <w:sz w:val="24"/>
        </w:rPr>
      </w:pPr>
      <w:r>
        <w:rPr>
          <w:rFonts w:hint="eastAsia"/>
          <w:b/>
          <w:bCs/>
          <w:color w:val="auto"/>
          <w:sz w:val="24"/>
          <w:lang w:val="en-US" w:eastAsia="zh-CN"/>
        </w:rPr>
        <w:t>主要</w:t>
      </w:r>
      <w:r>
        <w:rPr>
          <w:b/>
          <w:bCs/>
          <w:color w:val="auto"/>
          <w:sz w:val="24"/>
        </w:rPr>
        <w:t>设备明细表</w:t>
      </w:r>
    </w:p>
    <w:bookmarkEnd w:id="1"/>
    <w:tbl>
      <w:tblPr>
        <w:tblStyle w:val="30"/>
        <w:tblW w:w="4997"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479"/>
        <w:gridCol w:w="1726"/>
        <w:gridCol w:w="2517"/>
        <w:gridCol w:w="967"/>
        <w:gridCol w:w="1117"/>
        <w:gridCol w:w="222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tblHeader/>
        </w:trPr>
        <w:tc>
          <w:tcPr>
            <w:tcW w:w="265" w:type="pct"/>
            <w:noWrap w:val="0"/>
            <w:vAlign w:val="center"/>
          </w:tcPr>
          <w:p>
            <w:pPr>
              <w:jc w:val="center"/>
              <w:rPr>
                <w:color w:val="auto"/>
              </w:rPr>
            </w:pPr>
            <w:r>
              <w:rPr>
                <w:color w:val="auto"/>
              </w:rPr>
              <w:t>序号</w:t>
            </w:r>
          </w:p>
        </w:tc>
        <w:tc>
          <w:tcPr>
            <w:tcW w:w="955" w:type="pct"/>
            <w:noWrap w:val="0"/>
            <w:vAlign w:val="center"/>
          </w:tcPr>
          <w:p>
            <w:pPr>
              <w:jc w:val="center"/>
              <w:rPr>
                <w:color w:val="auto"/>
              </w:rPr>
            </w:pPr>
            <w:r>
              <w:rPr>
                <w:color w:val="auto"/>
              </w:rPr>
              <w:t>名称</w:t>
            </w:r>
          </w:p>
        </w:tc>
        <w:tc>
          <w:tcPr>
            <w:tcW w:w="1393" w:type="pct"/>
            <w:noWrap w:val="0"/>
            <w:vAlign w:val="center"/>
          </w:tcPr>
          <w:p>
            <w:pPr>
              <w:jc w:val="center"/>
              <w:rPr>
                <w:color w:val="auto"/>
              </w:rPr>
            </w:pPr>
            <w:r>
              <w:rPr>
                <w:color w:val="auto"/>
              </w:rPr>
              <w:t>型 号 及 规 格</w:t>
            </w:r>
          </w:p>
        </w:tc>
        <w:tc>
          <w:tcPr>
            <w:tcW w:w="535" w:type="pct"/>
            <w:noWrap w:val="0"/>
            <w:vAlign w:val="center"/>
          </w:tcPr>
          <w:p>
            <w:pPr>
              <w:jc w:val="center"/>
              <w:rPr>
                <w:color w:val="auto"/>
              </w:rPr>
            </w:pPr>
            <w:r>
              <w:rPr>
                <w:color w:val="auto"/>
              </w:rPr>
              <w:t>数量</w:t>
            </w:r>
          </w:p>
        </w:tc>
        <w:tc>
          <w:tcPr>
            <w:tcW w:w="618" w:type="pct"/>
            <w:noWrap w:val="0"/>
            <w:vAlign w:val="center"/>
          </w:tcPr>
          <w:p>
            <w:pPr>
              <w:jc w:val="center"/>
              <w:rPr>
                <w:color w:val="auto"/>
              </w:rPr>
            </w:pPr>
            <w:r>
              <w:rPr>
                <w:color w:val="auto"/>
              </w:rPr>
              <w:t>单位</w:t>
            </w:r>
          </w:p>
        </w:tc>
        <w:tc>
          <w:tcPr>
            <w:tcW w:w="1231" w:type="pct"/>
            <w:noWrap w:val="0"/>
            <w:vAlign w:val="center"/>
          </w:tcPr>
          <w:p>
            <w:pPr>
              <w:jc w:val="center"/>
              <w:rPr>
                <w:color w:val="auto"/>
              </w:rPr>
            </w:pPr>
            <w:r>
              <w:rPr>
                <w:color w:val="auto"/>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10" w:hRule="atLeast"/>
        </w:trPr>
        <w:tc>
          <w:tcPr>
            <w:tcW w:w="265" w:type="pct"/>
            <w:noWrap w:val="0"/>
            <w:vAlign w:val="center"/>
          </w:tcPr>
          <w:p>
            <w:pPr>
              <w:jc w:val="center"/>
              <w:rPr>
                <w:color w:val="auto"/>
              </w:rPr>
            </w:pPr>
            <w:r>
              <w:rPr>
                <w:color w:val="auto"/>
              </w:rPr>
              <w:t>1</w:t>
            </w:r>
          </w:p>
        </w:tc>
        <w:tc>
          <w:tcPr>
            <w:tcW w:w="955" w:type="pct"/>
            <w:noWrap w:val="0"/>
            <w:vAlign w:val="center"/>
          </w:tcPr>
          <w:p>
            <w:pPr>
              <w:jc w:val="center"/>
              <w:rPr>
                <w:rFonts w:hint="eastAsia" w:eastAsia="宋体"/>
                <w:color w:val="auto"/>
                <w:lang w:eastAsia="zh-CN"/>
              </w:rPr>
            </w:pPr>
            <w:r>
              <w:rPr>
                <w:color w:val="auto"/>
              </w:rPr>
              <w:t>光伏</w:t>
            </w:r>
            <w:r>
              <w:rPr>
                <w:rFonts w:hint="eastAsia"/>
                <w:color w:val="auto"/>
                <w:lang w:val="en-US" w:eastAsia="zh-CN"/>
              </w:rPr>
              <w:t>组件</w:t>
            </w:r>
          </w:p>
        </w:tc>
        <w:tc>
          <w:tcPr>
            <w:tcW w:w="1393" w:type="pct"/>
            <w:noWrap w:val="0"/>
            <w:vAlign w:val="center"/>
          </w:tcPr>
          <w:p>
            <w:pPr>
              <w:jc w:val="center"/>
              <w:rPr>
                <w:color w:val="auto"/>
              </w:rPr>
            </w:pPr>
            <w:r>
              <w:rPr>
                <w:rFonts w:hint="eastAsia"/>
                <w:color w:val="auto"/>
                <w:szCs w:val="21"/>
                <w:lang w:val="en-US" w:eastAsia="zh-CN"/>
              </w:rPr>
              <w:t>415</w:t>
            </w:r>
            <w:r>
              <w:rPr>
                <w:rFonts w:hint="eastAsia"/>
                <w:color w:val="auto"/>
                <w:szCs w:val="21"/>
              </w:rPr>
              <w:t>Wp单晶硅电池组件</w:t>
            </w:r>
          </w:p>
        </w:tc>
        <w:tc>
          <w:tcPr>
            <w:tcW w:w="535" w:type="pct"/>
            <w:noWrap w:val="0"/>
            <w:vAlign w:val="center"/>
          </w:tcPr>
          <w:p>
            <w:pPr>
              <w:jc w:val="center"/>
              <w:rPr>
                <w:rFonts w:hint="eastAsia"/>
                <w:color w:val="auto"/>
              </w:rPr>
            </w:pPr>
            <w:r>
              <w:rPr>
                <w:rFonts w:hint="eastAsia"/>
                <w:color w:val="auto"/>
              </w:rPr>
              <w:t>块</w:t>
            </w:r>
          </w:p>
        </w:tc>
        <w:tc>
          <w:tcPr>
            <w:tcW w:w="618" w:type="pct"/>
            <w:noWrap w:val="0"/>
            <w:vAlign w:val="bottom"/>
          </w:tcPr>
          <w:p>
            <w:pPr>
              <w:jc w:val="center"/>
              <w:rPr>
                <w:rFonts w:hint="default" w:eastAsia="宋体"/>
                <w:color w:val="auto"/>
                <w:lang w:val="en-US" w:eastAsia="zh-CN"/>
              </w:rPr>
            </w:pPr>
            <w:r>
              <w:rPr>
                <w:rFonts w:hint="eastAsia"/>
                <w:color w:val="auto"/>
                <w:lang w:val="en-US" w:eastAsia="zh-CN"/>
              </w:rPr>
              <w:t>80379</w:t>
            </w:r>
          </w:p>
        </w:tc>
        <w:tc>
          <w:tcPr>
            <w:tcW w:w="1231" w:type="pct"/>
            <w:noWrap w:val="0"/>
            <w:vAlign w:val="center"/>
          </w:tcPr>
          <w:p>
            <w:pPr>
              <w:jc w:val="center"/>
              <w:rPr>
                <w:color w:val="auto"/>
              </w:rPr>
            </w:pPr>
            <w:r>
              <w:rPr>
                <w:color w:val="auto"/>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24" w:hRule="atLeast"/>
        </w:trPr>
        <w:tc>
          <w:tcPr>
            <w:tcW w:w="265" w:type="pct"/>
            <w:vMerge w:val="restart"/>
            <w:noWrap w:val="0"/>
            <w:vAlign w:val="center"/>
          </w:tcPr>
          <w:p>
            <w:pPr>
              <w:jc w:val="center"/>
              <w:rPr>
                <w:rFonts w:hint="eastAsia" w:eastAsia="宋体"/>
                <w:color w:val="auto"/>
                <w:lang w:val="en-US" w:eastAsia="zh-CN"/>
              </w:rPr>
            </w:pPr>
            <w:r>
              <w:rPr>
                <w:rFonts w:hint="eastAsia"/>
                <w:color w:val="auto"/>
                <w:lang w:val="en-US" w:eastAsia="zh-CN"/>
              </w:rPr>
              <w:t>2</w:t>
            </w:r>
          </w:p>
        </w:tc>
        <w:tc>
          <w:tcPr>
            <w:tcW w:w="955" w:type="pct"/>
            <w:vMerge w:val="restart"/>
            <w:noWrap w:val="0"/>
            <w:vAlign w:val="center"/>
          </w:tcPr>
          <w:p>
            <w:pPr>
              <w:jc w:val="center"/>
              <w:rPr>
                <w:rFonts w:hint="default"/>
                <w:color w:val="auto"/>
                <w:lang w:val="en-US" w:eastAsia="zh-CN"/>
              </w:rPr>
            </w:pPr>
            <w:r>
              <w:rPr>
                <w:rFonts w:hint="eastAsia"/>
                <w:color w:val="auto"/>
                <w:lang w:val="en-US" w:eastAsia="zh-CN"/>
              </w:rPr>
              <w:t>逆变器</w:t>
            </w:r>
          </w:p>
        </w:tc>
        <w:tc>
          <w:tcPr>
            <w:tcW w:w="1393" w:type="pct"/>
            <w:noWrap w:val="0"/>
            <w:vAlign w:val="center"/>
          </w:tcPr>
          <w:p>
            <w:pPr>
              <w:jc w:val="center"/>
              <w:rPr>
                <w:rFonts w:hint="eastAsia"/>
                <w:color w:val="auto"/>
              </w:rPr>
            </w:pPr>
            <w:r>
              <w:rPr>
                <w:rFonts w:hint="eastAsia"/>
                <w:color w:val="auto"/>
              </w:rPr>
              <w:t>3125kW箱逆变一体机</w:t>
            </w:r>
          </w:p>
        </w:tc>
        <w:tc>
          <w:tcPr>
            <w:tcW w:w="535" w:type="pct"/>
            <w:noWrap w:val="0"/>
            <w:vAlign w:val="center"/>
          </w:tcPr>
          <w:p>
            <w:pPr>
              <w:jc w:val="center"/>
              <w:rPr>
                <w:rFonts w:hint="default"/>
                <w:color w:val="auto"/>
                <w:lang w:val="en-US" w:eastAsia="zh-CN"/>
              </w:rPr>
            </w:pPr>
            <w:r>
              <w:rPr>
                <w:rFonts w:hint="eastAsia"/>
                <w:color w:val="auto"/>
                <w:lang w:val="en-US" w:eastAsia="zh-CN"/>
              </w:rPr>
              <w:t>台</w:t>
            </w:r>
          </w:p>
        </w:tc>
        <w:tc>
          <w:tcPr>
            <w:tcW w:w="618" w:type="pct"/>
            <w:noWrap w:val="0"/>
            <w:vAlign w:val="center"/>
          </w:tcPr>
          <w:p>
            <w:pPr>
              <w:jc w:val="center"/>
              <w:rPr>
                <w:rFonts w:hint="eastAsia"/>
                <w:color w:val="auto"/>
              </w:rPr>
            </w:pPr>
            <w:r>
              <w:rPr>
                <w:rFonts w:hint="eastAsia"/>
                <w:color w:val="auto"/>
                <w:lang w:val="en-US" w:eastAsia="zh-CN"/>
              </w:rPr>
              <w:t>8</w:t>
            </w:r>
          </w:p>
        </w:tc>
        <w:tc>
          <w:tcPr>
            <w:tcW w:w="1231" w:type="pct"/>
            <w:noWrap w:val="0"/>
            <w:vAlign w:val="center"/>
          </w:tcPr>
          <w:p>
            <w:pPr>
              <w:jc w:val="center"/>
              <w:rPr>
                <w:rFonts w:hint="eastAsia"/>
                <w:color w:val="auto"/>
              </w:rPr>
            </w:pPr>
            <w:r>
              <w:rPr>
                <w:rFonts w:hint="eastAsia"/>
                <w:color w:val="auto"/>
              </w:rPr>
              <w:t>内含逆变器及35kV升压变</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24" w:hRule="atLeast"/>
        </w:trPr>
        <w:tc>
          <w:tcPr>
            <w:tcW w:w="265" w:type="pct"/>
            <w:vMerge w:val="continue"/>
            <w:noWrap w:val="0"/>
            <w:vAlign w:val="center"/>
          </w:tcPr>
          <w:p>
            <w:pPr>
              <w:jc w:val="center"/>
              <w:rPr>
                <w:rFonts w:hint="eastAsia"/>
                <w:color w:val="auto"/>
                <w:lang w:val="en-US" w:eastAsia="zh-CN"/>
              </w:rPr>
            </w:pPr>
          </w:p>
        </w:tc>
        <w:tc>
          <w:tcPr>
            <w:tcW w:w="955" w:type="pct"/>
            <w:vMerge w:val="continue"/>
            <w:noWrap w:val="0"/>
            <w:vAlign w:val="center"/>
          </w:tcPr>
          <w:p>
            <w:pPr>
              <w:jc w:val="center"/>
              <w:rPr>
                <w:rFonts w:hint="eastAsia"/>
                <w:color w:val="auto"/>
                <w:lang w:val="en-US" w:eastAsia="zh-CN"/>
              </w:rPr>
            </w:pPr>
          </w:p>
        </w:tc>
        <w:tc>
          <w:tcPr>
            <w:tcW w:w="1393" w:type="pct"/>
            <w:noWrap w:val="0"/>
            <w:vAlign w:val="center"/>
          </w:tcPr>
          <w:p>
            <w:pPr>
              <w:jc w:val="center"/>
              <w:rPr>
                <w:rFonts w:hint="eastAsia"/>
                <w:color w:val="auto"/>
              </w:rPr>
            </w:pPr>
            <w:r>
              <w:rPr>
                <w:rFonts w:hint="eastAsia"/>
                <w:color w:val="auto"/>
              </w:rPr>
              <w:t>1250kW箱逆变一体机</w:t>
            </w:r>
          </w:p>
        </w:tc>
        <w:tc>
          <w:tcPr>
            <w:tcW w:w="535" w:type="pct"/>
            <w:noWrap w:val="0"/>
            <w:vAlign w:val="center"/>
          </w:tcPr>
          <w:p>
            <w:pPr>
              <w:jc w:val="center"/>
              <w:rPr>
                <w:rFonts w:hint="default"/>
                <w:color w:val="auto"/>
                <w:lang w:val="en-US" w:eastAsia="zh-CN"/>
              </w:rPr>
            </w:pPr>
            <w:r>
              <w:rPr>
                <w:rFonts w:hint="eastAsia"/>
                <w:color w:val="auto"/>
                <w:lang w:val="en-US" w:eastAsia="zh-CN"/>
              </w:rPr>
              <w:t>台</w:t>
            </w:r>
          </w:p>
        </w:tc>
        <w:tc>
          <w:tcPr>
            <w:tcW w:w="618" w:type="pct"/>
            <w:noWrap w:val="0"/>
            <w:vAlign w:val="center"/>
          </w:tcPr>
          <w:p>
            <w:pPr>
              <w:jc w:val="center"/>
              <w:rPr>
                <w:rFonts w:hint="eastAsia"/>
                <w:color w:val="auto"/>
              </w:rPr>
            </w:pPr>
            <w:r>
              <w:rPr>
                <w:rFonts w:hint="eastAsia"/>
                <w:color w:val="auto"/>
                <w:lang w:val="en-US" w:eastAsia="zh-CN"/>
              </w:rPr>
              <w:t>1</w:t>
            </w:r>
          </w:p>
        </w:tc>
        <w:tc>
          <w:tcPr>
            <w:tcW w:w="1231" w:type="pct"/>
            <w:noWrap w:val="0"/>
            <w:vAlign w:val="center"/>
          </w:tcPr>
          <w:p>
            <w:pPr>
              <w:jc w:val="center"/>
              <w:rPr>
                <w:rFonts w:hint="eastAsia"/>
                <w:color w:val="auto"/>
              </w:rPr>
            </w:pPr>
            <w:r>
              <w:rPr>
                <w:rFonts w:hint="eastAsia"/>
                <w:color w:val="auto"/>
              </w:rPr>
              <w:t>内含逆变器及35kV升压变</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03" w:hRule="atLeast"/>
        </w:trPr>
        <w:tc>
          <w:tcPr>
            <w:tcW w:w="265" w:type="pct"/>
            <w:vMerge w:val="continue"/>
            <w:noWrap w:val="0"/>
            <w:vAlign w:val="center"/>
          </w:tcPr>
          <w:p>
            <w:pPr>
              <w:jc w:val="center"/>
              <w:rPr>
                <w:rFonts w:hint="eastAsia"/>
                <w:color w:val="auto"/>
                <w:lang w:val="en-US" w:eastAsia="zh-CN"/>
              </w:rPr>
            </w:pPr>
          </w:p>
        </w:tc>
        <w:tc>
          <w:tcPr>
            <w:tcW w:w="955" w:type="pct"/>
            <w:vMerge w:val="continue"/>
            <w:noWrap w:val="0"/>
            <w:vAlign w:val="center"/>
          </w:tcPr>
          <w:p>
            <w:pPr>
              <w:jc w:val="center"/>
              <w:rPr>
                <w:rFonts w:hint="eastAsia"/>
                <w:color w:val="auto"/>
              </w:rPr>
            </w:pPr>
          </w:p>
        </w:tc>
        <w:tc>
          <w:tcPr>
            <w:tcW w:w="1393" w:type="pct"/>
            <w:noWrap w:val="0"/>
            <w:vAlign w:val="center"/>
          </w:tcPr>
          <w:p>
            <w:pPr>
              <w:jc w:val="center"/>
              <w:rPr>
                <w:rFonts w:hint="eastAsia"/>
                <w:color w:val="auto"/>
              </w:rPr>
            </w:pPr>
            <w:r>
              <w:rPr>
                <w:rFonts w:hint="eastAsia"/>
                <w:color w:val="auto"/>
              </w:rPr>
              <w:t>1</w:t>
            </w:r>
            <w:r>
              <w:rPr>
                <w:rFonts w:hint="eastAsia"/>
                <w:color w:val="auto"/>
                <w:lang w:val="en-US" w:eastAsia="zh-CN"/>
              </w:rPr>
              <w:t>96</w:t>
            </w:r>
            <w:r>
              <w:rPr>
                <w:rFonts w:hint="eastAsia"/>
                <w:color w:val="auto"/>
              </w:rPr>
              <w:t>kW组串式逆变器</w:t>
            </w:r>
          </w:p>
        </w:tc>
        <w:tc>
          <w:tcPr>
            <w:tcW w:w="535" w:type="pct"/>
            <w:noWrap w:val="0"/>
            <w:vAlign w:val="center"/>
          </w:tcPr>
          <w:p>
            <w:pPr>
              <w:jc w:val="center"/>
              <w:rPr>
                <w:rFonts w:hint="default"/>
                <w:color w:val="auto"/>
                <w:lang w:val="en-US" w:eastAsia="zh-CN"/>
              </w:rPr>
            </w:pPr>
            <w:r>
              <w:rPr>
                <w:rFonts w:hint="eastAsia"/>
                <w:color w:val="auto"/>
                <w:lang w:val="en-US" w:eastAsia="zh-CN"/>
              </w:rPr>
              <w:t>台</w:t>
            </w:r>
          </w:p>
        </w:tc>
        <w:tc>
          <w:tcPr>
            <w:tcW w:w="618" w:type="pct"/>
            <w:noWrap w:val="0"/>
            <w:vAlign w:val="center"/>
          </w:tcPr>
          <w:p>
            <w:pPr>
              <w:jc w:val="center"/>
              <w:rPr>
                <w:rFonts w:hint="eastAsia"/>
                <w:color w:val="auto"/>
              </w:rPr>
            </w:pPr>
            <w:r>
              <w:rPr>
                <w:rFonts w:hint="eastAsia"/>
                <w:color w:val="auto"/>
                <w:lang w:val="en-US" w:eastAsia="zh-CN"/>
              </w:rPr>
              <w:t>3</w:t>
            </w:r>
          </w:p>
        </w:tc>
        <w:tc>
          <w:tcPr>
            <w:tcW w:w="1231" w:type="pct"/>
            <w:noWrap w:val="0"/>
            <w:vAlign w:val="center"/>
          </w:tcPr>
          <w:p>
            <w:pPr>
              <w:jc w:val="center"/>
              <w:rPr>
                <w:color w:val="auto"/>
              </w:rPr>
            </w:pPr>
            <w:r>
              <w:rPr>
                <w:rFonts w:hint="eastAsia"/>
                <w:color w:val="auto"/>
                <w:lang w:val="en-US"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35" w:hRule="atLeast"/>
        </w:trPr>
        <w:tc>
          <w:tcPr>
            <w:tcW w:w="265" w:type="pct"/>
            <w:noWrap w:val="0"/>
            <w:vAlign w:val="center"/>
          </w:tcPr>
          <w:p>
            <w:pPr>
              <w:jc w:val="center"/>
              <w:rPr>
                <w:rFonts w:hint="default" w:ascii="Times New Roman" w:hAnsi="Times New Roman" w:eastAsia="宋体" w:cs="Times New Roman"/>
                <w:color w:val="auto"/>
                <w:kern w:val="2"/>
                <w:sz w:val="21"/>
                <w:szCs w:val="24"/>
                <w:lang w:val="en-US" w:eastAsia="zh-CN" w:bidi="ar-SA"/>
              </w:rPr>
            </w:pPr>
            <w:r>
              <w:rPr>
                <w:rFonts w:hint="eastAsia"/>
                <w:color w:val="auto"/>
                <w:lang w:val="en-US" w:eastAsia="zh-CN"/>
              </w:rPr>
              <w:t>3</w:t>
            </w:r>
          </w:p>
        </w:tc>
        <w:tc>
          <w:tcPr>
            <w:tcW w:w="955" w:type="pct"/>
            <w:noWrap w:val="0"/>
            <w:vAlign w:val="center"/>
          </w:tcPr>
          <w:p>
            <w:pPr>
              <w:jc w:val="center"/>
              <w:rPr>
                <w:rFonts w:hint="eastAsia" w:ascii="Times New Roman" w:hAnsi="Times New Roman" w:eastAsia="宋体" w:cs="Times New Roman"/>
                <w:color w:val="auto"/>
                <w:kern w:val="2"/>
                <w:sz w:val="21"/>
                <w:szCs w:val="24"/>
                <w:lang w:val="en-GB" w:eastAsia="zh-TW" w:bidi="ar-SA"/>
              </w:rPr>
            </w:pPr>
            <w:r>
              <w:rPr>
                <w:rFonts w:hint="eastAsia"/>
                <w:color w:val="auto"/>
                <w:lang w:val="en-US" w:eastAsia="zh-CN"/>
              </w:rPr>
              <w:t>升压变</w:t>
            </w:r>
          </w:p>
        </w:tc>
        <w:tc>
          <w:tcPr>
            <w:tcW w:w="1393" w:type="pct"/>
            <w:noWrap w:val="0"/>
            <w:vAlign w:val="center"/>
          </w:tcPr>
          <w:p>
            <w:pPr>
              <w:jc w:val="center"/>
              <w:rPr>
                <w:rFonts w:hint="eastAsia" w:ascii="Times New Roman" w:hAnsi="Times New Roman" w:eastAsia="宋体" w:cs="Times New Roman"/>
                <w:color w:val="auto"/>
                <w:kern w:val="2"/>
                <w:sz w:val="21"/>
                <w:szCs w:val="24"/>
                <w:lang w:val="en-GB" w:eastAsia="zh-TW" w:bidi="ar-SA"/>
              </w:rPr>
            </w:pPr>
            <w:r>
              <w:rPr>
                <w:rFonts w:hint="eastAsia"/>
                <w:color w:val="auto"/>
              </w:rPr>
              <w:t xml:space="preserve">630kVA </w:t>
            </w:r>
            <w:r>
              <w:rPr>
                <w:rFonts w:hint="eastAsia"/>
                <w:color w:val="auto"/>
                <w:lang w:val="en-US" w:eastAsia="zh-CN"/>
              </w:rPr>
              <w:t xml:space="preserve"> </w:t>
            </w:r>
            <w:r>
              <w:rPr>
                <w:rFonts w:hint="eastAsia"/>
                <w:color w:val="auto"/>
              </w:rPr>
              <w:t>35kV升压变</w:t>
            </w:r>
          </w:p>
        </w:tc>
        <w:tc>
          <w:tcPr>
            <w:tcW w:w="535" w:type="pct"/>
            <w:noWrap w:val="0"/>
            <w:vAlign w:val="center"/>
          </w:tcPr>
          <w:p>
            <w:pPr>
              <w:jc w:val="center"/>
              <w:rPr>
                <w:rFonts w:hint="eastAsia" w:ascii="Times New Roman" w:hAnsi="Times New Roman" w:eastAsia="宋体" w:cs="Times New Roman"/>
                <w:color w:val="auto"/>
                <w:kern w:val="2"/>
                <w:sz w:val="21"/>
                <w:szCs w:val="24"/>
                <w:lang w:val="en-US" w:eastAsia="zh-CN" w:bidi="ar-SA"/>
              </w:rPr>
            </w:pPr>
            <w:r>
              <w:rPr>
                <w:rFonts w:hint="eastAsia"/>
                <w:color w:val="auto"/>
                <w:lang w:val="en-US" w:eastAsia="zh-CN"/>
              </w:rPr>
              <w:t>台</w:t>
            </w:r>
          </w:p>
        </w:tc>
        <w:tc>
          <w:tcPr>
            <w:tcW w:w="618" w:type="pct"/>
            <w:noWrap w:val="0"/>
            <w:vAlign w:val="center"/>
          </w:tcPr>
          <w:p>
            <w:pPr>
              <w:jc w:val="center"/>
              <w:rPr>
                <w:rFonts w:hint="eastAsia" w:ascii="Times New Roman" w:hAnsi="Times New Roman" w:eastAsia="宋体" w:cs="Times New Roman"/>
                <w:color w:val="auto"/>
                <w:kern w:val="2"/>
                <w:sz w:val="21"/>
                <w:szCs w:val="24"/>
                <w:lang w:val="en-US" w:eastAsia="zh-CN" w:bidi="ar-SA"/>
              </w:rPr>
            </w:pPr>
            <w:r>
              <w:rPr>
                <w:rFonts w:hint="eastAsia"/>
                <w:color w:val="auto"/>
                <w:lang w:val="en-US" w:eastAsia="zh-CN"/>
              </w:rPr>
              <w:t>1</w:t>
            </w:r>
          </w:p>
        </w:tc>
        <w:tc>
          <w:tcPr>
            <w:tcW w:w="1231" w:type="pct"/>
            <w:noWrap w:val="0"/>
            <w:vAlign w:val="center"/>
          </w:tcPr>
          <w:p>
            <w:pPr>
              <w:jc w:val="center"/>
              <w:rPr>
                <w:rFonts w:hint="eastAsia" w:ascii="Times New Roman" w:hAnsi="Times New Roman" w:eastAsia="宋体" w:cs="Times New Roman"/>
                <w:color w:val="auto"/>
                <w:kern w:val="2"/>
                <w:sz w:val="21"/>
                <w:szCs w:val="24"/>
                <w:lang w:val="en-US" w:eastAsia="zh-CN" w:bidi="ar-SA"/>
              </w:rPr>
            </w:pPr>
            <w:r>
              <w:rPr>
                <w:rFonts w:hint="eastAsia"/>
                <w:color w:val="auto"/>
                <w:lang w:val="en-US" w:eastAsia="zh-CN"/>
              </w:rPr>
              <w:t>/</w:t>
            </w:r>
          </w:p>
        </w:tc>
      </w:tr>
    </w:tbl>
    <w:p>
      <w:pPr>
        <w:rPr>
          <w:rFonts w:hint="eastAsia"/>
          <w:color w:val="auto"/>
          <w:lang w:val="en-US" w:eastAsia="zh-CN"/>
        </w:rPr>
      </w:pPr>
      <w:r>
        <w:rPr>
          <w:rFonts w:hint="eastAsia"/>
          <w:color w:val="auto"/>
          <w:lang w:val="en-US" w:eastAsia="zh-CN"/>
        </w:rPr>
        <w:br w:type="page"/>
      </w:r>
    </w:p>
    <w:tbl>
      <w:tblPr>
        <w:tblStyle w:val="30"/>
        <w:tblW w:w="5094"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28" w:type="dxa"/>
          <w:bottom w:w="0" w:type="dxa"/>
          <w:right w:w="28" w:type="dxa"/>
        </w:tblCellMar>
      </w:tblPr>
      <w:tblGrid>
        <w:gridCol w:w="9043"/>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4218" w:hRule="atLeast"/>
          <w:jc w:val="center"/>
        </w:trPr>
        <w:tc>
          <w:tcPr>
            <w:tcW w:w="5000" w:type="pct"/>
          </w:tcPr>
          <w:p>
            <w:pPr>
              <w:spacing w:line="360" w:lineRule="auto"/>
              <w:rPr>
                <w:rFonts w:hint="default" w:ascii="Times New Roman" w:hAnsi="Times New Roman" w:eastAsia="宋体" w:cs="Times New Roman"/>
                <w:b/>
                <w:color w:val="auto"/>
                <w:sz w:val="28"/>
                <w:szCs w:val="28"/>
                <w:highlight w:val="none"/>
              </w:rPr>
            </w:pPr>
            <w:r>
              <w:rPr>
                <w:rFonts w:hint="default" w:ascii="Times New Roman" w:hAnsi="Times New Roman" w:eastAsia="宋体" w:cs="Times New Roman"/>
                <w:b/>
                <w:color w:val="auto"/>
                <w:sz w:val="28"/>
                <w:szCs w:val="28"/>
                <w:highlight w:val="none"/>
                <w:lang w:val="en-US" w:eastAsia="zh-CN"/>
              </w:rPr>
              <w:t>工程</w:t>
            </w:r>
            <w:r>
              <w:rPr>
                <w:rFonts w:hint="default" w:ascii="Times New Roman" w:hAnsi="Times New Roman" w:eastAsia="宋体" w:cs="Times New Roman"/>
                <w:b/>
                <w:color w:val="auto"/>
                <w:sz w:val="28"/>
                <w:szCs w:val="28"/>
                <w:highlight w:val="none"/>
              </w:rPr>
              <w:t>内容及规模：</w:t>
            </w:r>
          </w:p>
          <w:p>
            <w:pPr>
              <w:spacing w:line="360" w:lineRule="auto"/>
              <w:ind w:firstLine="482" w:firstLineChars="200"/>
              <w:rPr>
                <w:rFonts w:hint="default" w:ascii="Times New Roman" w:hAnsi="Times New Roman" w:eastAsia="宋体" w:cs="Times New Roman"/>
                <w:b/>
                <w:color w:val="auto"/>
                <w:sz w:val="24"/>
                <w:highlight w:val="none"/>
                <w:lang w:eastAsia="zh-CN"/>
              </w:rPr>
            </w:pPr>
            <w:r>
              <w:rPr>
                <w:rFonts w:hint="default" w:ascii="Times New Roman" w:hAnsi="Times New Roman" w:eastAsia="宋体" w:cs="Times New Roman"/>
                <w:b/>
                <w:color w:val="auto"/>
                <w:sz w:val="24"/>
                <w:highlight w:val="none"/>
              </w:rPr>
              <w:t>一、</w:t>
            </w:r>
            <w:r>
              <w:rPr>
                <w:rFonts w:hint="default" w:ascii="Times New Roman" w:hAnsi="Times New Roman" w:eastAsia="宋体" w:cs="Times New Roman"/>
                <w:b/>
                <w:color w:val="auto"/>
                <w:sz w:val="24"/>
                <w:highlight w:val="none"/>
                <w:lang w:eastAsia="zh-CN"/>
              </w:rPr>
              <w:t>项目由来</w:t>
            </w:r>
          </w:p>
          <w:p>
            <w:pPr>
              <w:tabs>
                <w:tab w:val="left" w:pos="1200"/>
              </w:tabs>
              <w:adjustRightInd w:val="0"/>
              <w:snapToGrid w:val="0"/>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2019年3月1日</w:t>
            </w:r>
            <w:r>
              <w:rPr>
                <w:rFonts w:hint="eastAsia" w:cs="Times New Roman"/>
                <w:color w:val="auto"/>
                <w:sz w:val="24"/>
                <w:lang w:eastAsia="zh-CN"/>
              </w:rPr>
              <w:t>，</w:t>
            </w:r>
            <w:r>
              <w:rPr>
                <w:rFonts w:hint="default" w:ascii="Times New Roman" w:hAnsi="Times New Roman" w:eastAsia="宋体" w:cs="Times New Roman"/>
                <w:color w:val="auto"/>
                <w:sz w:val="24"/>
              </w:rPr>
              <w:t>江苏省发展改革委发文《省发展改革委关于开展光伏发电平价上网试点项目建设的通知》（苏发改能源发〔2019〕213号）</w:t>
            </w:r>
            <w:r>
              <w:rPr>
                <w:rFonts w:hint="eastAsia" w:cs="Times New Roman"/>
                <w:color w:val="auto"/>
                <w:sz w:val="24"/>
                <w:lang w:eastAsia="zh-CN"/>
              </w:rPr>
              <w:t>。</w:t>
            </w:r>
            <w:r>
              <w:rPr>
                <w:rFonts w:hint="default" w:ascii="Times New Roman" w:hAnsi="Times New Roman" w:eastAsia="宋体" w:cs="Times New Roman"/>
                <w:color w:val="auto"/>
                <w:sz w:val="24"/>
              </w:rPr>
              <w:t>文中明确：</w:t>
            </w:r>
            <w:r>
              <w:rPr>
                <w:rFonts w:hint="eastAsia" w:cs="Times New Roman"/>
                <w:color w:val="auto"/>
                <w:sz w:val="24"/>
                <w:lang w:eastAsia="zh-CN"/>
              </w:rPr>
              <w:t>“</w:t>
            </w:r>
            <w:r>
              <w:rPr>
                <w:rFonts w:hint="default" w:ascii="Times New Roman" w:hAnsi="Times New Roman" w:eastAsia="宋体" w:cs="Times New Roman"/>
                <w:color w:val="auto"/>
                <w:sz w:val="24"/>
              </w:rPr>
              <w:t>组织光伏发电企业申报光伏发电平价上网试点项目</w:t>
            </w:r>
            <w:r>
              <w:rPr>
                <w:rFonts w:hint="eastAsia" w:cs="Times New Roman"/>
                <w:color w:val="auto"/>
                <w:sz w:val="24"/>
                <w:lang w:eastAsia="zh-CN"/>
              </w:rPr>
              <w:t>”</w:t>
            </w:r>
            <w:r>
              <w:rPr>
                <w:rFonts w:hint="default" w:ascii="Times New Roman" w:hAnsi="Times New Roman" w:eastAsia="宋体" w:cs="Times New Roman"/>
                <w:color w:val="auto"/>
                <w:sz w:val="24"/>
              </w:rPr>
              <w:t>。</w:t>
            </w:r>
          </w:p>
          <w:p>
            <w:pPr>
              <w:tabs>
                <w:tab w:val="left" w:pos="1200"/>
              </w:tabs>
              <w:adjustRightInd w:val="0"/>
              <w:snapToGrid w:val="0"/>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为了响应光伏平价上网试点项目申报政策，</w:t>
            </w:r>
            <w:r>
              <w:rPr>
                <w:rFonts w:hint="eastAsia" w:cs="Times New Roman"/>
                <w:color w:val="auto"/>
                <w:sz w:val="24"/>
                <w:lang w:val="en-US" w:eastAsia="zh-CN"/>
              </w:rPr>
              <w:t>国家能源集团</w:t>
            </w:r>
            <w:r>
              <w:rPr>
                <w:rFonts w:hint="default" w:ascii="Times New Roman" w:hAnsi="Times New Roman" w:eastAsia="宋体" w:cs="Times New Roman"/>
                <w:color w:val="auto"/>
                <w:sz w:val="24"/>
              </w:rPr>
              <w:t>谏壁发电厂结合自身厂区光照资源充沛、土地资源集约、电网接入便捷、消纳条件优良，在对目前市场主流光伏组件及相关配套产品进行调研后，决定</w:t>
            </w:r>
            <w:r>
              <w:rPr>
                <w:rFonts w:hint="default" w:ascii="Times New Roman" w:hAnsi="Times New Roman" w:eastAsia="宋体" w:cs="Times New Roman"/>
                <w:color w:val="auto"/>
                <w:sz w:val="24"/>
                <w:lang w:val="en-US" w:eastAsia="zh-CN"/>
              </w:rPr>
              <w:t>建设</w:t>
            </w:r>
            <w:r>
              <w:rPr>
                <w:rFonts w:hint="default" w:ascii="Times New Roman" w:hAnsi="Times New Roman" w:eastAsia="宋体" w:cs="Times New Roman"/>
                <w:color w:val="auto"/>
                <w:sz w:val="24"/>
              </w:rPr>
              <w:t>国家能源集团贞观山灰场光伏电站项目。</w:t>
            </w:r>
            <w:r>
              <w:rPr>
                <w:rFonts w:hint="default" w:ascii="Times New Roman" w:hAnsi="Times New Roman" w:eastAsia="宋体" w:cs="Times New Roman"/>
                <w:color w:val="auto"/>
                <w:sz w:val="24"/>
                <w:lang w:val="en-US" w:eastAsia="zh-CN"/>
              </w:rPr>
              <w:t>该项目</w:t>
            </w:r>
            <w:r>
              <w:rPr>
                <w:rFonts w:hint="default" w:ascii="Times New Roman" w:hAnsi="Times New Roman" w:eastAsia="宋体" w:cs="Times New Roman"/>
                <w:color w:val="auto"/>
                <w:sz w:val="24"/>
              </w:rPr>
              <w:t>位于</w:t>
            </w:r>
            <w:r>
              <w:rPr>
                <w:rFonts w:hint="default" w:ascii="Times New Roman" w:hAnsi="Times New Roman" w:eastAsia="宋体" w:cs="Times New Roman"/>
                <w:color w:val="auto"/>
                <w:sz w:val="24"/>
                <w:highlight w:val="none"/>
                <w:lang w:val="en-US" w:eastAsia="zh-CN"/>
              </w:rPr>
              <w:t>丹阳市埤城镇和镇江新区丁岗镇交界处</w:t>
            </w:r>
            <w:r>
              <w:rPr>
                <w:rFonts w:hint="default" w:ascii="Times New Roman" w:hAnsi="Times New Roman" w:eastAsia="宋体" w:cs="Times New Roman"/>
                <w:color w:val="auto"/>
                <w:sz w:val="24"/>
              </w:rPr>
              <w:t>，场地为低洼山谷灰场，西北、东北侧为山丘，东南、西南侧为灰坝。项目总投资</w:t>
            </w:r>
            <w:r>
              <w:rPr>
                <w:rFonts w:hint="default" w:ascii="Times New Roman" w:hAnsi="Times New Roman" w:eastAsia="宋体" w:cs="Times New Roman"/>
                <w:color w:val="auto"/>
                <w:sz w:val="24"/>
                <w:lang w:eastAsia="zh-CN"/>
              </w:rPr>
              <w:t>12715</w:t>
            </w:r>
            <w:r>
              <w:rPr>
                <w:rFonts w:hint="default" w:ascii="Times New Roman" w:hAnsi="Times New Roman" w:eastAsia="宋体" w:cs="Times New Roman"/>
                <w:color w:val="auto"/>
                <w:sz w:val="24"/>
              </w:rPr>
              <w:t>万元，占地约</w:t>
            </w:r>
            <w:r>
              <w:rPr>
                <w:rFonts w:hint="default" w:ascii="Times New Roman" w:hAnsi="Times New Roman" w:eastAsia="宋体" w:cs="Times New Roman"/>
                <w:color w:val="auto"/>
                <w:sz w:val="24"/>
                <w:lang w:eastAsia="zh-CN"/>
              </w:rPr>
              <w:t>326900</w:t>
            </w:r>
            <w:r>
              <w:rPr>
                <w:rFonts w:hint="default" w:ascii="Times New Roman" w:hAnsi="Times New Roman" w:eastAsia="宋体" w:cs="Times New Roman"/>
                <w:color w:val="auto"/>
                <w:sz w:val="24"/>
                <w:lang w:val="en-US" w:eastAsia="zh-CN"/>
              </w:rPr>
              <w:t>m</w:t>
            </w:r>
            <w:r>
              <w:rPr>
                <w:rFonts w:hint="default" w:ascii="Times New Roman" w:hAnsi="Times New Roman" w:eastAsia="宋体" w:cs="Times New Roman"/>
                <w:color w:val="auto"/>
                <w:sz w:val="24"/>
                <w:vertAlign w:val="superscript"/>
                <w:lang w:val="en-US" w:eastAsia="zh-CN"/>
              </w:rPr>
              <w:t>2</w:t>
            </w:r>
            <w:r>
              <w:rPr>
                <w:rFonts w:hint="default" w:ascii="Times New Roman" w:hAnsi="Times New Roman" w:eastAsia="宋体" w:cs="Times New Roman"/>
                <w:color w:val="auto"/>
                <w:sz w:val="24"/>
              </w:rPr>
              <w:t>，在</w:t>
            </w:r>
            <w:r>
              <w:rPr>
                <w:rFonts w:hint="default" w:ascii="Times New Roman" w:hAnsi="Times New Roman" w:eastAsia="宋体" w:cs="Times New Roman"/>
                <w:color w:val="auto"/>
                <w:sz w:val="24"/>
                <w:highlight w:val="none"/>
                <w:lang w:eastAsia="zh-CN"/>
              </w:rPr>
              <w:t>国家能源集团谏壁发电厂</w:t>
            </w:r>
            <w:r>
              <w:rPr>
                <w:rFonts w:hint="default" w:ascii="Times New Roman" w:hAnsi="Times New Roman" w:eastAsia="宋体" w:cs="Times New Roman"/>
                <w:color w:val="auto"/>
                <w:sz w:val="24"/>
              </w:rPr>
              <w:t>贞观山灰场上进行建设。该项目为总装机容量</w:t>
            </w:r>
            <w:r>
              <w:rPr>
                <w:rFonts w:hint="default" w:ascii="Times New Roman" w:hAnsi="Times New Roman" w:eastAsia="宋体" w:cs="Times New Roman"/>
                <w:color w:val="auto"/>
                <w:sz w:val="24"/>
                <w:lang w:val="en-US" w:eastAsia="zh-CN"/>
              </w:rPr>
              <w:t>33.35MWp</w:t>
            </w:r>
            <w:r>
              <w:rPr>
                <w:rFonts w:hint="default" w:ascii="Times New Roman" w:hAnsi="Times New Roman" w:eastAsia="宋体" w:cs="Times New Roman"/>
                <w:color w:val="auto"/>
                <w:sz w:val="24"/>
              </w:rPr>
              <w:t>的并网型太阳能光伏发电工程，采用</w:t>
            </w:r>
            <w:r>
              <w:rPr>
                <w:rFonts w:hint="default" w:ascii="Times New Roman" w:hAnsi="Times New Roman" w:eastAsia="宋体" w:cs="Times New Roman"/>
                <w:color w:val="auto"/>
                <w:sz w:val="24"/>
                <w:lang w:val="en-US" w:eastAsia="zh-CN"/>
              </w:rPr>
              <w:t>35</w:t>
            </w:r>
            <w:r>
              <w:rPr>
                <w:rFonts w:hint="default" w:ascii="Times New Roman" w:hAnsi="Times New Roman" w:eastAsia="宋体" w:cs="Times New Roman"/>
                <w:color w:val="auto"/>
                <w:sz w:val="24"/>
              </w:rPr>
              <w:t>kV电压等级并入电网。建设内容包括太阳能光伏发电系统及相应的升压设施</w:t>
            </w:r>
            <w:r>
              <w:rPr>
                <w:rFonts w:hint="eastAsia" w:cs="Times New Roman"/>
                <w:color w:val="0000FF"/>
                <w:sz w:val="24"/>
                <w:lang w:eastAsia="zh-CN"/>
              </w:rPr>
              <w:t>、</w:t>
            </w:r>
            <w:r>
              <w:rPr>
                <w:rFonts w:hint="eastAsia" w:cs="Times New Roman"/>
                <w:color w:val="0000FF"/>
                <w:sz w:val="24"/>
                <w:lang w:val="en-US" w:eastAsia="zh-CN"/>
              </w:rPr>
              <w:t>35kV开关站</w:t>
            </w:r>
            <w:r>
              <w:rPr>
                <w:rFonts w:hint="default" w:ascii="Times New Roman" w:hAnsi="Times New Roman" w:eastAsia="宋体" w:cs="Times New Roman"/>
                <w:color w:val="auto"/>
                <w:sz w:val="24"/>
              </w:rPr>
              <w:t>。本项目计划2020年</w:t>
            </w:r>
            <w:r>
              <w:rPr>
                <w:rFonts w:hint="default" w:ascii="Times New Roman" w:hAnsi="Times New Roman" w:eastAsia="宋体" w:cs="Times New Roman"/>
                <w:color w:val="auto"/>
                <w:sz w:val="24"/>
                <w:lang w:val="en-US" w:eastAsia="zh-CN"/>
              </w:rPr>
              <w:t>11</w:t>
            </w:r>
            <w:r>
              <w:rPr>
                <w:rFonts w:hint="default" w:ascii="Times New Roman" w:hAnsi="Times New Roman" w:eastAsia="宋体" w:cs="Times New Roman"/>
                <w:color w:val="auto"/>
                <w:sz w:val="24"/>
              </w:rPr>
              <w:t>月开工建设，202</w:t>
            </w:r>
            <w:r>
              <w:rPr>
                <w:rFonts w:hint="default" w:ascii="Times New Roman" w:hAnsi="Times New Roman" w:eastAsia="宋体" w:cs="Times New Roman"/>
                <w:color w:val="auto"/>
                <w:sz w:val="24"/>
                <w:lang w:val="en-US" w:eastAsia="zh-CN"/>
              </w:rPr>
              <w:t>1</w:t>
            </w:r>
            <w:r>
              <w:rPr>
                <w:rFonts w:hint="default" w:ascii="Times New Roman" w:hAnsi="Times New Roman" w:eastAsia="宋体" w:cs="Times New Roman"/>
                <w:color w:val="auto"/>
                <w:sz w:val="24"/>
              </w:rPr>
              <w:t>年</w:t>
            </w:r>
            <w:r>
              <w:rPr>
                <w:rFonts w:hint="default" w:ascii="Times New Roman" w:hAnsi="Times New Roman" w:eastAsia="宋体" w:cs="Times New Roman"/>
                <w:color w:val="auto"/>
                <w:sz w:val="24"/>
                <w:lang w:val="en-US" w:eastAsia="zh-CN"/>
              </w:rPr>
              <w:t>1</w:t>
            </w:r>
            <w:r>
              <w:rPr>
                <w:rFonts w:hint="default" w:ascii="Times New Roman" w:hAnsi="Times New Roman" w:eastAsia="宋体" w:cs="Times New Roman"/>
                <w:color w:val="auto"/>
                <w:sz w:val="24"/>
              </w:rPr>
              <w:t>月并网发电。</w:t>
            </w:r>
          </w:p>
          <w:p>
            <w:pPr>
              <w:tabs>
                <w:tab w:val="left" w:pos="1200"/>
              </w:tabs>
              <w:adjustRightInd w:val="0"/>
              <w:snapToGrid w:val="0"/>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2020年7月31日，国家发展改革委、国家能源局联合印发《国家发展改革委办公厅 国家能源局综合司关于公布2020年风电、光伏发电平价上网项目的通知》（发改办能源〔2020〕588号</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lang w:val="en-US" w:eastAsia="zh-CN"/>
              </w:rPr>
              <w:t>附件三</w:t>
            </w:r>
            <w:r>
              <w:rPr>
                <w:rFonts w:hint="default" w:ascii="Times New Roman" w:hAnsi="Times New Roman" w:eastAsia="宋体" w:cs="Times New Roman"/>
                <w:color w:val="auto"/>
                <w:sz w:val="24"/>
              </w:rPr>
              <w:t>），将国家能源集团贞观山灰场光伏电站项目列为2020年度平价项目，为2020年度江苏7个光伏平价项目之一。</w:t>
            </w:r>
          </w:p>
          <w:p>
            <w:pPr>
              <w:adjustRightInd w:val="0"/>
              <w:snapToGrid w:val="0"/>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根据《建设项目环境环境影响评价分类管理名录》（中华人民共和国环境保护部令第44号）及《关于修改建设项目环境影响评价分类管理名录部分内容的决定》（中华人民共和国生态环境保护部令第1号）有关规定：本项目属于</w:t>
            </w:r>
            <w:r>
              <w:rPr>
                <w:rFonts w:hint="eastAsia" w:cs="Times New Roman"/>
                <w:color w:val="auto"/>
                <w:sz w:val="24"/>
                <w:lang w:eastAsia="zh-CN"/>
              </w:rPr>
              <w:t>“</w:t>
            </w:r>
            <w:r>
              <w:rPr>
                <w:rFonts w:hint="default" w:ascii="Times New Roman" w:hAnsi="Times New Roman" w:eastAsia="宋体" w:cs="Times New Roman"/>
                <w:color w:val="auto"/>
                <w:sz w:val="24"/>
              </w:rPr>
              <w:t>三十一电力、热力生产和供应业</w:t>
            </w:r>
            <w:r>
              <w:rPr>
                <w:rFonts w:hint="eastAsia" w:cs="Times New Roman"/>
                <w:color w:val="auto"/>
                <w:sz w:val="24"/>
                <w:lang w:eastAsia="zh-CN"/>
              </w:rPr>
              <w:t>”</w:t>
            </w:r>
            <w:r>
              <w:rPr>
                <w:rFonts w:hint="default" w:ascii="Times New Roman" w:hAnsi="Times New Roman" w:eastAsia="宋体" w:cs="Times New Roman"/>
                <w:color w:val="auto"/>
                <w:sz w:val="24"/>
              </w:rPr>
              <w:t>中的</w:t>
            </w:r>
            <w:r>
              <w:rPr>
                <w:rFonts w:hint="eastAsia" w:cs="Times New Roman"/>
                <w:color w:val="auto"/>
                <w:sz w:val="24"/>
                <w:lang w:eastAsia="zh-CN"/>
              </w:rPr>
              <w:t>“</w:t>
            </w:r>
            <w:r>
              <w:rPr>
                <w:rFonts w:hint="default" w:ascii="Times New Roman" w:hAnsi="Times New Roman" w:eastAsia="宋体" w:cs="Times New Roman"/>
                <w:color w:val="auto"/>
                <w:sz w:val="24"/>
              </w:rPr>
              <w:t>地面集中光伏电站（总容量大于6000</w:t>
            </w:r>
            <w:r>
              <w:rPr>
                <w:rFonts w:hint="default" w:ascii="Times New Roman" w:hAnsi="Times New Roman" w:eastAsia="宋体" w:cs="Times New Roman"/>
                <w:color w:val="auto"/>
                <w:sz w:val="24"/>
                <w:lang w:val="en-US" w:eastAsia="zh-CN"/>
              </w:rPr>
              <w:t>千瓦</w:t>
            </w:r>
            <w:r>
              <w:rPr>
                <w:rFonts w:hint="default" w:ascii="Times New Roman" w:hAnsi="Times New Roman" w:eastAsia="宋体" w:cs="Times New Roman"/>
                <w:color w:val="auto"/>
                <w:sz w:val="24"/>
              </w:rPr>
              <w:t>，且接入电压等级不小于10千伏）</w:t>
            </w:r>
            <w:r>
              <w:rPr>
                <w:rFonts w:hint="eastAsia" w:cs="Times New Roman"/>
                <w:color w:val="auto"/>
                <w:sz w:val="24"/>
                <w:lang w:eastAsia="zh-CN"/>
              </w:rPr>
              <w:t>”</w:t>
            </w:r>
            <w:r>
              <w:rPr>
                <w:rFonts w:hint="default" w:ascii="Times New Roman" w:hAnsi="Times New Roman" w:eastAsia="宋体" w:cs="Times New Roman"/>
                <w:color w:val="auto"/>
                <w:sz w:val="24"/>
              </w:rPr>
              <w:t>，本项目应编制环境影响报告表。</w:t>
            </w:r>
          </w:p>
          <w:p>
            <w:pPr>
              <w:keepNext w:val="0"/>
              <w:keepLines w:val="0"/>
              <w:pageBreakBefore w:val="0"/>
              <w:widowControl w:val="0"/>
              <w:kinsoku/>
              <w:wordWrap/>
              <w:overflowPunct/>
              <w:topLinePunct w:val="0"/>
              <w:bidi w:val="0"/>
              <w:snapToGrid w:val="0"/>
              <w:spacing w:line="360" w:lineRule="auto"/>
              <w:ind w:firstLine="482" w:firstLineChars="200"/>
              <w:textAlignment w:val="auto"/>
              <w:rPr>
                <w:rFonts w:hint="default" w:ascii="Times New Roman" w:hAnsi="Times New Roman" w:eastAsia="宋体" w:cs="Times New Roman"/>
                <w:b/>
                <w:color w:val="auto"/>
                <w:sz w:val="24"/>
                <w:highlight w:val="none"/>
                <w:lang w:eastAsia="zh-CN"/>
              </w:rPr>
            </w:pPr>
            <w:r>
              <w:rPr>
                <w:rFonts w:hint="default" w:ascii="Times New Roman" w:hAnsi="Times New Roman" w:eastAsia="宋体" w:cs="Times New Roman"/>
                <w:b/>
                <w:color w:val="auto"/>
                <w:sz w:val="24"/>
                <w:highlight w:val="none"/>
                <w:lang w:val="en-US" w:eastAsia="zh-CN"/>
              </w:rPr>
              <w:t>二、</w:t>
            </w:r>
            <w:r>
              <w:rPr>
                <w:rFonts w:hint="default" w:ascii="Times New Roman" w:hAnsi="Times New Roman" w:eastAsia="宋体" w:cs="Times New Roman"/>
                <w:b/>
                <w:color w:val="auto"/>
                <w:sz w:val="24"/>
                <w:highlight w:val="none"/>
                <w:lang w:eastAsia="zh-CN"/>
              </w:rPr>
              <w:t>项目概况</w:t>
            </w:r>
          </w:p>
          <w:p>
            <w:pPr>
              <w:keepNext w:val="0"/>
              <w:keepLines w:val="0"/>
              <w:pageBreakBefore w:val="0"/>
              <w:widowControl w:val="0"/>
              <w:kinsoku/>
              <w:wordWrap/>
              <w:overflowPunct/>
              <w:topLinePunct w:val="0"/>
              <w:bidi w:val="0"/>
              <w:snapToGrid w:val="0"/>
              <w:spacing w:line="360" w:lineRule="auto"/>
              <w:ind w:firstLine="482" w:firstLineChars="200"/>
              <w:textAlignment w:val="auto"/>
              <w:rPr>
                <w:rFonts w:hint="default" w:ascii="Times New Roman" w:hAnsi="Times New Roman" w:eastAsia="宋体" w:cs="Times New Roman"/>
                <w:b/>
                <w:color w:val="auto"/>
                <w:kern w:val="2"/>
                <w:sz w:val="24"/>
                <w:szCs w:val="24"/>
                <w:highlight w:val="none"/>
                <w:lang w:val="en-GB" w:eastAsia="zh-CN" w:bidi="ar-SA"/>
              </w:rPr>
            </w:pPr>
            <w:r>
              <w:rPr>
                <w:rFonts w:hint="default" w:ascii="Times New Roman" w:hAnsi="Times New Roman" w:eastAsia="宋体" w:cs="Times New Roman"/>
                <w:b/>
                <w:color w:val="auto"/>
                <w:sz w:val="24"/>
                <w:highlight w:val="none"/>
                <w:lang w:val="en-US" w:eastAsia="zh-CN"/>
              </w:rPr>
              <w:t>1、</w:t>
            </w:r>
            <w:r>
              <w:rPr>
                <w:rFonts w:hint="default" w:ascii="Times New Roman" w:hAnsi="Times New Roman" w:eastAsia="宋体" w:cs="Times New Roman"/>
                <w:b/>
                <w:color w:val="auto"/>
                <w:sz w:val="24"/>
                <w:highlight w:val="none"/>
                <w:lang w:val="en-GB" w:eastAsia="zh-CN"/>
              </w:rPr>
              <w:t>建设规模</w:t>
            </w:r>
            <w:r>
              <w:rPr>
                <w:rFonts w:hint="default" w:ascii="Times New Roman" w:hAnsi="Times New Roman" w:eastAsia="宋体" w:cs="Times New Roman"/>
                <w:b/>
                <w:color w:val="auto"/>
                <w:kern w:val="2"/>
                <w:sz w:val="24"/>
                <w:szCs w:val="24"/>
                <w:highlight w:val="none"/>
                <w:lang w:val="en-GB" w:eastAsia="zh-CN" w:bidi="ar-SA"/>
              </w:rPr>
              <w:t>及内容</w:t>
            </w:r>
          </w:p>
          <w:p>
            <w:pPr>
              <w:pStyle w:val="29"/>
              <w:keepNext w:val="0"/>
              <w:keepLines w:val="0"/>
              <w:pageBreakBefore w:val="0"/>
              <w:widowControl w:val="0"/>
              <w:kinsoku/>
              <w:wordWrap/>
              <w:overflowPunct/>
              <w:topLinePunct w:val="0"/>
              <w:bidi w:val="0"/>
              <w:snapToGrid w:val="0"/>
              <w:spacing w:line="360" w:lineRule="auto"/>
              <w:ind w:firstLine="480" w:firstLineChars="200"/>
              <w:jc w:val="both"/>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本工程总装机容量为</w:t>
            </w:r>
            <w:r>
              <w:rPr>
                <w:rFonts w:hint="default" w:ascii="Times New Roman" w:hAnsi="Times New Roman" w:eastAsia="宋体" w:cs="Times New Roman"/>
                <w:color w:val="auto"/>
                <w:lang w:val="en-US" w:eastAsia="zh-CN"/>
              </w:rPr>
              <w:t>33.35</w:t>
            </w:r>
            <w:r>
              <w:rPr>
                <w:rFonts w:hint="default" w:ascii="Times New Roman" w:hAnsi="Times New Roman" w:eastAsia="宋体" w:cs="Times New Roman"/>
                <w:color w:val="auto"/>
              </w:rPr>
              <w:t>MWp，</w:t>
            </w:r>
            <w:bookmarkStart w:id="2" w:name="_Hlk521068850"/>
            <w:r>
              <w:rPr>
                <w:rFonts w:hint="default" w:ascii="Times New Roman" w:hAnsi="Times New Roman" w:eastAsia="宋体" w:cs="Times New Roman"/>
                <w:color w:val="auto"/>
              </w:rPr>
              <w:t>光伏电站共设4个分区，10个方阵，其中9个集中式逆变器方阵，1个组串式逆变器方阵。每个方阵每27个单晶电池组件串联成一串，达到额定电压，回路连接至光伏直流汇流箱，汇流箱内实现多回路并联达到额定功率。汇流箱并联后接至逆变器。拟采用</w:t>
            </w:r>
            <w:r>
              <w:rPr>
                <w:rFonts w:hint="default" w:ascii="Times New Roman" w:hAnsi="Times New Roman" w:eastAsia="宋体" w:cs="Times New Roman"/>
                <w:color w:val="auto"/>
                <w:lang w:val="en-US" w:eastAsia="zh-CN"/>
              </w:rPr>
              <w:t>415</w:t>
            </w:r>
            <w:r>
              <w:rPr>
                <w:rFonts w:hint="default" w:ascii="Times New Roman" w:hAnsi="Times New Roman" w:eastAsia="宋体" w:cs="Times New Roman"/>
                <w:color w:val="auto"/>
              </w:rPr>
              <w:t>Wp规格的单晶硅电池组件，数量共计</w:t>
            </w:r>
            <w:r>
              <w:rPr>
                <w:rFonts w:hint="default" w:ascii="Times New Roman" w:hAnsi="Times New Roman" w:eastAsia="宋体" w:cs="Times New Roman"/>
                <w:color w:val="auto"/>
                <w:lang w:val="en-US" w:eastAsia="zh-CN"/>
              </w:rPr>
              <w:t>80379</w:t>
            </w:r>
            <w:r>
              <w:rPr>
                <w:rFonts w:hint="default" w:ascii="Times New Roman" w:hAnsi="Times New Roman" w:eastAsia="宋体" w:cs="Times New Roman"/>
                <w:color w:val="auto"/>
              </w:rPr>
              <w:t>块；</w:t>
            </w:r>
            <w:r>
              <w:rPr>
                <w:rFonts w:hint="default" w:ascii="Times New Roman" w:hAnsi="Times New Roman" w:eastAsia="宋体" w:cs="Times New Roman"/>
                <w:color w:val="auto"/>
                <w:sz w:val="24"/>
                <w:szCs w:val="24"/>
                <w:highlight w:val="none"/>
                <w:lang w:val="en-US" w:eastAsia="zh-CN"/>
              </w:rPr>
              <w:t>8</w:t>
            </w:r>
            <w:r>
              <w:rPr>
                <w:rFonts w:hint="default" w:ascii="Times New Roman" w:hAnsi="Times New Roman" w:eastAsia="宋体" w:cs="Times New Roman"/>
                <w:color w:val="auto"/>
                <w:sz w:val="24"/>
                <w:szCs w:val="24"/>
                <w:highlight w:val="none"/>
              </w:rPr>
              <w:t>台3</w:t>
            </w:r>
            <w:r>
              <w:rPr>
                <w:rFonts w:hint="default" w:ascii="Times New Roman" w:hAnsi="Times New Roman" w:eastAsia="宋体" w:cs="Times New Roman"/>
                <w:color w:val="auto"/>
                <w:sz w:val="24"/>
                <w:szCs w:val="24"/>
              </w:rPr>
              <w:t>125kW箱逆变一体机、1台1250kW箱逆变一体机及3台196kW组串式逆变器</w:t>
            </w:r>
            <w:r>
              <w:rPr>
                <w:rFonts w:hint="default" w:ascii="Times New Roman" w:hAnsi="Times New Roman" w:eastAsia="宋体" w:cs="Times New Roman"/>
                <w:color w:val="auto"/>
              </w:rPr>
              <w:t>。</w:t>
            </w:r>
          </w:p>
          <w:bookmarkEnd w:id="2"/>
          <w:p>
            <w:pPr>
              <w:keepNext/>
              <w:numPr>
                <w:ilvl w:val="4"/>
                <w:numId w:val="0"/>
              </w:numPr>
              <w:adjustRightInd w:val="0"/>
              <w:snapToGrid w:val="0"/>
              <w:spacing w:line="360" w:lineRule="auto"/>
              <w:ind w:firstLine="482" w:firstLineChars="200"/>
              <w:jc w:val="center"/>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表</w:t>
            </w:r>
            <w:r>
              <w:rPr>
                <w:rFonts w:hint="eastAsia" w:cs="Times New Roman"/>
                <w:b/>
                <w:color w:val="auto"/>
                <w:sz w:val="24"/>
                <w:szCs w:val="24"/>
                <w:lang w:val="en-US" w:eastAsia="zh-CN"/>
              </w:rPr>
              <w:t>3</w:t>
            </w:r>
            <w:r>
              <w:rPr>
                <w:rFonts w:hint="default" w:ascii="Times New Roman" w:hAnsi="Times New Roman" w:eastAsia="宋体" w:cs="Times New Roman"/>
                <w:b/>
                <w:color w:val="auto"/>
                <w:sz w:val="24"/>
                <w:szCs w:val="24"/>
              </w:rPr>
              <w:t xml:space="preserve"> 项目的基本组成</w:t>
            </w:r>
          </w:p>
          <w:tbl>
            <w:tblPr>
              <w:tblStyle w:val="3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28" w:type="dxa"/>
                <w:left w:w="28" w:type="dxa"/>
                <w:bottom w:w="28" w:type="dxa"/>
                <w:right w:w="28" w:type="dxa"/>
              </w:tblCellMar>
            </w:tblPr>
            <w:tblGrid>
              <w:gridCol w:w="1257"/>
              <w:gridCol w:w="731"/>
              <w:gridCol w:w="409"/>
              <w:gridCol w:w="4304"/>
              <w:gridCol w:w="1050"/>
              <w:gridCol w:w="1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cantSplit/>
                <w:trHeight w:val="230" w:hRule="atLeast"/>
                <w:jc w:val="center"/>
              </w:trPr>
              <w:tc>
                <w:tcPr>
                  <w:tcW w:w="700"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项目名称</w:t>
                  </w:r>
                </w:p>
              </w:tc>
              <w:tc>
                <w:tcPr>
                  <w:tcW w:w="4299" w:type="pct"/>
                  <w:gridSpan w:val="5"/>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lang w:eastAsia="zh-CN"/>
                    </w:rPr>
                    <w:t>国家能源集团贞观山灰场光伏电站项目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cantSplit/>
                <w:trHeight w:val="230" w:hRule="atLeast"/>
                <w:jc w:val="center"/>
              </w:trPr>
              <w:tc>
                <w:tcPr>
                  <w:tcW w:w="700"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建设性质</w:t>
                  </w:r>
                </w:p>
              </w:tc>
              <w:tc>
                <w:tcPr>
                  <w:tcW w:w="4299" w:type="pct"/>
                  <w:gridSpan w:val="5"/>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cantSplit/>
                <w:trHeight w:val="230" w:hRule="atLeast"/>
                <w:jc w:val="center"/>
              </w:trPr>
              <w:tc>
                <w:tcPr>
                  <w:tcW w:w="700" w:type="pct"/>
                  <w:tcBorders>
                    <w:top w:val="single" w:color="auto" w:sz="4" w:space="0"/>
                    <w:left w:val="single" w:color="auto" w:sz="4" w:space="0"/>
                    <w:bottom w:val="single" w:color="auto" w:sz="4" w:space="0"/>
                    <w:right w:val="single" w:color="auto" w:sz="4" w:space="0"/>
                  </w:tcBorders>
                  <w:vAlign w:val="center"/>
                </w:tcPr>
                <w:p>
                  <w:pPr>
                    <w:spacing w:line="360" w:lineRule="auto"/>
                    <w:ind w:left="-84" w:leftChars="-40" w:right="-84" w:rightChars="-4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建设地点</w:t>
                  </w:r>
                </w:p>
              </w:tc>
              <w:tc>
                <w:tcPr>
                  <w:tcW w:w="4299" w:type="pct"/>
                  <w:gridSpan w:val="5"/>
                  <w:tcBorders>
                    <w:top w:val="single" w:color="auto" w:sz="4" w:space="0"/>
                    <w:left w:val="single" w:color="auto" w:sz="4" w:space="0"/>
                    <w:bottom w:val="single" w:color="auto" w:sz="4" w:space="0"/>
                    <w:right w:val="single" w:color="auto" w:sz="4" w:space="0"/>
                  </w:tcBorders>
                  <w:vAlign w:val="center"/>
                </w:tcPr>
                <w:p>
                  <w:pPr>
                    <w:spacing w:line="360" w:lineRule="auto"/>
                    <w:ind w:left="-84" w:leftChars="-40" w:right="-84" w:rightChars="-4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lang w:val="en-US" w:eastAsia="zh-CN"/>
                    </w:rPr>
                    <w:t>丹阳市埤城镇和镇江新区丁岗镇交界处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cantSplit/>
                <w:trHeight w:val="230" w:hRule="atLeast"/>
                <w:jc w:val="center"/>
              </w:trPr>
              <w:tc>
                <w:tcPr>
                  <w:tcW w:w="700" w:type="pct"/>
                  <w:tcBorders>
                    <w:top w:val="single" w:color="auto" w:sz="4" w:space="0"/>
                    <w:left w:val="single" w:color="auto" w:sz="4" w:space="0"/>
                    <w:bottom w:val="single" w:color="auto" w:sz="4" w:space="0"/>
                    <w:right w:val="single" w:color="auto" w:sz="4" w:space="0"/>
                  </w:tcBorders>
                  <w:vAlign w:val="center"/>
                </w:tcPr>
                <w:p>
                  <w:pPr>
                    <w:spacing w:line="360" w:lineRule="auto"/>
                    <w:ind w:left="-84" w:leftChars="-40" w:right="-84" w:rightChars="-4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建设单位</w:t>
                  </w:r>
                </w:p>
              </w:tc>
              <w:tc>
                <w:tcPr>
                  <w:tcW w:w="4299" w:type="pct"/>
                  <w:gridSpan w:val="5"/>
                  <w:tcBorders>
                    <w:top w:val="single" w:color="auto" w:sz="4" w:space="0"/>
                    <w:left w:val="single" w:color="auto" w:sz="4" w:space="0"/>
                    <w:bottom w:val="single" w:color="auto" w:sz="4" w:space="0"/>
                    <w:right w:val="single" w:color="auto" w:sz="4" w:space="0"/>
                  </w:tcBorders>
                  <w:vAlign w:val="center"/>
                </w:tcPr>
                <w:p>
                  <w:pPr>
                    <w:spacing w:line="360" w:lineRule="auto"/>
                    <w:ind w:left="-84" w:leftChars="-40" w:right="-84" w:rightChars="-4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lang w:eastAsia="zh-CN"/>
                    </w:rPr>
                    <w:t>国家能源集团谏壁发电厂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cantSplit/>
                <w:trHeight w:val="230" w:hRule="atLeast"/>
                <w:jc w:val="center"/>
              </w:trPr>
              <w:tc>
                <w:tcPr>
                  <w:tcW w:w="700"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总投资额</w:t>
                  </w:r>
                </w:p>
              </w:tc>
              <w:tc>
                <w:tcPr>
                  <w:tcW w:w="4299" w:type="pct"/>
                  <w:gridSpan w:val="5"/>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12715</w:t>
                  </w:r>
                  <w:r>
                    <w:rPr>
                      <w:rFonts w:hint="default" w:ascii="Times New Roman" w:hAnsi="Times New Roman" w:eastAsia="宋体" w:cs="Times New Roman"/>
                      <w:color w:val="auto"/>
                      <w:sz w:val="21"/>
                      <w:szCs w:val="21"/>
                    </w:rPr>
                    <w:t>万元（静态）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cantSplit/>
                <w:trHeight w:val="230" w:hRule="atLeast"/>
                <w:jc w:val="center"/>
              </w:trPr>
              <w:tc>
                <w:tcPr>
                  <w:tcW w:w="700" w:type="pct"/>
                  <w:vMerge w:val="restart"/>
                  <w:tcBorders>
                    <w:top w:val="single" w:color="auto" w:sz="4" w:space="0"/>
                    <w:left w:val="single" w:color="auto" w:sz="4" w:space="0"/>
                    <w:right w:val="single" w:color="auto" w:sz="4" w:space="0"/>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规模</w:t>
                  </w:r>
                </w:p>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（MWp）</w:t>
                  </w:r>
                </w:p>
              </w:tc>
              <w:tc>
                <w:tcPr>
                  <w:tcW w:w="407"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w:t>
                  </w:r>
                </w:p>
              </w:tc>
              <w:tc>
                <w:tcPr>
                  <w:tcW w:w="2626" w:type="pct"/>
                  <w:gridSpan w:val="2"/>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机组组成</w:t>
                  </w:r>
                </w:p>
              </w:tc>
              <w:tc>
                <w:tcPr>
                  <w:tcW w:w="585"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总容量</w:t>
                  </w:r>
                </w:p>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（MWp）</w:t>
                  </w:r>
                </w:p>
              </w:tc>
              <w:tc>
                <w:tcPr>
                  <w:tcW w:w="680"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cantSplit/>
                <w:trHeight w:val="582" w:hRule="atLeast"/>
                <w:jc w:val="center"/>
              </w:trPr>
              <w:tc>
                <w:tcPr>
                  <w:tcW w:w="700" w:type="pct"/>
                  <w:vMerge w:val="continue"/>
                  <w:tcBorders>
                    <w:left w:val="single" w:color="auto" w:sz="4" w:space="0"/>
                    <w:right w:val="single" w:color="auto" w:sz="4" w:space="0"/>
                  </w:tcBorders>
                  <w:vAlign w:val="center"/>
                </w:tcPr>
                <w:p>
                  <w:pPr>
                    <w:widowControl/>
                    <w:jc w:val="left"/>
                    <w:rPr>
                      <w:rFonts w:hint="default" w:ascii="Times New Roman" w:hAnsi="Times New Roman" w:eastAsia="宋体" w:cs="Times New Roman"/>
                      <w:color w:val="auto"/>
                      <w:sz w:val="21"/>
                      <w:szCs w:val="21"/>
                    </w:rPr>
                  </w:pPr>
                </w:p>
              </w:tc>
              <w:tc>
                <w:tcPr>
                  <w:tcW w:w="407" w:type="pct"/>
                  <w:tcBorders>
                    <w:top w:val="single" w:color="auto" w:sz="4" w:space="0"/>
                    <w:left w:val="single" w:color="auto" w:sz="4" w:space="0"/>
                    <w:right w:val="single" w:color="auto" w:sz="4" w:space="0"/>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本期</w:t>
                  </w:r>
                </w:p>
              </w:tc>
              <w:tc>
                <w:tcPr>
                  <w:tcW w:w="2626" w:type="pct"/>
                  <w:gridSpan w:val="2"/>
                  <w:tcBorders>
                    <w:top w:val="single" w:color="auto" w:sz="4" w:space="0"/>
                    <w:left w:val="single" w:color="auto" w:sz="4" w:space="0"/>
                    <w:right w:val="single" w:color="auto" w:sz="4" w:space="0"/>
                  </w:tcBorders>
                  <w:vAlign w:val="center"/>
                </w:tcPr>
                <w:p>
                  <w:pPr>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415</w:t>
                  </w:r>
                  <w:r>
                    <w:rPr>
                      <w:rFonts w:hint="default" w:ascii="Times New Roman" w:hAnsi="Times New Roman" w:eastAsia="宋体" w:cs="Times New Roman"/>
                      <w:color w:val="auto"/>
                      <w:sz w:val="21"/>
                      <w:szCs w:val="21"/>
                    </w:rPr>
                    <w:t>Wp规格的单晶硅电池组件，共计</w:t>
                  </w:r>
                  <w:r>
                    <w:rPr>
                      <w:rFonts w:hint="default" w:ascii="Times New Roman" w:hAnsi="Times New Roman" w:eastAsia="宋体" w:cs="Times New Roman"/>
                      <w:color w:val="auto"/>
                      <w:sz w:val="21"/>
                      <w:szCs w:val="21"/>
                      <w:lang w:val="en-US" w:eastAsia="zh-CN"/>
                    </w:rPr>
                    <w:t>80379</w:t>
                  </w:r>
                  <w:r>
                    <w:rPr>
                      <w:rFonts w:hint="default" w:ascii="Times New Roman" w:hAnsi="Times New Roman" w:eastAsia="宋体" w:cs="Times New Roman"/>
                      <w:color w:val="auto"/>
                      <w:sz w:val="21"/>
                      <w:szCs w:val="21"/>
                    </w:rPr>
                    <w:t>块</w:t>
                  </w:r>
                </w:p>
              </w:tc>
              <w:tc>
                <w:tcPr>
                  <w:tcW w:w="585" w:type="pct"/>
                  <w:tcBorders>
                    <w:top w:val="single" w:color="auto" w:sz="4" w:space="0"/>
                    <w:left w:val="single" w:color="auto" w:sz="4" w:space="0"/>
                    <w:right w:val="single" w:color="auto" w:sz="4" w:space="0"/>
                  </w:tcBorders>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33.35</w:t>
                  </w:r>
                </w:p>
              </w:tc>
              <w:tc>
                <w:tcPr>
                  <w:tcW w:w="680" w:type="pct"/>
                  <w:tcBorders>
                    <w:top w:val="single" w:color="auto" w:sz="4" w:space="0"/>
                    <w:left w:val="single" w:color="auto" w:sz="4" w:space="0"/>
                    <w:right w:val="single" w:color="auto" w:sz="4" w:space="0"/>
                  </w:tcBorders>
                  <w:vAlign w:val="center"/>
                </w:tcPr>
                <w:p>
                  <w:pPr>
                    <w:jc w:val="left"/>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cantSplit/>
                <w:trHeight w:val="555" w:hRule="atLeast"/>
                <w:jc w:val="center"/>
              </w:trPr>
              <w:tc>
                <w:tcPr>
                  <w:tcW w:w="700"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主体</w:t>
                  </w:r>
                </w:p>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工程</w:t>
                  </w:r>
                </w:p>
              </w:tc>
              <w:tc>
                <w:tcPr>
                  <w:tcW w:w="4299" w:type="pct"/>
                  <w:gridSpan w:val="5"/>
                  <w:tcBorders>
                    <w:top w:val="single" w:color="auto" w:sz="4" w:space="0"/>
                    <w:left w:val="single" w:color="auto" w:sz="4" w:space="0"/>
                    <w:bottom w:val="single" w:color="auto" w:sz="4" w:space="0"/>
                    <w:right w:val="single" w:color="auto" w:sz="4" w:space="0"/>
                  </w:tcBorders>
                  <w:vAlign w:val="center"/>
                </w:tcPr>
                <w:p>
                  <w:pPr>
                    <w:jc w:val="left"/>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单晶硅电池组件：</w:t>
                  </w:r>
                  <w:r>
                    <w:rPr>
                      <w:rFonts w:hint="default" w:ascii="Times New Roman" w:hAnsi="Times New Roman" w:eastAsia="宋体" w:cs="Times New Roman"/>
                      <w:bCs/>
                      <w:color w:val="auto"/>
                      <w:sz w:val="21"/>
                      <w:szCs w:val="21"/>
                      <w:lang w:val="en-US" w:eastAsia="zh-CN"/>
                    </w:rPr>
                    <w:t>最大工作</w:t>
                  </w:r>
                  <w:r>
                    <w:rPr>
                      <w:rFonts w:hint="default" w:ascii="Times New Roman" w:hAnsi="Times New Roman" w:eastAsia="宋体" w:cs="Times New Roman"/>
                      <w:bCs/>
                      <w:color w:val="auto"/>
                      <w:sz w:val="21"/>
                      <w:szCs w:val="21"/>
                    </w:rPr>
                    <w:t>功率</w:t>
                  </w:r>
                  <w:r>
                    <w:rPr>
                      <w:rFonts w:hint="default" w:ascii="Times New Roman" w:hAnsi="Times New Roman" w:eastAsia="宋体" w:cs="Times New Roman"/>
                      <w:bCs/>
                      <w:color w:val="auto"/>
                      <w:sz w:val="21"/>
                      <w:szCs w:val="21"/>
                      <w:lang w:val="en-US" w:eastAsia="zh-CN"/>
                    </w:rPr>
                    <w:t>415</w:t>
                  </w:r>
                  <w:r>
                    <w:rPr>
                      <w:rFonts w:hint="default" w:ascii="Times New Roman" w:hAnsi="Times New Roman" w:eastAsia="宋体" w:cs="Times New Roman"/>
                      <w:bCs/>
                      <w:color w:val="auto"/>
                      <w:sz w:val="21"/>
                      <w:szCs w:val="21"/>
                    </w:rPr>
                    <w:t>Wp，</w:t>
                  </w:r>
                  <w:r>
                    <w:rPr>
                      <w:rFonts w:hint="default" w:ascii="Times New Roman" w:hAnsi="Times New Roman" w:eastAsia="宋体" w:cs="Times New Roman"/>
                      <w:color w:val="auto"/>
                      <w:sz w:val="21"/>
                      <w:szCs w:val="21"/>
                    </w:rPr>
                    <w:t>光电转换效率</w:t>
                  </w:r>
                  <w:r>
                    <w:rPr>
                      <w:rFonts w:hint="default" w:ascii="Times New Roman" w:hAnsi="Times New Roman" w:eastAsia="宋体" w:cs="Times New Roman"/>
                      <w:bCs/>
                      <w:color w:val="auto"/>
                      <w:sz w:val="21"/>
                      <w:szCs w:val="21"/>
                      <w:lang w:val="en-US" w:eastAsia="zh-CN"/>
                    </w:rPr>
                    <w:t>20.4</w:t>
                  </w:r>
                  <w:r>
                    <w:rPr>
                      <w:rFonts w:hint="default" w:ascii="Times New Roman" w:hAnsi="Times New Roman" w:eastAsia="宋体" w:cs="Times New Roman"/>
                      <w:bCs/>
                      <w:color w:val="auto"/>
                      <w:sz w:val="21"/>
                      <w:szCs w:val="21"/>
                    </w:rPr>
                    <w:t>%，工作</w:t>
                  </w:r>
                  <w:r>
                    <w:rPr>
                      <w:rFonts w:hint="default" w:ascii="Times New Roman" w:hAnsi="Times New Roman" w:eastAsia="宋体" w:cs="Times New Roman"/>
                      <w:bCs/>
                      <w:color w:val="auto"/>
                      <w:sz w:val="21"/>
                      <w:szCs w:val="21"/>
                      <w:lang w:val="en-US" w:eastAsia="zh-CN"/>
                    </w:rPr>
                    <w:t>点</w:t>
                  </w:r>
                  <w:r>
                    <w:rPr>
                      <w:rFonts w:hint="default" w:ascii="Times New Roman" w:hAnsi="Times New Roman" w:eastAsia="宋体" w:cs="Times New Roman"/>
                      <w:bCs/>
                      <w:color w:val="auto"/>
                      <w:sz w:val="21"/>
                      <w:szCs w:val="21"/>
                    </w:rPr>
                    <w:t>电流9.</w:t>
                  </w:r>
                  <w:r>
                    <w:rPr>
                      <w:rFonts w:hint="default" w:ascii="Times New Roman" w:hAnsi="Times New Roman" w:eastAsia="宋体" w:cs="Times New Roman"/>
                      <w:bCs/>
                      <w:color w:val="auto"/>
                      <w:sz w:val="21"/>
                      <w:szCs w:val="21"/>
                      <w:lang w:val="en-US" w:eastAsia="zh-CN"/>
                    </w:rPr>
                    <w:t>68A</w:t>
                  </w:r>
                  <w:r>
                    <w:rPr>
                      <w:rFonts w:hint="default" w:ascii="Times New Roman" w:hAnsi="Times New Roman" w:eastAsia="宋体" w:cs="Times New Roman"/>
                      <w:bCs/>
                      <w:color w:val="auto"/>
                      <w:sz w:val="21"/>
                      <w:szCs w:val="21"/>
                    </w:rPr>
                    <w:t>，</w:t>
                  </w:r>
                  <w:r>
                    <w:rPr>
                      <w:rFonts w:hint="default" w:ascii="Times New Roman" w:hAnsi="Times New Roman" w:eastAsia="宋体" w:cs="Times New Roman"/>
                      <w:bCs/>
                      <w:color w:val="auto"/>
                      <w:sz w:val="21"/>
                      <w:szCs w:val="21"/>
                      <w:lang w:val="en-US" w:eastAsia="zh-CN"/>
                    </w:rPr>
                    <w:t>工作点</w:t>
                  </w:r>
                  <w:r>
                    <w:rPr>
                      <w:rFonts w:hint="default" w:ascii="Times New Roman" w:hAnsi="Times New Roman" w:eastAsia="宋体" w:cs="Times New Roman"/>
                      <w:bCs/>
                      <w:color w:val="auto"/>
                      <w:sz w:val="21"/>
                      <w:szCs w:val="21"/>
                    </w:rPr>
                    <w:t>电压</w:t>
                  </w:r>
                  <w:r>
                    <w:rPr>
                      <w:rFonts w:hint="default" w:ascii="Times New Roman" w:hAnsi="Times New Roman" w:eastAsia="宋体" w:cs="Times New Roman"/>
                      <w:bCs/>
                      <w:color w:val="auto"/>
                      <w:sz w:val="21"/>
                      <w:szCs w:val="21"/>
                      <w:lang w:val="en-US" w:eastAsia="zh-CN"/>
                    </w:rPr>
                    <w:t>42.9</w:t>
                  </w:r>
                  <w:r>
                    <w:rPr>
                      <w:rFonts w:hint="default" w:ascii="Times New Roman" w:hAnsi="Times New Roman" w:eastAsia="宋体" w:cs="Times New Roman"/>
                      <w:bCs/>
                      <w:color w:val="auto"/>
                      <w:sz w:val="21"/>
                      <w:szCs w:val="21"/>
                    </w:rPr>
                    <w:t>V，开路电压Voc为</w:t>
                  </w:r>
                  <w:r>
                    <w:rPr>
                      <w:rFonts w:hint="default" w:ascii="Times New Roman" w:hAnsi="Times New Roman" w:eastAsia="宋体" w:cs="Times New Roman"/>
                      <w:bCs/>
                      <w:color w:val="auto"/>
                      <w:sz w:val="21"/>
                      <w:szCs w:val="21"/>
                      <w:lang w:val="en-US" w:eastAsia="zh-CN"/>
                    </w:rPr>
                    <w:t>50.2</w:t>
                  </w:r>
                  <w:r>
                    <w:rPr>
                      <w:rFonts w:hint="eastAsia" w:cs="Times New Roman"/>
                      <w:bCs/>
                      <w:color w:val="0000FF"/>
                      <w:sz w:val="21"/>
                      <w:szCs w:val="21"/>
                      <w:lang w:val="en-US" w:eastAsia="zh-CN"/>
                    </w:rPr>
                    <w:t>V</w:t>
                  </w:r>
                  <w:r>
                    <w:rPr>
                      <w:rFonts w:hint="default" w:ascii="Times New Roman" w:hAnsi="Times New Roman" w:eastAsia="宋体" w:cs="Times New Roman"/>
                      <w:bCs/>
                      <w:color w:val="auto"/>
                      <w:sz w:val="21"/>
                      <w:szCs w:val="21"/>
                    </w:rPr>
                    <w:t>，</w:t>
                  </w:r>
                  <w:r>
                    <w:rPr>
                      <w:rFonts w:hint="default" w:ascii="Times New Roman" w:hAnsi="Times New Roman" w:eastAsia="宋体" w:cs="Times New Roman"/>
                      <w:bCs/>
                      <w:color w:val="auto"/>
                      <w:sz w:val="21"/>
                      <w:szCs w:val="21"/>
                      <w:lang w:val="en-US" w:eastAsia="zh-CN"/>
                    </w:rPr>
                    <w:t>短路电流10.29A</w:t>
                  </w:r>
                  <w:r>
                    <w:rPr>
                      <w:rFonts w:hint="default" w:ascii="Times New Roman" w:hAnsi="Times New Roman" w:eastAsia="宋体" w:cs="Times New Roman"/>
                      <w:color w:val="auto"/>
                      <w:sz w:val="21"/>
                      <w:szCs w:val="21"/>
                    </w:rPr>
                    <w:t>；</w:t>
                  </w:r>
                </w:p>
                <w:p>
                  <w:pPr>
                    <w:jc w:val="left"/>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逆变器：</w:t>
                  </w:r>
                  <w:r>
                    <w:rPr>
                      <w:rFonts w:hint="default" w:ascii="Times New Roman" w:hAnsi="Times New Roman" w:eastAsia="宋体" w:cs="Times New Roman"/>
                      <w:bCs/>
                      <w:color w:val="auto"/>
                      <w:sz w:val="21"/>
                      <w:szCs w:val="21"/>
                      <w:lang w:val="en-US" w:eastAsia="zh-CN"/>
                    </w:rPr>
                    <w:t>8</w:t>
                  </w:r>
                  <w:r>
                    <w:rPr>
                      <w:rFonts w:hint="default" w:ascii="Times New Roman" w:hAnsi="Times New Roman" w:eastAsia="宋体" w:cs="Times New Roman"/>
                      <w:bCs/>
                      <w:color w:val="auto"/>
                      <w:sz w:val="21"/>
                      <w:szCs w:val="21"/>
                    </w:rPr>
                    <w:t>台3125kW箱逆变一体机、1台1250kW箱逆变一体机及3台196kW组串式逆变器</w:t>
                  </w:r>
                  <w:r>
                    <w:rPr>
                      <w:rFonts w:hint="default" w:ascii="Times New Roman" w:hAnsi="Times New Roman" w:eastAsia="宋体" w:cs="Times New Roman"/>
                      <w:color w:val="auto"/>
                      <w:sz w:val="21"/>
                      <w:szCs w:val="21"/>
                    </w:rPr>
                    <w:t>，直流电压</w:t>
                  </w:r>
                  <w:r>
                    <w:rPr>
                      <w:rFonts w:hint="default" w:ascii="Times New Roman" w:hAnsi="Times New Roman" w:eastAsia="宋体" w:cs="Times New Roman"/>
                      <w:color w:val="auto"/>
                      <w:sz w:val="21"/>
                      <w:szCs w:val="21"/>
                      <w:lang w:val="en-US" w:eastAsia="zh-CN"/>
                    </w:rPr>
                    <w:t>1500</w:t>
                  </w:r>
                  <w:r>
                    <w:rPr>
                      <w:rFonts w:hint="default" w:ascii="Times New Roman" w:hAnsi="Times New Roman" w:eastAsia="宋体" w:cs="Times New Roman"/>
                      <w:color w:val="auto"/>
                      <w:sz w:val="21"/>
                      <w:szCs w:val="21"/>
                    </w:rPr>
                    <w:t>V；</w:t>
                  </w:r>
                </w:p>
                <w:p>
                  <w:pPr>
                    <w:jc w:val="left"/>
                    <w:rPr>
                      <w:rFonts w:hint="default" w:ascii="Times New Roman" w:hAnsi="Times New Roman" w:eastAsia="宋体" w:cs="Times New Roman"/>
                      <w:bCs/>
                      <w:color w:val="auto"/>
                      <w:sz w:val="21"/>
                      <w:szCs w:val="21"/>
                      <w:lang w:eastAsia="zh-CN"/>
                    </w:rPr>
                  </w:pPr>
                  <w:bookmarkStart w:id="3" w:name="_Hlk521072056"/>
                  <w:r>
                    <w:rPr>
                      <w:rFonts w:hint="default" w:ascii="Times New Roman" w:hAnsi="Times New Roman" w:eastAsia="宋体" w:cs="Times New Roman"/>
                      <w:bCs/>
                      <w:color w:val="auto"/>
                      <w:sz w:val="21"/>
                      <w:szCs w:val="21"/>
                    </w:rPr>
                    <w:t>箱式变压器</w:t>
                  </w:r>
                  <w:bookmarkEnd w:id="3"/>
                  <w:r>
                    <w:rPr>
                      <w:rFonts w:hint="default" w:ascii="Times New Roman" w:hAnsi="Times New Roman" w:eastAsia="宋体" w:cs="Times New Roman"/>
                      <w:bCs/>
                      <w:color w:val="auto"/>
                      <w:sz w:val="21"/>
                      <w:szCs w:val="21"/>
                    </w:rPr>
                    <w:t>：</w:t>
                  </w:r>
                  <w:r>
                    <w:rPr>
                      <w:rFonts w:hint="default" w:ascii="Times New Roman" w:hAnsi="Times New Roman" w:eastAsia="宋体" w:cs="Times New Roman"/>
                      <w:bCs/>
                      <w:color w:val="auto"/>
                      <w:sz w:val="21"/>
                      <w:szCs w:val="21"/>
                      <w:lang w:val="en-US" w:eastAsia="zh-CN"/>
                    </w:rPr>
                    <w:t>3台</w:t>
                  </w:r>
                  <w:r>
                    <w:rPr>
                      <w:rFonts w:hint="default" w:ascii="Times New Roman" w:hAnsi="Times New Roman" w:eastAsia="宋体" w:cs="Times New Roman"/>
                      <w:color w:val="auto"/>
                      <w:sz w:val="21"/>
                      <w:szCs w:val="21"/>
                    </w:rPr>
                    <w:t xml:space="preserve">630kVA </w:t>
                  </w:r>
                  <w:r>
                    <w:rPr>
                      <w:rFonts w:hint="default" w:ascii="Times New Roman" w:hAnsi="Times New Roman"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rPr>
                    <w:t>35kV油浸式S11升压变压器</w:t>
                  </w:r>
                  <w:r>
                    <w:rPr>
                      <w:rFonts w:hint="default" w:ascii="Times New Roman" w:hAnsi="Times New Roman" w:eastAsia="宋体" w:cs="Times New Roman"/>
                      <w:bCs/>
                      <w:color w:val="auto"/>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cantSplit/>
                <w:trHeight w:val="230" w:hRule="atLeast"/>
                <w:jc w:val="center"/>
              </w:trPr>
              <w:tc>
                <w:tcPr>
                  <w:tcW w:w="700" w:type="pct"/>
                  <w:vMerge w:val="restart"/>
                  <w:tcBorders>
                    <w:top w:val="single" w:color="auto" w:sz="4" w:space="0"/>
                    <w:left w:val="single" w:color="auto" w:sz="4" w:space="0"/>
                    <w:right w:val="single" w:color="auto" w:sz="4" w:space="0"/>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辅助</w:t>
                  </w:r>
                </w:p>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工程</w:t>
                  </w:r>
                </w:p>
              </w:tc>
              <w:tc>
                <w:tcPr>
                  <w:tcW w:w="635" w:type="pct"/>
                  <w:gridSpan w:val="2"/>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供水系统</w:t>
                  </w:r>
                </w:p>
              </w:tc>
              <w:tc>
                <w:tcPr>
                  <w:tcW w:w="3664" w:type="pct"/>
                  <w:gridSpan w:val="3"/>
                  <w:tcBorders>
                    <w:top w:val="single" w:color="auto" w:sz="4" w:space="0"/>
                    <w:left w:val="single" w:color="auto" w:sz="4" w:space="0"/>
                    <w:bottom w:val="single" w:color="auto" w:sz="4" w:space="0"/>
                    <w:right w:val="single" w:color="auto" w:sz="4" w:space="0"/>
                  </w:tcBorders>
                  <w:vAlign w:val="center"/>
                </w:tcPr>
                <w:p>
                  <w:pPr>
                    <w:jc w:val="left"/>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水源拟采用市政自来水</w:t>
                  </w:r>
                  <w:r>
                    <w:rPr>
                      <w:rFonts w:hint="default" w:ascii="Times New Roman" w:hAnsi="Times New Roman" w:eastAsia="宋体" w:cs="Times New Roman"/>
                      <w:color w:val="auto"/>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cantSplit/>
                <w:trHeight w:val="230" w:hRule="atLeast"/>
                <w:jc w:val="center"/>
              </w:trPr>
              <w:tc>
                <w:tcPr>
                  <w:tcW w:w="700" w:type="pct"/>
                  <w:vMerge w:val="continue"/>
                  <w:tcBorders>
                    <w:left w:val="single" w:color="auto" w:sz="4" w:space="0"/>
                    <w:right w:val="single" w:color="auto" w:sz="4" w:space="0"/>
                  </w:tcBorders>
                  <w:vAlign w:val="center"/>
                </w:tcPr>
                <w:p>
                  <w:pPr>
                    <w:widowControl/>
                    <w:jc w:val="left"/>
                    <w:rPr>
                      <w:rFonts w:hint="default" w:ascii="Times New Roman" w:hAnsi="Times New Roman" w:eastAsia="宋体" w:cs="Times New Roman"/>
                      <w:color w:val="auto"/>
                      <w:sz w:val="21"/>
                      <w:szCs w:val="21"/>
                    </w:rPr>
                  </w:pPr>
                </w:p>
              </w:tc>
              <w:tc>
                <w:tcPr>
                  <w:tcW w:w="635" w:type="pct"/>
                  <w:gridSpan w:val="2"/>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sz w:val="21"/>
                      <w:szCs w:val="21"/>
                    </w:rPr>
                    <w:t>排水系统</w:t>
                  </w:r>
                </w:p>
              </w:tc>
              <w:tc>
                <w:tcPr>
                  <w:tcW w:w="3664" w:type="pct"/>
                  <w:gridSpan w:val="3"/>
                  <w:tcBorders>
                    <w:top w:val="single" w:color="auto" w:sz="4" w:space="0"/>
                    <w:left w:val="single" w:color="auto" w:sz="4" w:space="0"/>
                    <w:bottom w:val="single" w:color="auto" w:sz="4" w:space="0"/>
                    <w:right w:val="single" w:color="auto" w:sz="4" w:space="0"/>
                  </w:tcBorders>
                  <w:vAlign w:val="center"/>
                </w:tcPr>
                <w:p>
                  <w:pPr>
                    <w:jc w:val="left"/>
                    <w:rPr>
                      <w:rFonts w:hint="default" w:ascii="Times New Roman" w:hAnsi="Times New Roman" w:eastAsia="宋体" w:cs="Times New Roman"/>
                      <w:bCs/>
                      <w:color w:val="0000FF"/>
                      <w:sz w:val="21"/>
                      <w:szCs w:val="21"/>
                    </w:rPr>
                  </w:pPr>
                  <w:r>
                    <w:rPr>
                      <w:rFonts w:hint="default" w:ascii="Times New Roman" w:hAnsi="Times New Roman" w:eastAsia="宋体" w:cs="Times New Roman"/>
                      <w:bCs/>
                      <w:color w:val="0000FF"/>
                      <w:sz w:val="21"/>
                      <w:szCs w:val="21"/>
                    </w:rPr>
                    <w:t>场地坡度较大，雨水通过自然渗透及散排至厂址东南方向地势低洼处</w:t>
                  </w:r>
                  <w:r>
                    <w:rPr>
                      <w:rFonts w:hint="eastAsia" w:cs="Times New Roman"/>
                      <w:bCs/>
                      <w:color w:val="0000FF"/>
                      <w:sz w:val="21"/>
                      <w:szCs w:val="21"/>
                      <w:lang w:val="en-US" w:eastAsia="zh-CN"/>
                    </w:rPr>
                    <w:t>设置的</w:t>
                  </w:r>
                  <w:r>
                    <w:rPr>
                      <w:rFonts w:hint="default" w:ascii="Times New Roman" w:hAnsi="Times New Roman" w:eastAsia="宋体" w:cs="Times New Roman"/>
                      <w:bCs/>
                      <w:color w:val="0000FF"/>
                      <w:sz w:val="21"/>
                      <w:szCs w:val="21"/>
                    </w:rPr>
                    <w:t>集水池。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cantSplit/>
                <w:trHeight w:val="230" w:hRule="atLeast"/>
                <w:jc w:val="center"/>
              </w:trPr>
              <w:tc>
                <w:tcPr>
                  <w:tcW w:w="700" w:type="pct"/>
                  <w:vMerge w:val="continue"/>
                  <w:tcBorders>
                    <w:left w:val="single" w:color="auto" w:sz="4" w:space="0"/>
                    <w:bottom w:val="single" w:color="auto" w:sz="4" w:space="0"/>
                    <w:right w:val="single" w:color="auto" w:sz="4" w:space="0"/>
                  </w:tcBorders>
                  <w:vAlign w:val="center"/>
                </w:tcPr>
                <w:p>
                  <w:pPr>
                    <w:widowControl/>
                    <w:jc w:val="left"/>
                    <w:rPr>
                      <w:rFonts w:hint="default" w:ascii="Times New Roman" w:hAnsi="Times New Roman" w:eastAsia="宋体" w:cs="Times New Roman"/>
                      <w:color w:val="auto"/>
                      <w:sz w:val="21"/>
                      <w:szCs w:val="21"/>
                    </w:rPr>
                  </w:pPr>
                </w:p>
              </w:tc>
              <w:tc>
                <w:tcPr>
                  <w:tcW w:w="635" w:type="pct"/>
                  <w:gridSpan w:val="2"/>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输电线路</w:t>
                  </w:r>
                </w:p>
              </w:tc>
              <w:tc>
                <w:tcPr>
                  <w:tcW w:w="3664" w:type="pct"/>
                  <w:gridSpan w:val="3"/>
                  <w:tcBorders>
                    <w:top w:val="single" w:color="auto" w:sz="4" w:space="0"/>
                    <w:left w:val="single" w:color="auto" w:sz="4" w:space="0"/>
                    <w:bottom w:val="single" w:color="auto" w:sz="4" w:space="0"/>
                    <w:right w:val="single" w:color="auto" w:sz="4" w:space="0"/>
                  </w:tcBorders>
                  <w:vAlign w:val="center"/>
                </w:tcPr>
                <w:p>
                  <w:pPr>
                    <w:jc w:val="left"/>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10个光伏方阵共汇流成2组，接入35kV配电室汇流母线，35kV母线采用单母线，汇流后通过1台出线断路器接入公共电网。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cantSplit/>
                <w:trHeight w:val="256" w:hRule="atLeast"/>
                <w:jc w:val="center"/>
              </w:trPr>
              <w:tc>
                <w:tcPr>
                  <w:tcW w:w="700" w:type="pct"/>
                  <w:vMerge w:val="restart"/>
                  <w:tcBorders>
                    <w:top w:val="single" w:color="auto" w:sz="4" w:space="0"/>
                    <w:left w:val="single" w:color="auto" w:sz="4" w:space="0"/>
                    <w:right w:val="single" w:color="auto" w:sz="4" w:space="0"/>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贮运</w:t>
                  </w:r>
                </w:p>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工程</w:t>
                  </w:r>
                </w:p>
              </w:tc>
              <w:tc>
                <w:tcPr>
                  <w:tcW w:w="635" w:type="pct"/>
                  <w:gridSpan w:val="2"/>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进</w:t>
                  </w:r>
                  <w:r>
                    <w:rPr>
                      <w:rFonts w:hint="default" w:ascii="Times New Roman" w:hAnsi="Times New Roman" w:eastAsia="宋体" w:cs="Times New Roman"/>
                      <w:color w:val="auto"/>
                      <w:sz w:val="21"/>
                      <w:szCs w:val="21"/>
                      <w:lang w:val="en-US" w:eastAsia="zh-CN"/>
                    </w:rPr>
                    <w:t>站</w:t>
                  </w:r>
                  <w:r>
                    <w:rPr>
                      <w:rFonts w:hint="default" w:ascii="Times New Roman" w:hAnsi="Times New Roman" w:eastAsia="宋体" w:cs="Times New Roman"/>
                      <w:color w:val="auto"/>
                      <w:sz w:val="21"/>
                      <w:szCs w:val="21"/>
                    </w:rPr>
                    <w:t>道路</w:t>
                  </w:r>
                </w:p>
              </w:tc>
              <w:tc>
                <w:tcPr>
                  <w:tcW w:w="3664" w:type="pct"/>
                  <w:gridSpan w:val="3"/>
                  <w:tcBorders>
                    <w:top w:val="single" w:color="auto" w:sz="4" w:space="0"/>
                    <w:left w:val="single" w:color="auto" w:sz="4" w:space="0"/>
                    <w:bottom w:val="single" w:color="auto" w:sz="4" w:space="0"/>
                    <w:right w:val="single" w:color="auto" w:sz="4" w:space="0"/>
                  </w:tcBorders>
                  <w:vAlign w:val="center"/>
                </w:tcPr>
                <w:p>
                  <w:pPr>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进站道路利用现有的运灰渣道路，位于灰场西南方向的水泥路面。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cantSplit/>
                <w:trHeight w:val="276" w:hRule="atLeast"/>
                <w:jc w:val="center"/>
              </w:trPr>
              <w:tc>
                <w:tcPr>
                  <w:tcW w:w="700" w:type="pct"/>
                  <w:vMerge w:val="continue"/>
                  <w:tcBorders>
                    <w:left w:val="single" w:color="auto" w:sz="4" w:space="0"/>
                    <w:right w:val="single" w:color="auto" w:sz="4" w:space="0"/>
                  </w:tcBorders>
                  <w:vAlign w:val="center"/>
                </w:tcPr>
                <w:p>
                  <w:pPr>
                    <w:jc w:val="center"/>
                    <w:rPr>
                      <w:rFonts w:hint="default" w:ascii="Times New Roman" w:hAnsi="Times New Roman" w:eastAsia="宋体" w:cs="Times New Roman"/>
                      <w:color w:val="auto"/>
                      <w:sz w:val="21"/>
                      <w:szCs w:val="21"/>
                    </w:rPr>
                  </w:pPr>
                </w:p>
              </w:tc>
              <w:tc>
                <w:tcPr>
                  <w:tcW w:w="635" w:type="pct"/>
                  <w:gridSpan w:val="2"/>
                  <w:tcBorders>
                    <w:top w:val="single" w:color="auto" w:sz="4" w:space="0"/>
                    <w:left w:val="single" w:color="auto" w:sz="4" w:space="0"/>
                    <w:bottom w:val="single" w:color="auto" w:sz="4" w:space="0"/>
                    <w:right w:val="single" w:color="auto" w:sz="4" w:space="0"/>
                  </w:tcBorders>
                  <w:vAlign w:val="center"/>
                </w:tcPr>
                <w:p>
                  <w:pPr>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厂内检修道路</w:t>
                  </w:r>
                </w:p>
              </w:tc>
              <w:tc>
                <w:tcPr>
                  <w:tcW w:w="3664" w:type="pct"/>
                  <w:gridSpan w:val="3"/>
                  <w:tcBorders>
                    <w:top w:val="single" w:color="auto" w:sz="4" w:space="0"/>
                    <w:left w:val="single" w:color="auto" w:sz="4" w:space="0"/>
                    <w:bottom w:val="single" w:color="auto" w:sz="4" w:space="0"/>
                    <w:right w:val="single" w:color="auto" w:sz="4" w:space="0"/>
                  </w:tcBorders>
                  <w:vAlign w:val="center"/>
                </w:tcPr>
                <w:p>
                  <w:pPr>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为了便于施工和运行期间的检修，道路能连接至每个光伏方阵，路面为简易</w:t>
                  </w:r>
                  <w:r>
                    <w:rPr>
                      <w:rFonts w:hint="eastAsia" w:cs="Times New Roman"/>
                      <w:color w:val="auto"/>
                      <w:sz w:val="21"/>
                      <w:szCs w:val="21"/>
                      <w:lang w:val="en-US" w:eastAsia="zh-CN"/>
                    </w:rPr>
                    <w:t>砂石路面</w:t>
                  </w:r>
                  <w:r>
                    <w:rPr>
                      <w:rFonts w:hint="default" w:ascii="Times New Roman" w:hAnsi="Times New Roman" w:eastAsia="宋体" w:cs="Times New Roman"/>
                      <w:color w:val="auto"/>
                      <w:sz w:val="21"/>
                      <w:szCs w:val="21"/>
                    </w:rPr>
                    <w:t>，宽度为4m，转弯半径均为6m。</w:t>
                  </w:r>
                </w:p>
                <w:p>
                  <w:pPr>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开关站区道路宽度为4m，从东侧厂外道路就近接入，为混凝土路面。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cantSplit/>
                <w:trHeight w:val="230" w:hRule="atLeast"/>
                <w:jc w:val="center"/>
              </w:trPr>
              <w:tc>
                <w:tcPr>
                  <w:tcW w:w="700"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环保</w:t>
                  </w:r>
                </w:p>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工程</w:t>
                  </w:r>
                </w:p>
              </w:tc>
              <w:tc>
                <w:tcPr>
                  <w:tcW w:w="4299" w:type="pct"/>
                  <w:gridSpan w:val="5"/>
                  <w:tcBorders>
                    <w:top w:val="single" w:color="auto" w:sz="4" w:space="0"/>
                    <w:left w:val="single" w:color="auto" w:sz="4" w:space="0"/>
                    <w:bottom w:val="single" w:color="auto" w:sz="4" w:space="0"/>
                    <w:right w:val="single" w:color="auto" w:sz="4" w:space="0"/>
                  </w:tcBorders>
                  <w:vAlign w:val="center"/>
                </w:tcPr>
                <w:p>
                  <w:pPr>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废水：</w:t>
                  </w:r>
                  <w:r>
                    <w:rPr>
                      <w:rFonts w:hint="default" w:ascii="Times New Roman" w:hAnsi="Times New Roman" w:eastAsia="宋体" w:cs="Times New Roman"/>
                      <w:snapToGrid w:val="0"/>
                      <w:color w:val="auto"/>
                      <w:kern w:val="0"/>
                      <w:sz w:val="21"/>
                      <w:szCs w:val="21"/>
                    </w:rPr>
                    <w:t>电池组件清洗废水散排就地蒸发</w:t>
                  </w:r>
                  <w:r>
                    <w:rPr>
                      <w:rFonts w:hint="default" w:ascii="Times New Roman" w:hAnsi="Times New Roman" w:eastAsia="宋体" w:cs="Times New Roman"/>
                      <w:snapToGrid w:val="0"/>
                      <w:color w:val="auto"/>
                      <w:kern w:val="0"/>
                      <w:sz w:val="21"/>
                      <w:szCs w:val="21"/>
                      <w:lang w:eastAsia="zh-CN"/>
                    </w:rPr>
                    <w:t>，</w:t>
                  </w:r>
                  <w:r>
                    <w:rPr>
                      <w:rFonts w:hint="default" w:ascii="Times New Roman" w:hAnsi="Times New Roman" w:eastAsia="宋体" w:cs="Times New Roman"/>
                      <w:snapToGrid w:val="0"/>
                      <w:color w:val="auto"/>
                      <w:kern w:val="0"/>
                      <w:sz w:val="21"/>
                      <w:szCs w:val="21"/>
                      <w:lang w:val="en-US" w:eastAsia="zh-CN"/>
                    </w:rPr>
                    <w:t>不外排</w:t>
                  </w:r>
                  <w:r>
                    <w:rPr>
                      <w:rFonts w:hint="default" w:ascii="Times New Roman" w:hAnsi="Times New Roman" w:eastAsia="宋体" w:cs="Times New Roman"/>
                      <w:snapToGrid w:val="0"/>
                      <w:color w:val="auto"/>
                      <w:kern w:val="0"/>
                      <w:sz w:val="21"/>
                      <w:szCs w:val="21"/>
                    </w:rPr>
                    <w:t>。</w:t>
                  </w:r>
                </w:p>
                <w:p>
                  <w:pPr>
                    <w:jc w:val="left"/>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sz w:val="21"/>
                      <w:szCs w:val="21"/>
                    </w:rPr>
                    <w:t>噪声：选用低噪声设备等。</w:t>
                  </w:r>
                </w:p>
                <w:p>
                  <w:pPr>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固废：废蓄电池、废变压器油</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按照《危险废物转移联单管理办法》委托有危险废物处置资质的单位回收；场内设置事故油池及危废暂存间。废</w:t>
                  </w:r>
                  <w:r>
                    <w:rPr>
                      <w:rFonts w:hint="default" w:ascii="Times New Roman" w:hAnsi="Times New Roman" w:eastAsia="宋体" w:cs="Times New Roman"/>
                      <w:color w:val="auto"/>
                      <w:sz w:val="21"/>
                      <w:szCs w:val="21"/>
                      <w:lang w:val="en-US" w:eastAsia="zh-CN"/>
                    </w:rPr>
                    <w:t>光伏组件</w:t>
                  </w:r>
                  <w:r>
                    <w:rPr>
                      <w:rFonts w:hint="default" w:ascii="Times New Roman" w:hAnsi="Times New Roman" w:eastAsia="宋体" w:cs="Times New Roman"/>
                      <w:color w:val="auto"/>
                      <w:sz w:val="21"/>
                      <w:szCs w:val="21"/>
                    </w:rPr>
                    <w:t>由厂家回收。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cantSplit/>
                <w:trHeight w:val="230" w:hRule="atLeast"/>
                <w:jc w:val="center"/>
              </w:trPr>
              <w:tc>
                <w:tcPr>
                  <w:tcW w:w="700"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送出</w:t>
                  </w:r>
                </w:p>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工程</w:t>
                  </w:r>
                </w:p>
              </w:tc>
              <w:tc>
                <w:tcPr>
                  <w:tcW w:w="4299" w:type="pct"/>
                  <w:gridSpan w:val="5"/>
                  <w:tcBorders>
                    <w:top w:val="single" w:color="auto" w:sz="4" w:space="0"/>
                    <w:left w:val="single" w:color="auto" w:sz="4" w:space="0"/>
                    <w:bottom w:val="single" w:color="auto" w:sz="4" w:space="0"/>
                    <w:right w:val="single" w:color="auto" w:sz="4" w:space="0"/>
                  </w:tcBorders>
                  <w:vAlign w:val="center"/>
                </w:tcPr>
                <w:p>
                  <w:pPr>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本项目以一回35kV线路送出，接入220kV胡桥变35kV侧（不包含在此次评价内</w:t>
                  </w:r>
                  <w:r>
                    <w:rPr>
                      <w:rFonts w:hint="eastAsia" w:cs="Times New Roman"/>
                      <w:color w:val="auto"/>
                      <w:sz w:val="21"/>
                      <w:szCs w:val="21"/>
                      <w:lang w:eastAsia="zh-CN"/>
                    </w:rPr>
                    <w:t>，</w:t>
                  </w:r>
                  <w:r>
                    <w:rPr>
                      <w:rFonts w:hint="eastAsia" w:ascii="Times New Roman" w:hAnsi="Times New Roman" w:eastAsia="宋体" w:cs="Times New Roman"/>
                      <w:color w:val="auto"/>
                      <w:sz w:val="21"/>
                      <w:szCs w:val="21"/>
                    </w:rPr>
                    <w:t>根据《建设项目环境影响评价分类管理名录》，</w:t>
                  </w:r>
                  <w:r>
                    <w:rPr>
                      <w:rFonts w:hint="eastAsia" w:ascii="Times New Roman" w:hAnsi="Times New Roman" w:eastAsia="宋体" w:cs="Times New Roman"/>
                      <w:color w:val="auto"/>
                      <w:sz w:val="21"/>
                      <w:szCs w:val="21"/>
                      <w:lang w:val="en-US" w:eastAsia="zh-CN"/>
                    </w:rPr>
                    <w:t>35kV</w:t>
                  </w:r>
                  <w:r>
                    <w:rPr>
                      <w:rFonts w:hint="eastAsia" w:cs="Times New Roman"/>
                      <w:color w:val="auto"/>
                      <w:sz w:val="21"/>
                      <w:szCs w:val="21"/>
                      <w:lang w:val="en-US" w:eastAsia="zh-CN"/>
                    </w:rPr>
                    <w:t>线路</w:t>
                  </w:r>
                  <w:r>
                    <w:rPr>
                      <w:rFonts w:hint="eastAsia" w:ascii="Times New Roman" w:hAnsi="Times New Roman" w:eastAsia="宋体" w:cs="Times New Roman"/>
                      <w:color w:val="auto"/>
                      <w:sz w:val="21"/>
                      <w:szCs w:val="21"/>
                    </w:rPr>
                    <w:t>属于豁免管理，无需履行环评手续</w:t>
                  </w:r>
                  <w:r>
                    <w:rPr>
                      <w:rFonts w:hint="default" w:ascii="Times New Roman" w:hAnsi="Times New Roman" w:eastAsia="宋体"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cantSplit/>
                <w:trHeight w:val="209" w:hRule="atLeast"/>
                <w:jc w:val="center"/>
              </w:trPr>
              <w:tc>
                <w:tcPr>
                  <w:tcW w:w="700"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公用</w:t>
                  </w:r>
                </w:p>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工程</w:t>
                  </w:r>
                </w:p>
              </w:tc>
              <w:tc>
                <w:tcPr>
                  <w:tcW w:w="4299" w:type="pct"/>
                  <w:gridSpan w:val="5"/>
                  <w:tcBorders>
                    <w:top w:val="single" w:color="auto" w:sz="4" w:space="0"/>
                    <w:left w:val="single" w:color="auto" w:sz="4" w:space="0"/>
                    <w:bottom w:val="single" w:color="auto" w:sz="4" w:space="0"/>
                    <w:right w:val="single" w:color="auto" w:sz="4" w:space="0"/>
                  </w:tcBorders>
                  <w:vAlign w:val="center"/>
                </w:tcPr>
                <w:p>
                  <w:pPr>
                    <w:jc w:val="left"/>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35kV开关站区</w:t>
                  </w:r>
                  <w:r>
                    <w:rPr>
                      <w:rFonts w:hint="default" w:ascii="Times New Roman" w:hAnsi="Times New Roman" w:eastAsia="宋体" w:cs="Times New Roman"/>
                      <w:color w:val="auto"/>
                      <w:sz w:val="21"/>
                      <w:szCs w:val="21"/>
                    </w:rPr>
                    <w:t>绿化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cantSplit/>
                <w:trHeight w:val="105" w:hRule="atLeast"/>
                <w:jc w:val="center"/>
              </w:trPr>
              <w:tc>
                <w:tcPr>
                  <w:tcW w:w="700"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备注</w:t>
                  </w:r>
                </w:p>
              </w:tc>
              <w:tc>
                <w:tcPr>
                  <w:tcW w:w="4299" w:type="pct"/>
                  <w:gridSpan w:val="5"/>
                  <w:tcBorders>
                    <w:top w:val="single" w:color="auto" w:sz="4" w:space="0"/>
                    <w:left w:val="single" w:color="auto" w:sz="4" w:space="0"/>
                    <w:bottom w:val="single" w:color="auto" w:sz="4" w:space="0"/>
                    <w:right w:val="single" w:color="auto" w:sz="4" w:space="0"/>
                  </w:tcBorders>
                  <w:vAlign w:val="center"/>
                </w:tcPr>
                <w:p>
                  <w:pPr>
                    <w:jc w:val="left"/>
                    <w:rPr>
                      <w:rFonts w:hint="default" w:ascii="Times New Roman" w:hAnsi="Times New Roman" w:eastAsia="宋体" w:cs="Times New Roman"/>
                      <w:b/>
                      <w:bCs/>
                      <w:color w:val="auto"/>
                      <w:sz w:val="21"/>
                      <w:szCs w:val="21"/>
                    </w:rPr>
                  </w:pPr>
                  <w:r>
                    <w:rPr>
                      <w:rFonts w:hint="default" w:ascii="Times New Roman" w:hAnsi="Times New Roman" w:eastAsia="宋体" w:cs="Times New Roman"/>
                      <w:color w:val="auto"/>
                      <w:sz w:val="21"/>
                      <w:szCs w:val="21"/>
                    </w:rPr>
                    <w:t>本工程光伏电站</w:t>
                  </w:r>
                  <w:r>
                    <w:rPr>
                      <w:rFonts w:hint="eastAsia" w:cs="Times New Roman"/>
                      <w:color w:val="0000FF"/>
                      <w:sz w:val="21"/>
                      <w:szCs w:val="21"/>
                      <w:lang w:val="en-US" w:eastAsia="zh-CN"/>
                    </w:rPr>
                    <w:t>运行年限</w:t>
                  </w:r>
                  <w:r>
                    <w:rPr>
                      <w:rFonts w:hint="default" w:ascii="Times New Roman" w:hAnsi="Times New Roman" w:eastAsia="宋体" w:cs="Times New Roman"/>
                      <w:color w:val="0000FF"/>
                      <w:sz w:val="21"/>
                      <w:szCs w:val="21"/>
                    </w:rPr>
                    <w:t>25年</w:t>
                  </w:r>
                  <w:r>
                    <w:rPr>
                      <w:rFonts w:hint="eastAsia" w:cs="Times New Roman"/>
                      <w:color w:val="0000FF"/>
                      <w:sz w:val="21"/>
                      <w:szCs w:val="21"/>
                      <w:lang w:eastAsia="zh-CN"/>
                    </w:rPr>
                    <w:t>。</w:t>
                  </w:r>
                  <w:r>
                    <w:rPr>
                      <w:rFonts w:hint="default" w:ascii="Times New Roman" w:hAnsi="Times New Roman" w:eastAsia="宋体" w:cs="Times New Roman"/>
                      <w:color w:val="auto"/>
                      <w:sz w:val="21"/>
                      <w:szCs w:val="21"/>
                    </w:rPr>
                    <w:t>平均</w:t>
                  </w:r>
                  <w:r>
                    <w:rPr>
                      <w:rFonts w:hint="default" w:ascii="Times New Roman" w:hAnsi="Times New Roman" w:eastAsia="宋体" w:cs="Times New Roman"/>
                      <w:color w:val="auto"/>
                      <w:sz w:val="21"/>
                      <w:szCs w:val="21"/>
                      <w:lang w:val="en-US" w:eastAsia="zh-CN"/>
                    </w:rPr>
                    <w:t>每年</w:t>
                  </w:r>
                  <w:r>
                    <w:rPr>
                      <w:rFonts w:hint="default" w:ascii="Times New Roman" w:hAnsi="Times New Roman" w:eastAsia="宋体" w:cs="Times New Roman"/>
                      <w:color w:val="auto"/>
                      <w:sz w:val="21"/>
                      <w:szCs w:val="21"/>
                    </w:rPr>
                    <w:t>发电量为</w:t>
                  </w:r>
                  <w:r>
                    <w:rPr>
                      <w:rFonts w:hint="default" w:ascii="Times New Roman" w:hAnsi="Times New Roman" w:eastAsia="宋体" w:cs="Times New Roman"/>
                      <w:color w:val="auto"/>
                      <w:sz w:val="21"/>
                      <w:szCs w:val="21"/>
                      <w:lang w:val="en-US" w:eastAsia="zh-CN"/>
                    </w:rPr>
                    <w:t>3440</w:t>
                  </w:r>
                  <w:r>
                    <w:rPr>
                      <w:rFonts w:hint="default" w:ascii="Times New Roman" w:hAnsi="Times New Roman" w:eastAsia="宋体" w:cs="Times New Roman"/>
                      <w:color w:val="auto"/>
                      <w:sz w:val="21"/>
                      <w:szCs w:val="21"/>
                    </w:rPr>
                    <w:t>万kW∙h/a，</w:t>
                  </w:r>
                  <w:r>
                    <w:rPr>
                      <w:rFonts w:hint="default" w:ascii="Times New Roman" w:hAnsi="Times New Roman" w:eastAsia="宋体" w:cs="Times New Roman"/>
                      <w:color w:val="auto"/>
                      <w:sz w:val="21"/>
                      <w:szCs w:val="21"/>
                      <w:lang w:val="en-US" w:eastAsia="zh-CN"/>
                    </w:rPr>
                    <w:t>25年</w:t>
                  </w:r>
                  <w:r>
                    <w:rPr>
                      <w:rFonts w:hint="default" w:ascii="Times New Roman" w:hAnsi="Times New Roman" w:eastAsia="宋体" w:cs="Times New Roman"/>
                      <w:color w:val="auto"/>
                      <w:sz w:val="21"/>
                      <w:szCs w:val="21"/>
                    </w:rPr>
                    <w:t>总发电量为</w:t>
                  </w:r>
                  <w:r>
                    <w:rPr>
                      <w:rFonts w:hint="default" w:ascii="Times New Roman" w:hAnsi="Times New Roman" w:eastAsia="宋体" w:cs="Times New Roman"/>
                      <w:color w:val="auto"/>
                      <w:sz w:val="21"/>
                      <w:szCs w:val="21"/>
                      <w:lang w:val="en-US" w:eastAsia="zh-CN"/>
                    </w:rPr>
                    <w:t>85993</w:t>
                  </w:r>
                  <w:r>
                    <w:rPr>
                      <w:rFonts w:hint="default" w:ascii="Times New Roman" w:hAnsi="Times New Roman" w:eastAsia="宋体" w:cs="Times New Roman"/>
                      <w:color w:val="auto"/>
                      <w:sz w:val="21"/>
                      <w:szCs w:val="21"/>
                    </w:rPr>
                    <w:t>万kW∙h，年</w:t>
                  </w:r>
                  <w:r>
                    <w:rPr>
                      <w:rFonts w:hint="default" w:ascii="Times New Roman" w:hAnsi="Times New Roman" w:eastAsia="宋体" w:cs="Times New Roman"/>
                      <w:color w:val="auto"/>
                      <w:sz w:val="21"/>
                      <w:szCs w:val="21"/>
                      <w:lang w:val="en-US" w:eastAsia="zh-CN"/>
                    </w:rPr>
                    <w:t>均</w:t>
                  </w:r>
                  <w:r>
                    <w:rPr>
                      <w:rFonts w:hint="default" w:ascii="Times New Roman" w:hAnsi="Times New Roman" w:eastAsia="宋体" w:cs="Times New Roman"/>
                      <w:color w:val="auto"/>
                      <w:sz w:val="21"/>
                      <w:szCs w:val="21"/>
                    </w:rPr>
                    <w:t>利用小时数</w:t>
                  </w:r>
                  <w:r>
                    <w:rPr>
                      <w:rFonts w:hint="default" w:ascii="Times New Roman" w:hAnsi="Times New Roman" w:eastAsia="宋体" w:cs="Times New Roman"/>
                      <w:color w:val="auto"/>
                      <w:sz w:val="21"/>
                      <w:szCs w:val="21"/>
                      <w:lang w:val="en-US" w:eastAsia="zh-CN"/>
                    </w:rPr>
                    <w:t>1031</w:t>
                  </w:r>
                  <w:r>
                    <w:rPr>
                      <w:rFonts w:hint="default" w:ascii="Times New Roman" w:hAnsi="Times New Roman" w:eastAsia="宋体" w:cs="Times New Roman"/>
                      <w:color w:val="auto"/>
                      <w:sz w:val="21"/>
                      <w:szCs w:val="21"/>
                    </w:rPr>
                    <w:t>h。</w:t>
                  </w:r>
                </w:p>
              </w:tc>
            </w:tr>
          </w:tbl>
          <w:p>
            <w:pPr>
              <w:snapToGrid w:val="0"/>
              <w:spacing w:line="360" w:lineRule="auto"/>
              <w:ind w:firstLine="482" w:firstLineChars="200"/>
              <w:rPr>
                <w:rFonts w:hint="default" w:ascii="Times New Roman" w:hAnsi="Times New Roman" w:eastAsia="宋体" w:cs="Times New Roman"/>
                <w:b/>
                <w:color w:val="auto"/>
                <w:sz w:val="24"/>
                <w:highlight w:val="none"/>
                <w:lang w:eastAsia="zh-CN"/>
              </w:rPr>
            </w:pPr>
            <w:r>
              <w:rPr>
                <w:rFonts w:hint="default" w:ascii="Times New Roman" w:hAnsi="Times New Roman" w:eastAsia="宋体" w:cs="Times New Roman"/>
                <w:b/>
                <w:color w:val="auto"/>
                <w:sz w:val="24"/>
                <w:highlight w:val="none"/>
                <w:lang w:eastAsia="zh-CN"/>
              </w:rPr>
              <w:t>2、产业政策符合性分析</w:t>
            </w:r>
          </w:p>
          <w:p>
            <w:pPr>
              <w:adjustRightInd w:val="0"/>
              <w:snapToGrid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对照《产业结构调整指导目录（2019年本）》，建设项目属于鼓励类、</w:t>
            </w:r>
            <w:r>
              <w:rPr>
                <w:rFonts w:hint="eastAsia"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五、新能源</w:t>
            </w:r>
            <w:r>
              <w:rPr>
                <w:rFonts w:hint="eastAsia"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中</w:t>
            </w:r>
            <w:r>
              <w:rPr>
                <w:rFonts w:hint="eastAsia"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1、太阳能热发电集热系统、太阳能光伏发电系统集成技术开发应用、逆变控制系统开发制造</w:t>
            </w:r>
            <w:r>
              <w:rPr>
                <w:rFonts w:hint="eastAsia"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。亦属于《江苏省工业和信息产业结构调整指导目录(2012年本)》及关于修改《江苏省工业和信息产业结构调整指导目录（2012年本）》部分条目的通知中</w:t>
            </w:r>
            <w:r>
              <w:rPr>
                <w:rFonts w:hint="eastAsia"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鼓励类</w:t>
            </w:r>
            <w:r>
              <w:rPr>
                <w:rFonts w:hint="eastAsia"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第三项</w:t>
            </w:r>
            <w:r>
              <w:rPr>
                <w:rFonts w:hint="eastAsia"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新能源</w:t>
            </w:r>
            <w:r>
              <w:rPr>
                <w:rFonts w:hint="eastAsia"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第一条</w:t>
            </w:r>
            <w:r>
              <w:rPr>
                <w:rFonts w:hint="eastAsia"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太阳能热发电集热系统、太阳能光伏发电系统集成技术开发应用、逆变控制系统开发制造；光伏发电技术与系统开发及应用，光伏分布式能源系统开发与应用</w:t>
            </w:r>
            <w:r>
              <w:rPr>
                <w:rFonts w:hint="eastAsia"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项目。</w:t>
            </w:r>
          </w:p>
          <w:p>
            <w:pPr>
              <w:adjustRightInd w:val="0"/>
              <w:snapToGrid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因此，建设项目符合产业政策的相关要求。</w:t>
            </w:r>
          </w:p>
          <w:p>
            <w:pPr>
              <w:tabs>
                <w:tab w:val="left" w:pos="6645"/>
              </w:tabs>
              <w:snapToGrid w:val="0"/>
              <w:spacing w:line="360" w:lineRule="auto"/>
              <w:ind w:firstLine="482" w:firstLineChars="200"/>
              <w:rPr>
                <w:rFonts w:hint="default" w:ascii="Times New Roman" w:hAnsi="Times New Roman" w:eastAsia="宋体" w:cs="Times New Roman"/>
                <w:b/>
                <w:color w:val="auto"/>
                <w:sz w:val="24"/>
                <w:highlight w:val="none"/>
                <w:lang w:eastAsia="zh-CN"/>
              </w:rPr>
            </w:pPr>
            <w:r>
              <w:rPr>
                <w:rFonts w:hint="default" w:ascii="Times New Roman" w:hAnsi="Times New Roman" w:eastAsia="宋体" w:cs="Times New Roman"/>
                <w:b/>
                <w:color w:val="auto"/>
                <w:sz w:val="24"/>
                <w:highlight w:val="none"/>
                <w:lang w:eastAsia="zh-CN"/>
              </w:rPr>
              <w:t>3、“三线一单”符合性判定</w:t>
            </w:r>
          </w:p>
          <w:p>
            <w:pPr>
              <w:tabs>
                <w:tab w:val="left" w:pos="1200"/>
              </w:tabs>
              <w:adjustRightInd w:val="0"/>
              <w:snapToGrid w:val="0"/>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①生态保护红线</w:t>
            </w:r>
          </w:p>
          <w:p>
            <w:pPr>
              <w:autoSpaceDE w:val="0"/>
              <w:autoSpaceDN w:val="0"/>
              <w:adjustRightInd w:val="0"/>
              <w:snapToGrid w:val="0"/>
              <w:spacing w:line="360" w:lineRule="auto"/>
              <w:ind w:firstLine="480" w:firstLineChars="200"/>
              <w:rPr>
                <w:rFonts w:hint="default" w:ascii="Times New Roman" w:hAnsi="Times New Roman" w:eastAsia="宋体" w:cs="Times New Roman"/>
                <w:color w:val="auto"/>
                <w:sz w:val="24"/>
                <w:lang w:bidi="ar"/>
              </w:rPr>
            </w:pPr>
            <w:r>
              <w:rPr>
                <w:rFonts w:hint="default" w:ascii="Times New Roman" w:hAnsi="Times New Roman" w:eastAsia="宋体" w:cs="Times New Roman"/>
                <w:color w:val="auto"/>
                <w:sz w:val="24"/>
                <w:lang w:bidi="ar"/>
              </w:rPr>
              <w:t>《江苏省国家级生态保护红线规划》（苏政发[2018]74号）和《关于印发江苏省生态空间管控区域规划的通知》（苏政发〔2020〕1号）是根据全省生态环境调查、生态功能区划，在分析生态特征、生态系统服务功能与生态敏感性空间分异规律的基础上，确定不同地域单元的主导生态功能，提出全省生态红线区域名录、范围及保护措施。</w:t>
            </w:r>
          </w:p>
          <w:p>
            <w:pPr>
              <w:adjustRightInd w:val="0"/>
              <w:snapToGrid w:val="0"/>
              <w:spacing w:line="360" w:lineRule="auto"/>
              <w:ind w:firstLine="480" w:firstLineChars="200"/>
              <w:rPr>
                <w:rFonts w:hint="eastAsia" w:ascii="Times New Roman" w:hAnsi="Times New Roman" w:eastAsia="宋体" w:cs="Times New Roman"/>
                <w:color w:val="auto"/>
                <w:sz w:val="24"/>
                <w:lang w:eastAsia="zh-CN" w:bidi="ar"/>
              </w:rPr>
            </w:pPr>
            <w:r>
              <w:rPr>
                <w:rFonts w:hint="default" w:ascii="Times New Roman" w:hAnsi="Times New Roman" w:eastAsia="宋体" w:cs="Times New Roman"/>
                <w:color w:val="auto"/>
                <w:sz w:val="24"/>
                <w:lang w:bidi="ar"/>
              </w:rPr>
              <w:t>距离项目所在区域范围内最近的生态红线区域见</w:t>
            </w:r>
            <w:r>
              <w:rPr>
                <w:rFonts w:hint="eastAsia" w:cs="Times New Roman"/>
                <w:color w:val="auto"/>
                <w:sz w:val="24"/>
                <w:lang w:val="en-US" w:eastAsia="zh-CN" w:bidi="ar"/>
              </w:rPr>
              <w:t>表4。</w:t>
            </w:r>
          </w:p>
          <w:p>
            <w:pPr>
              <w:numPr>
                <w:ilvl w:val="0"/>
                <w:numId w:val="0"/>
              </w:numPr>
              <w:adjustRightInd w:val="0"/>
              <w:snapToGrid w:val="0"/>
              <w:ind w:left="2520" w:leftChars="0"/>
              <w:jc w:val="both"/>
              <w:rPr>
                <w:rFonts w:hint="default" w:ascii="Times New Roman" w:hAnsi="Times New Roman" w:eastAsia="宋体" w:cs="Times New Roman"/>
                <w:b/>
                <w:bCs/>
                <w:color w:val="auto"/>
                <w:sz w:val="24"/>
              </w:rPr>
            </w:pPr>
            <w:r>
              <w:rPr>
                <w:rFonts w:hint="eastAsia" w:cs="Times New Roman"/>
                <w:b/>
                <w:bCs/>
                <w:color w:val="auto"/>
                <w:sz w:val="24"/>
                <w:lang w:val="en-US" w:eastAsia="zh-CN"/>
              </w:rPr>
              <w:t xml:space="preserve">表4 </w:t>
            </w:r>
            <w:r>
              <w:rPr>
                <w:rFonts w:hint="default" w:ascii="Times New Roman" w:hAnsi="Times New Roman" w:eastAsia="宋体" w:cs="Times New Roman"/>
                <w:b/>
                <w:bCs/>
                <w:color w:val="auto"/>
                <w:sz w:val="24"/>
              </w:rPr>
              <w:t>项目周边国家级、省级生态红线区域保护规划</w:t>
            </w:r>
          </w:p>
          <w:tbl>
            <w:tblPr>
              <w:tblStyle w:val="30"/>
              <w:tblW w:w="4998"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981"/>
              <w:gridCol w:w="841"/>
              <w:gridCol w:w="2806"/>
              <w:gridCol w:w="1919"/>
              <w:gridCol w:w="733"/>
              <w:gridCol w:w="848"/>
              <w:gridCol w:w="85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2" w:hRule="atLeast"/>
                <w:jc w:val="center"/>
              </w:trPr>
              <w:tc>
                <w:tcPr>
                  <w:tcW w:w="546" w:type="pct"/>
                  <w:vMerge w:val="restart"/>
                  <w:shd w:val="clear" w:color="auto" w:fill="auto"/>
                  <w:noWrap w:val="0"/>
                  <w:vAlign w:val="center"/>
                </w:tcPr>
                <w:p>
                  <w:pPr>
                    <w:tabs>
                      <w:tab w:val="left" w:pos="504"/>
                    </w:tabs>
                    <w:adjustRightInd w:val="0"/>
                    <w:snapToGrid w:val="0"/>
                    <w:spacing w:line="240" w:lineRule="exact"/>
                    <w:jc w:val="center"/>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lang w:bidi="ar"/>
                    </w:rPr>
                    <w:t>生态空间保护区域名称</w:t>
                  </w:r>
                </w:p>
              </w:tc>
              <w:tc>
                <w:tcPr>
                  <w:tcW w:w="468" w:type="pct"/>
                  <w:vMerge w:val="restart"/>
                  <w:shd w:val="clear" w:color="auto" w:fill="auto"/>
                  <w:noWrap w:val="0"/>
                  <w:vAlign w:val="center"/>
                </w:tcPr>
                <w:p>
                  <w:pPr>
                    <w:tabs>
                      <w:tab w:val="left" w:pos="504"/>
                    </w:tabs>
                    <w:adjustRightInd w:val="0"/>
                    <w:snapToGrid w:val="0"/>
                    <w:spacing w:line="240" w:lineRule="exact"/>
                    <w:jc w:val="center"/>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lang w:bidi="ar"/>
                    </w:rPr>
                    <w:t>主导生态功能</w:t>
                  </w:r>
                </w:p>
              </w:tc>
              <w:tc>
                <w:tcPr>
                  <w:tcW w:w="2630" w:type="pct"/>
                  <w:gridSpan w:val="2"/>
                  <w:shd w:val="clear" w:color="auto" w:fill="auto"/>
                  <w:noWrap w:val="0"/>
                  <w:vAlign w:val="center"/>
                </w:tcPr>
                <w:p>
                  <w:pPr>
                    <w:tabs>
                      <w:tab w:val="left" w:pos="504"/>
                    </w:tabs>
                    <w:adjustRightInd w:val="0"/>
                    <w:snapToGrid w:val="0"/>
                    <w:spacing w:line="240" w:lineRule="exact"/>
                    <w:jc w:val="center"/>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lang w:bidi="ar"/>
                    </w:rPr>
                    <w:t>红线区域范围</w:t>
                  </w:r>
                </w:p>
              </w:tc>
              <w:tc>
                <w:tcPr>
                  <w:tcW w:w="1353" w:type="pct"/>
                  <w:gridSpan w:val="3"/>
                  <w:shd w:val="clear" w:color="auto" w:fill="auto"/>
                  <w:noWrap w:val="0"/>
                  <w:vAlign w:val="center"/>
                </w:tcPr>
                <w:p>
                  <w:pPr>
                    <w:tabs>
                      <w:tab w:val="left" w:pos="504"/>
                    </w:tabs>
                    <w:adjustRightInd w:val="0"/>
                    <w:snapToGrid w:val="0"/>
                    <w:spacing w:line="240" w:lineRule="exact"/>
                    <w:jc w:val="center"/>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lang w:bidi="ar"/>
                    </w:rPr>
                    <w:t>面积（平方公里）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49" w:hRule="atLeast"/>
                <w:jc w:val="center"/>
              </w:trPr>
              <w:tc>
                <w:tcPr>
                  <w:tcW w:w="546" w:type="pct"/>
                  <w:vMerge w:val="continue"/>
                  <w:shd w:val="clear" w:color="auto" w:fill="auto"/>
                  <w:noWrap w:val="0"/>
                  <w:vAlign w:val="center"/>
                </w:tcPr>
                <w:p>
                  <w:pPr>
                    <w:spacing w:line="240" w:lineRule="exact"/>
                    <w:rPr>
                      <w:rFonts w:hint="default" w:ascii="Times New Roman" w:hAnsi="Times New Roman" w:eastAsia="宋体" w:cs="Times New Roman"/>
                      <w:color w:val="auto"/>
                      <w:sz w:val="18"/>
                      <w:szCs w:val="18"/>
                    </w:rPr>
                  </w:pPr>
                </w:p>
              </w:tc>
              <w:tc>
                <w:tcPr>
                  <w:tcW w:w="468" w:type="pct"/>
                  <w:vMerge w:val="continue"/>
                  <w:shd w:val="clear" w:color="auto" w:fill="auto"/>
                  <w:noWrap w:val="0"/>
                  <w:vAlign w:val="center"/>
                </w:tcPr>
                <w:p>
                  <w:pPr>
                    <w:spacing w:line="240" w:lineRule="exact"/>
                    <w:rPr>
                      <w:rFonts w:hint="default" w:ascii="Times New Roman" w:hAnsi="Times New Roman" w:eastAsia="宋体" w:cs="Times New Roman"/>
                      <w:color w:val="auto"/>
                      <w:sz w:val="18"/>
                      <w:szCs w:val="18"/>
                    </w:rPr>
                  </w:pPr>
                </w:p>
              </w:tc>
              <w:tc>
                <w:tcPr>
                  <w:tcW w:w="1562" w:type="pct"/>
                  <w:shd w:val="clear" w:color="auto" w:fill="auto"/>
                  <w:noWrap w:val="0"/>
                  <w:vAlign w:val="center"/>
                </w:tcPr>
                <w:p>
                  <w:pPr>
                    <w:tabs>
                      <w:tab w:val="left" w:pos="504"/>
                    </w:tabs>
                    <w:adjustRightInd w:val="0"/>
                    <w:snapToGrid w:val="0"/>
                    <w:spacing w:line="240" w:lineRule="exact"/>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kern w:val="0"/>
                      <w:sz w:val="18"/>
                      <w:szCs w:val="18"/>
                    </w:rPr>
                    <w:t>国家级生态保护红线范围</w:t>
                  </w:r>
                </w:p>
              </w:tc>
              <w:tc>
                <w:tcPr>
                  <w:tcW w:w="1067" w:type="pct"/>
                  <w:shd w:val="clear" w:color="auto" w:fill="auto"/>
                  <w:noWrap w:val="0"/>
                  <w:vAlign w:val="center"/>
                </w:tcPr>
                <w:p>
                  <w:pPr>
                    <w:tabs>
                      <w:tab w:val="left" w:pos="504"/>
                    </w:tabs>
                    <w:adjustRightInd w:val="0"/>
                    <w:snapToGrid w:val="0"/>
                    <w:spacing w:line="240" w:lineRule="exact"/>
                    <w:jc w:val="center"/>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lang w:bidi="ar"/>
                    </w:rPr>
                    <w:t>生态空间管控区域范围</w:t>
                  </w:r>
                </w:p>
              </w:tc>
              <w:tc>
                <w:tcPr>
                  <w:tcW w:w="408" w:type="pct"/>
                  <w:shd w:val="clear" w:color="auto" w:fill="auto"/>
                  <w:noWrap w:val="0"/>
                  <w:vAlign w:val="center"/>
                </w:tcPr>
                <w:p>
                  <w:pPr>
                    <w:tabs>
                      <w:tab w:val="left" w:pos="504"/>
                    </w:tabs>
                    <w:adjustRightInd w:val="0"/>
                    <w:snapToGrid w:val="0"/>
                    <w:spacing w:line="240" w:lineRule="exact"/>
                    <w:jc w:val="center"/>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lang w:bidi="ar"/>
                    </w:rPr>
                    <w:t>总面积</w:t>
                  </w:r>
                </w:p>
              </w:tc>
              <w:tc>
                <w:tcPr>
                  <w:tcW w:w="472" w:type="pct"/>
                  <w:shd w:val="clear" w:color="auto" w:fill="auto"/>
                  <w:noWrap w:val="0"/>
                  <w:vAlign w:val="center"/>
                </w:tcPr>
                <w:p>
                  <w:pPr>
                    <w:tabs>
                      <w:tab w:val="left" w:pos="504"/>
                    </w:tabs>
                    <w:adjustRightInd w:val="0"/>
                    <w:snapToGrid w:val="0"/>
                    <w:spacing w:line="240" w:lineRule="exact"/>
                    <w:jc w:val="center"/>
                    <w:rPr>
                      <w:rFonts w:hint="default" w:ascii="Times New Roman" w:hAnsi="Times New Roman" w:eastAsia="宋体" w:cs="Times New Roman"/>
                      <w:b/>
                      <w:color w:val="auto"/>
                      <w:sz w:val="18"/>
                      <w:szCs w:val="18"/>
                      <w:lang w:bidi="ar"/>
                    </w:rPr>
                  </w:pPr>
                  <w:r>
                    <w:rPr>
                      <w:rFonts w:hint="default" w:ascii="Times New Roman" w:hAnsi="Times New Roman" w:eastAsia="宋体" w:cs="Times New Roman"/>
                      <w:b/>
                      <w:color w:val="auto"/>
                      <w:sz w:val="18"/>
                      <w:szCs w:val="18"/>
                      <w:lang w:bidi="ar"/>
                    </w:rPr>
                    <w:t>国家级生态保护红线面积</w:t>
                  </w:r>
                </w:p>
              </w:tc>
              <w:tc>
                <w:tcPr>
                  <w:tcW w:w="473" w:type="pct"/>
                  <w:shd w:val="clear" w:color="auto" w:fill="auto"/>
                  <w:noWrap w:val="0"/>
                  <w:vAlign w:val="center"/>
                </w:tcPr>
                <w:p>
                  <w:pPr>
                    <w:tabs>
                      <w:tab w:val="left" w:pos="504"/>
                    </w:tabs>
                    <w:adjustRightInd w:val="0"/>
                    <w:snapToGrid w:val="0"/>
                    <w:spacing w:line="240" w:lineRule="exact"/>
                    <w:jc w:val="center"/>
                    <w:rPr>
                      <w:rFonts w:hint="default" w:ascii="Times New Roman" w:hAnsi="Times New Roman" w:eastAsia="宋体" w:cs="Times New Roman"/>
                      <w:b/>
                      <w:color w:val="auto"/>
                      <w:sz w:val="18"/>
                      <w:szCs w:val="18"/>
                      <w:lang w:bidi="ar"/>
                    </w:rPr>
                  </w:pPr>
                  <w:r>
                    <w:rPr>
                      <w:rFonts w:hint="default" w:ascii="Times New Roman" w:hAnsi="Times New Roman" w:eastAsia="宋体" w:cs="Times New Roman"/>
                      <w:b/>
                      <w:color w:val="auto"/>
                      <w:sz w:val="18"/>
                      <w:szCs w:val="18"/>
                      <w:lang w:bidi="ar"/>
                    </w:rPr>
                    <w:t>生态空间管控区域面积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546" w:type="pct"/>
                  <w:shd w:val="clear" w:color="auto" w:fill="auto"/>
                  <w:noWrap w:val="0"/>
                  <w:vAlign w:val="center"/>
                </w:tcPr>
                <w:p>
                  <w:pPr>
                    <w:autoSpaceDE w:val="0"/>
                    <w:autoSpaceDN w:val="0"/>
                    <w:adjustRightInd w:val="0"/>
                    <w:jc w:val="left"/>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eastAsia="zh-CN"/>
                    </w:rPr>
                    <w:t>齐梁文化风景名胜区</w:t>
                  </w:r>
                </w:p>
              </w:tc>
              <w:tc>
                <w:tcPr>
                  <w:tcW w:w="468" w:type="pct"/>
                  <w:shd w:val="clear" w:color="auto" w:fill="auto"/>
                  <w:noWrap w:val="0"/>
                  <w:vAlign w:val="center"/>
                </w:tcPr>
                <w:p>
                  <w:pPr>
                    <w:spacing w:line="240" w:lineRule="exact"/>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kern w:val="0"/>
                      <w:sz w:val="18"/>
                      <w:szCs w:val="18"/>
                      <w:lang w:val="en-US" w:eastAsia="zh-CN"/>
                    </w:rPr>
                    <w:t>自然与人文景观保护</w:t>
                  </w:r>
                </w:p>
              </w:tc>
              <w:tc>
                <w:tcPr>
                  <w:tcW w:w="1562" w:type="pct"/>
                  <w:shd w:val="clear" w:color="auto" w:fill="auto"/>
                  <w:noWrap w:val="0"/>
                  <w:vAlign w:val="center"/>
                </w:tcPr>
                <w:p>
                  <w:pPr>
                    <w:widowControl/>
                    <w:spacing w:line="240" w:lineRule="exact"/>
                    <w:jc w:val="center"/>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w:t>
                  </w:r>
                </w:p>
              </w:tc>
              <w:tc>
                <w:tcPr>
                  <w:tcW w:w="1067" w:type="pct"/>
                  <w:shd w:val="clear" w:color="auto" w:fill="auto"/>
                  <w:noWrap w:val="0"/>
                  <w:vAlign w:val="center"/>
                </w:tcPr>
                <w:p>
                  <w:pPr>
                    <w:autoSpaceDE w:val="0"/>
                    <w:autoSpaceDN w:val="0"/>
                    <w:adjustRightInd w:val="0"/>
                    <w:spacing w:line="240" w:lineRule="exact"/>
                    <w:jc w:val="left"/>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京沪高铁以东，346国道以西，北至与丹徒区交界，南至九曲河的丘陵地区</w:t>
                  </w:r>
                </w:p>
              </w:tc>
              <w:tc>
                <w:tcPr>
                  <w:tcW w:w="408" w:type="pct"/>
                  <w:shd w:val="clear" w:color="auto" w:fill="auto"/>
                  <w:noWrap w:val="0"/>
                  <w:vAlign w:val="center"/>
                </w:tcPr>
                <w:p>
                  <w:pPr>
                    <w:widowControl/>
                    <w:spacing w:line="240" w:lineRule="exact"/>
                    <w:jc w:val="center"/>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eastAsia="zh-CN"/>
                    </w:rPr>
                    <w:t>73.89</w:t>
                  </w:r>
                </w:p>
              </w:tc>
              <w:tc>
                <w:tcPr>
                  <w:tcW w:w="472" w:type="pct"/>
                  <w:shd w:val="clear" w:color="auto" w:fill="auto"/>
                  <w:noWrap w:val="0"/>
                  <w:vAlign w:val="center"/>
                </w:tcPr>
                <w:p>
                  <w:pPr>
                    <w:widowControl/>
                    <w:spacing w:line="240" w:lineRule="exact"/>
                    <w:jc w:val="center"/>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w:t>
                  </w:r>
                </w:p>
              </w:tc>
              <w:tc>
                <w:tcPr>
                  <w:tcW w:w="473" w:type="pct"/>
                  <w:shd w:val="clear" w:color="auto" w:fill="auto"/>
                  <w:noWrap w:val="0"/>
                  <w:vAlign w:val="center"/>
                </w:tcPr>
                <w:p>
                  <w:pPr>
                    <w:widowControl/>
                    <w:spacing w:line="240" w:lineRule="exact"/>
                    <w:jc w:val="center"/>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lang w:val="en-US" w:eastAsia="zh-CN"/>
                    </w:rPr>
                    <w:t>73.89</w:t>
                  </w:r>
                </w:p>
              </w:tc>
            </w:tr>
          </w:tbl>
          <w:p>
            <w:pPr>
              <w:adjustRightInd w:val="0"/>
              <w:snapToGrid w:val="0"/>
              <w:spacing w:line="360" w:lineRule="auto"/>
              <w:ind w:firstLine="480" w:firstLineChars="200"/>
              <w:rPr>
                <w:rFonts w:hint="default" w:ascii="Times New Roman" w:hAnsi="Times New Roman" w:eastAsia="宋体" w:cs="Times New Roman"/>
                <w:color w:val="auto"/>
                <w:sz w:val="24"/>
                <w:lang w:val="en-US" w:eastAsia="zh-CN" w:bidi="ar"/>
              </w:rPr>
            </w:pPr>
            <w:r>
              <w:rPr>
                <w:rFonts w:hint="eastAsia" w:cs="Times New Roman"/>
                <w:color w:val="auto"/>
                <w:sz w:val="24"/>
                <w:lang w:val="en-US" w:eastAsia="zh-CN" w:bidi="ar"/>
              </w:rPr>
              <w:t>原《江苏省生态红线区域保护规划》（苏政发〔2013〕113号）中齐梁文化风景名胜区总面积87.56平方公里，西沿122省道与丹徒区交界，北至跃进支河，南至沪宁高速公路，东至S338省道。除泰山水库（占地面积0.85平方公里）外，其余区域为二级管控区。</w:t>
            </w:r>
            <w:r>
              <w:rPr>
                <w:rFonts w:hint="default" w:ascii="Times New Roman" w:hAnsi="Times New Roman" w:eastAsia="宋体" w:cs="Times New Roman"/>
                <w:color w:val="auto"/>
                <w:sz w:val="24"/>
                <w:lang w:bidi="ar"/>
              </w:rPr>
              <w:t>《江苏省国家级生态保护红线规划》（苏政发[2018]74号）和《关于印发江苏省生态空间管控区域规划的通知》（苏政发〔2020〕1号）</w:t>
            </w:r>
            <w:r>
              <w:rPr>
                <w:rFonts w:hint="eastAsia" w:cs="Times New Roman"/>
                <w:color w:val="auto"/>
                <w:sz w:val="24"/>
                <w:lang w:val="en-US" w:eastAsia="zh-CN" w:bidi="ar"/>
              </w:rPr>
              <w:t>中齐梁文化风景名胜区的总面积为73.89平方公里，比原《江苏省生态红线区域保护规划》（苏政发〔2013〕113号）中的范围小。</w:t>
            </w:r>
          </w:p>
          <w:p>
            <w:pPr>
              <w:adjustRightInd w:val="0"/>
              <w:snapToGrid w:val="0"/>
              <w:spacing w:line="360" w:lineRule="auto"/>
              <w:ind w:firstLine="480" w:firstLineChars="200"/>
              <w:rPr>
                <w:rFonts w:hint="default" w:ascii="Times New Roman" w:hAnsi="Times New Roman" w:eastAsia="宋体" w:cs="Times New Roman"/>
                <w:color w:val="auto"/>
                <w:sz w:val="24"/>
                <w:lang w:val="en-US" w:eastAsia="zh-CN" w:bidi="ar"/>
              </w:rPr>
            </w:pPr>
            <w:r>
              <w:rPr>
                <w:rFonts w:hint="default" w:ascii="Times New Roman" w:hAnsi="Times New Roman" w:eastAsia="宋体" w:cs="Times New Roman"/>
                <w:color w:val="auto"/>
                <w:sz w:val="24"/>
                <w:lang w:val="en-US" w:eastAsia="zh-CN" w:bidi="ar"/>
              </w:rPr>
              <w:t>2020年1月20日，镇江市人民政府出具的《关于国家能源集团贞观山灰场光伏电站</w:t>
            </w:r>
            <w:r>
              <w:rPr>
                <w:rFonts w:hint="eastAsia" w:cs="Times New Roman"/>
                <w:color w:val="auto"/>
                <w:sz w:val="24"/>
                <w:lang w:val="en-US" w:eastAsia="zh-CN" w:bidi="ar"/>
              </w:rPr>
              <w:t>项目</w:t>
            </w:r>
            <w:r>
              <w:rPr>
                <w:rFonts w:hint="default" w:ascii="Times New Roman" w:hAnsi="Times New Roman" w:eastAsia="宋体" w:cs="Times New Roman"/>
                <w:color w:val="auto"/>
                <w:sz w:val="24"/>
                <w:lang w:val="en-US" w:eastAsia="zh-CN" w:bidi="ar"/>
              </w:rPr>
              <w:t>前期工作开展确认和土地落实承诺函》（附件四）中指出项目厂址属于国家允许建设光伏项目的场地、不占用基本农田且不涉及生态红线等限制开发区域，不在征收城镇土地使用税的土地范围。</w:t>
            </w:r>
          </w:p>
          <w:p>
            <w:pPr>
              <w:adjustRightInd w:val="0"/>
              <w:snapToGrid w:val="0"/>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lang w:bidi="ar"/>
              </w:rPr>
              <w:t>本项目与以上生态空间管控区域、国家级生态保护红线区无相交区域。本项目的建设符合生态</w:t>
            </w:r>
            <w:r>
              <w:rPr>
                <w:rFonts w:hint="eastAsia" w:cs="Times New Roman"/>
                <w:color w:val="auto"/>
                <w:sz w:val="24"/>
                <w:lang w:val="en-US" w:eastAsia="zh-CN" w:bidi="ar"/>
              </w:rPr>
              <w:t>保护</w:t>
            </w:r>
            <w:r>
              <w:rPr>
                <w:rFonts w:hint="default" w:ascii="Times New Roman" w:hAnsi="Times New Roman" w:eastAsia="宋体" w:cs="Times New Roman"/>
                <w:color w:val="auto"/>
                <w:sz w:val="24"/>
                <w:lang w:bidi="ar"/>
              </w:rPr>
              <w:t>红线</w:t>
            </w:r>
            <w:r>
              <w:rPr>
                <w:rFonts w:hint="eastAsia" w:cs="Times New Roman"/>
                <w:color w:val="auto"/>
                <w:sz w:val="24"/>
                <w:lang w:val="en-US" w:eastAsia="zh-CN" w:bidi="ar"/>
              </w:rPr>
              <w:t>管控</w:t>
            </w:r>
            <w:r>
              <w:rPr>
                <w:rFonts w:hint="default" w:ascii="Times New Roman" w:hAnsi="Times New Roman" w:eastAsia="宋体" w:cs="Times New Roman"/>
                <w:color w:val="auto"/>
                <w:sz w:val="24"/>
                <w:lang w:bidi="ar"/>
              </w:rPr>
              <w:t>的要求。</w:t>
            </w:r>
          </w:p>
          <w:p>
            <w:pPr>
              <w:tabs>
                <w:tab w:val="left" w:pos="1200"/>
              </w:tabs>
              <w:adjustRightInd w:val="0"/>
              <w:snapToGrid w:val="0"/>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②环境质量底线</w:t>
            </w:r>
          </w:p>
          <w:p>
            <w:pPr>
              <w:tabs>
                <w:tab w:val="left" w:pos="1200"/>
              </w:tabs>
              <w:adjustRightInd w:val="0"/>
              <w:snapToGrid w:val="0"/>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根据镇江市生态环境局</w:t>
            </w:r>
            <w:r>
              <w:rPr>
                <w:rFonts w:hint="default" w:ascii="Times New Roman" w:hAnsi="Times New Roman" w:eastAsia="宋体" w:cs="Times New Roman"/>
                <w:color w:val="auto"/>
                <w:sz w:val="24"/>
                <w:lang w:val="en-US" w:eastAsia="zh-CN"/>
              </w:rPr>
              <w:t>2020</w:t>
            </w:r>
            <w:r>
              <w:rPr>
                <w:rFonts w:hint="default" w:ascii="Times New Roman" w:hAnsi="Times New Roman" w:eastAsia="宋体" w:cs="Times New Roman"/>
                <w:color w:val="auto"/>
                <w:sz w:val="24"/>
              </w:rPr>
              <w:t>年</w:t>
            </w:r>
            <w:r>
              <w:rPr>
                <w:rFonts w:hint="default" w:ascii="Times New Roman" w:hAnsi="Times New Roman" w:eastAsia="宋体" w:cs="Times New Roman"/>
                <w:color w:val="auto"/>
                <w:sz w:val="24"/>
                <w:lang w:val="en-US" w:eastAsia="zh-CN"/>
              </w:rPr>
              <w:t>6</w:t>
            </w:r>
            <w:r>
              <w:rPr>
                <w:rFonts w:hint="default" w:ascii="Times New Roman" w:hAnsi="Times New Roman" w:eastAsia="宋体" w:cs="Times New Roman"/>
                <w:color w:val="auto"/>
                <w:sz w:val="24"/>
              </w:rPr>
              <w:t>月公布的《2019年度镇江市生态环境状况公报 》，2019年，镇江市环境空气中二氧化硫和PM</w:t>
            </w:r>
            <w:r>
              <w:rPr>
                <w:rFonts w:hint="default" w:ascii="Times New Roman" w:hAnsi="Times New Roman" w:eastAsia="宋体" w:cs="Times New Roman"/>
                <w:color w:val="auto"/>
                <w:sz w:val="24"/>
                <w:vertAlign w:val="subscript"/>
              </w:rPr>
              <w:t>2.5</w:t>
            </w:r>
            <w:r>
              <w:rPr>
                <w:rFonts w:hint="default" w:ascii="Times New Roman" w:hAnsi="Times New Roman" w:eastAsia="宋体" w:cs="Times New Roman"/>
                <w:color w:val="auto"/>
                <w:sz w:val="24"/>
              </w:rPr>
              <w:t>浓度均有所削减，PM</w:t>
            </w:r>
            <w:r>
              <w:rPr>
                <w:rFonts w:hint="default" w:ascii="Times New Roman" w:hAnsi="Times New Roman" w:eastAsia="宋体" w:cs="Times New Roman"/>
                <w:color w:val="auto"/>
                <w:sz w:val="24"/>
                <w:vertAlign w:val="subscript"/>
              </w:rPr>
              <w:t>10</w:t>
            </w:r>
            <w:r>
              <w:rPr>
                <w:rFonts w:hint="default" w:ascii="Times New Roman" w:hAnsi="Times New Roman" w:eastAsia="宋体" w:cs="Times New Roman"/>
                <w:color w:val="auto"/>
                <w:sz w:val="24"/>
              </w:rPr>
              <w:t>和一氧化碳浓度基本持平，但臭氧和二氧化氮污染略有抬升。其中市区PM</w:t>
            </w:r>
            <w:r>
              <w:rPr>
                <w:rFonts w:hint="default" w:ascii="Times New Roman" w:hAnsi="Times New Roman" w:eastAsia="宋体" w:cs="Times New Roman"/>
                <w:color w:val="auto"/>
                <w:sz w:val="24"/>
                <w:vertAlign w:val="subscript"/>
              </w:rPr>
              <w:t>2.5</w:t>
            </w:r>
            <w:r>
              <w:rPr>
                <w:rFonts w:hint="default" w:ascii="Times New Roman" w:hAnsi="Times New Roman" w:eastAsia="宋体" w:cs="Times New Roman"/>
                <w:color w:val="auto"/>
                <w:sz w:val="24"/>
              </w:rPr>
              <w:t>年均浓度较2018年下降11.8%、较2015年下降23.7%、较2013年下降37.5%，达到国家提出的</w:t>
            </w:r>
            <w:r>
              <w:rPr>
                <w:rFonts w:hint="eastAsia" w:cs="Times New Roman"/>
                <w:color w:val="auto"/>
                <w:sz w:val="24"/>
                <w:lang w:eastAsia="zh-CN"/>
              </w:rPr>
              <w:t>“</w:t>
            </w:r>
            <w:r>
              <w:rPr>
                <w:rFonts w:hint="default" w:ascii="Times New Roman" w:hAnsi="Times New Roman" w:eastAsia="宋体" w:cs="Times New Roman"/>
                <w:color w:val="auto"/>
                <w:sz w:val="24"/>
              </w:rPr>
              <w:t>比2015年下降3%</w:t>
            </w:r>
            <w:r>
              <w:rPr>
                <w:rFonts w:hint="eastAsia" w:cs="Times New Roman"/>
                <w:color w:val="auto"/>
                <w:sz w:val="24"/>
                <w:lang w:eastAsia="zh-CN"/>
              </w:rPr>
              <w:t>”</w:t>
            </w:r>
            <w:r>
              <w:rPr>
                <w:rFonts w:hint="default" w:ascii="Times New Roman" w:hAnsi="Times New Roman" w:eastAsia="宋体" w:cs="Times New Roman"/>
                <w:color w:val="auto"/>
                <w:sz w:val="24"/>
              </w:rPr>
              <w:t>和</w:t>
            </w:r>
            <w:r>
              <w:rPr>
                <w:rFonts w:hint="eastAsia" w:cs="Times New Roman"/>
                <w:color w:val="auto"/>
                <w:sz w:val="24"/>
                <w:lang w:eastAsia="zh-CN"/>
              </w:rPr>
              <w:t>“</w:t>
            </w:r>
            <w:r>
              <w:rPr>
                <w:rFonts w:hint="default" w:ascii="Times New Roman" w:hAnsi="Times New Roman" w:eastAsia="宋体" w:cs="Times New Roman"/>
                <w:color w:val="auto"/>
                <w:sz w:val="24"/>
              </w:rPr>
              <w:t>比2013年下降20%</w:t>
            </w:r>
            <w:r>
              <w:rPr>
                <w:rFonts w:hint="eastAsia" w:cs="Times New Roman"/>
                <w:color w:val="auto"/>
                <w:sz w:val="24"/>
                <w:lang w:eastAsia="zh-CN"/>
              </w:rPr>
              <w:t>”</w:t>
            </w:r>
            <w:r>
              <w:rPr>
                <w:rFonts w:hint="default" w:ascii="Times New Roman" w:hAnsi="Times New Roman" w:eastAsia="宋体" w:cs="Times New Roman"/>
                <w:color w:val="auto"/>
                <w:sz w:val="24"/>
              </w:rPr>
              <w:t>的目标要求。市区环境空气质量优良天数比率为69.6%，超额完成66.5%的年度目标。</w:t>
            </w:r>
          </w:p>
          <w:p>
            <w:pPr>
              <w:tabs>
                <w:tab w:val="left" w:pos="1200"/>
              </w:tabs>
              <w:adjustRightInd w:val="0"/>
              <w:snapToGrid w:val="0"/>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市区环境空气中PM</w:t>
            </w:r>
            <w:r>
              <w:rPr>
                <w:rFonts w:hint="default" w:ascii="Times New Roman" w:hAnsi="Times New Roman" w:eastAsia="宋体" w:cs="Times New Roman"/>
                <w:color w:val="auto"/>
                <w:sz w:val="24"/>
                <w:vertAlign w:val="subscript"/>
              </w:rPr>
              <w:t>2.5</w:t>
            </w:r>
            <w:r>
              <w:rPr>
                <w:rFonts w:hint="default" w:ascii="Times New Roman" w:hAnsi="Times New Roman" w:eastAsia="宋体" w:cs="Times New Roman"/>
                <w:color w:val="auto"/>
                <w:sz w:val="24"/>
              </w:rPr>
              <w:t>、PM</w:t>
            </w:r>
            <w:r>
              <w:rPr>
                <w:rFonts w:hint="default" w:ascii="Times New Roman" w:hAnsi="Times New Roman" w:eastAsia="宋体" w:cs="Times New Roman"/>
                <w:color w:val="auto"/>
                <w:sz w:val="24"/>
                <w:vertAlign w:val="subscript"/>
              </w:rPr>
              <w:t>10</w:t>
            </w:r>
            <w:r>
              <w:rPr>
                <w:rFonts w:hint="default" w:ascii="Times New Roman" w:hAnsi="Times New Roman" w:eastAsia="宋体" w:cs="Times New Roman"/>
                <w:color w:val="auto"/>
                <w:sz w:val="24"/>
              </w:rPr>
              <w:t>、二氧化硫、二氧化氮年均浓度分别为45μg/m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、72μg/m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、9μg/m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和33μg/m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；一氧化碳和臭氧日最大8小时滑动平均浓度（以下简称臭氧浓度）分别为0.7 mg/m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和107μg/m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。与2018年相比，二氧化硫和一氧化碳浓度持平，二氧化氮和PM</w:t>
            </w:r>
            <w:r>
              <w:rPr>
                <w:rFonts w:hint="default" w:ascii="Times New Roman" w:hAnsi="Times New Roman" w:eastAsia="宋体" w:cs="Times New Roman"/>
                <w:color w:val="auto"/>
                <w:sz w:val="24"/>
                <w:vertAlign w:val="subscript"/>
              </w:rPr>
              <w:t>2.5</w:t>
            </w:r>
            <w:r>
              <w:rPr>
                <w:rFonts w:hint="default" w:ascii="Times New Roman" w:hAnsi="Times New Roman" w:eastAsia="宋体" w:cs="Times New Roman"/>
                <w:color w:val="auto"/>
                <w:sz w:val="24"/>
              </w:rPr>
              <w:t>浓度分别下降5.7%和11.8%，PM</w:t>
            </w:r>
            <w:r>
              <w:rPr>
                <w:rFonts w:hint="default" w:ascii="Times New Roman" w:hAnsi="Times New Roman" w:eastAsia="宋体" w:cs="Times New Roman"/>
                <w:color w:val="auto"/>
                <w:sz w:val="24"/>
                <w:vertAlign w:val="subscript"/>
              </w:rPr>
              <w:t>10</w:t>
            </w:r>
            <w:r>
              <w:rPr>
                <w:rFonts w:hint="default" w:ascii="Times New Roman" w:hAnsi="Times New Roman" w:eastAsia="宋体" w:cs="Times New Roman"/>
                <w:color w:val="auto"/>
                <w:sz w:val="24"/>
              </w:rPr>
              <w:t>和臭氧浓度分别上升2.9%和7.0%。按照《环境空气质量标准》（GB3095-2012）二级标准进行年评价，PM</w:t>
            </w:r>
            <w:r>
              <w:rPr>
                <w:rFonts w:hint="default" w:ascii="Times New Roman" w:hAnsi="Times New Roman" w:eastAsia="宋体" w:cs="Times New Roman"/>
                <w:color w:val="auto"/>
                <w:sz w:val="24"/>
                <w:vertAlign w:val="subscript"/>
              </w:rPr>
              <w:t>2.5</w:t>
            </w:r>
            <w:r>
              <w:rPr>
                <w:rFonts w:hint="default" w:ascii="Times New Roman" w:hAnsi="Times New Roman" w:eastAsia="宋体" w:cs="Times New Roman"/>
                <w:color w:val="auto"/>
                <w:sz w:val="24"/>
              </w:rPr>
              <w:t>、PM</w:t>
            </w:r>
            <w:r>
              <w:rPr>
                <w:rFonts w:hint="default" w:ascii="Times New Roman" w:hAnsi="Times New Roman" w:eastAsia="宋体" w:cs="Times New Roman"/>
                <w:color w:val="auto"/>
                <w:sz w:val="24"/>
                <w:vertAlign w:val="subscript"/>
              </w:rPr>
              <w:t>10</w:t>
            </w:r>
            <w:r>
              <w:rPr>
                <w:rFonts w:hint="default" w:ascii="Times New Roman" w:hAnsi="Times New Roman" w:eastAsia="宋体" w:cs="Times New Roman"/>
                <w:color w:val="auto"/>
                <w:sz w:val="24"/>
              </w:rPr>
              <w:t>均未达标，空气质量总体未达标。</w:t>
            </w:r>
          </w:p>
          <w:p>
            <w:pPr>
              <w:tabs>
                <w:tab w:val="left" w:pos="1200"/>
              </w:tabs>
              <w:adjustRightInd w:val="0"/>
              <w:snapToGrid w:val="0"/>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8个辖市区环境空气质量总体均未达标，超标污染物为PM</w:t>
            </w:r>
            <w:r>
              <w:rPr>
                <w:rFonts w:hint="default" w:ascii="Times New Roman" w:hAnsi="Times New Roman" w:eastAsia="宋体" w:cs="Times New Roman"/>
                <w:color w:val="auto"/>
                <w:sz w:val="24"/>
                <w:vertAlign w:val="subscript"/>
              </w:rPr>
              <w:t>2.5</w:t>
            </w:r>
            <w:r>
              <w:rPr>
                <w:rFonts w:hint="default" w:ascii="Times New Roman" w:hAnsi="Times New Roman" w:eastAsia="宋体" w:cs="Times New Roman"/>
                <w:color w:val="auto"/>
                <w:sz w:val="24"/>
              </w:rPr>
              <w:t>、PM</w:t>
            </w:r>
            <w:r>
              <w:rPr>
                <w:rFonts w:hint="default" w:ascii="Times New Roman" w:hAnsi="Times New Roman" w:eastAsia="宋体" w:cs="Times New Roman"/>
                <w:color w:val="auto"/>
                <w:sz w:val="24"/>
                <w:vertAlign w:val="subscript"/>
              </w:rPr>
              <w:t>10</w:t>
            </w:r>
            <w:r>
              <w:rPr>
                <w:rFonts w:hint="default" w:ascii="Times New Roman" w:hAnsi="Times New Roman" w:eastAsia="宋体" w:cs="Times New Roman"/>
                <w:color w:val="auto"/>
                <w:sz w:val="24"/>
              </w:rPr>
              <w:t>、臭氧和二氧化氮。其中PM</w:t>
            </w:r>
            <w:r>
              <w:rPr>
                <w:rFonts w:hint="default" w:ascii="Times New Roman" w:hAnsi="Times New Roman" w:eastAsia="宋体" w:cs="Times New Roman"/>
                <w:color w:val="auto"/>
                <w:sz w:val="24"/>
                <w:vertAlign w:val="subscript"/>
              </w:rPr>
              <w:t>2.5</w:t>
            </w:r>
            <w:r>
              <w:rPr>
                <w:rFonts w:hint="default" w:ascii="Times New Roman" w:hAnsi="Times New Roman" w:eastAsia="宋体" w:cs="Times New Roman"/>
                <w:color w:val="auto"/>
                <w:sz w:val="24"/>
              </w:rPr>
              <w:t>浓度范围为41～46μg/m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与2018年相比，各辖市区均有所下降，降幅范围为4.7%～17.9%，其中丹徒降幅最大。8个辖市区环境空气质量优良天数比率范围为64.7%～81.0%，与2018年相比，京口、丹阳、扬中均有所上升，其中京口和扬中升幅最大，达5.2个百分点；其他辖市区均有所下降，其中句容降幅最大，达7.8个百分点。</w:t>
            </w:r>
          </w:p>
          <w:p>
            <w:pPr>
              <w:tabs>
                <w:tab w:val="left" w:pos="1200"/>
              </w:tabs>
              <w:adjustRightInd w:val="0"/>
              <w:snapToGrid w:val="0"/>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根据《环境影响评价技术导则</w:t>
            </w:r>
            <w:r>
              <w:rPr>
                <w:rFonts w:hint="eastAsia" w:cs="Times New Roman"/>
                <w:color w:val="auto"/>
                <w:sz w:val="24"/>
                <w:lang w:val="en-US" w:eastAsia="zh-CN"/>
              </w:rPr>
              <w:t xml:space="preserve"> </w:t>
            </w:r>
            <w:r>
              <w:rPr>
                <w:rFonts w:hint="default" w:ascii="Times New Roman" w:hAnsi="Times New Roman" w:eastAsia="宋体" w:cs="Times New Roman"/>
                <w:color w:val="auto"/>
                <w:sz w:val="24"/>
              </w:rPr>
              <w:t>大气环境》（HJ2.2</w:t>
            </w:r>
            <w:r>
              <w:rPr>
                <w:rFonts w:hint="eastAsia" w:cs="Times New Roman"/>
                <w:color w:val="auto"/>
                <w:sz w:val="24"/>
                <w:lang w:val="en-US" w:eastAsia="zh-CN"/>
              </w:rPr>
              <w:t>-</w:t>
            </w:r>
            <w:r>
              <w:rPr>
                <w:rFonts w:hint="default" w:ascii="Times New Roman" w:hAnsi="Times New Roman" w:eastAsia="宋体" w:cs="Times New Roman"/>
                <w:color w:val="auto"/>
                <w:sz w:val="24"/>
              </w:rPr>
              <w:t>2018）6.4.1.1判定，本项目所在地属于非达标区。</w:t>
            </w:r>
          </w:p>
          <w:p>
            <w:pPr>
              <w:tabs>
                <w:tab w:val="left" w:pos="1200"/>
              </w:tabs>
              <w:adjustRightInd w:val="0"/>
              <w:snapToGrid w:val="0"/>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sz w:val="24"/>
              </w:rPr>
              <w:t>2019年，全市酸雨平均发生率为12.2%，降水年均pH值为6.15。镇江市区、丹阳市、句容市、扬中市酸雨发生率分别为27.5%、0%、2.1%、11.4%。与2018年相比，全市酸雨平均发生率上升了3.5个百分点。</w:t>
            </w:r>
          </w:p>
          <w:p>
            <w:pPr>
              <w:tabs>
                <w:tab w:val="left" w:pos="1200"/>
              </w:tabs>
              <w:adjustRightInd w:val="0"/>
              <w:snapToGrid w:val="0"/>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2019年，全市地表水环境质量总体为良好。列入国家《水污染防治行动计划》地表水环境质量考核的8个断面中，水质符合《地表水环境质量标准》（GB3838-2002）Ⅲ类的断面比例为87.5%，无劣V类断面，与2018年相比，水质持平。列入江苏省“十三五”水环境质量目标考核的20个流域地表水断面中（鹤溪河当年不纳入考核），水质符合Ⅲ类的断面比例为94.7%，无劣V类断面；与2018年相比，符合Ⅲ类标准的断面比例提高4.7个百分点，总体水质基本持平。</w:t>
            </w:r>
          </w:p>
          <w:p>
            <w:pPr>
              <w:tabs>
                <w:tab w:val="left" w:pos="1200"/>
              </w:tabs>
              <w:adjustRightInd w:val="0"/>
              <w:snapToGrid w:val="0"/>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本项目实施不会降低区域环境空气、水环境、声环境质量。因此，本项目建设不会突破环境质量底线。</w:t>
            </w:r>
          </w:p>
          <w:p>
            <w:pPr>
              <w:tabs>
                <w:tab w:val="left" w:pos="1200"/>
              </w:tabs>
              <w:adjustRightInd w:val="0"/>
              <w:snapToGrid w:val="0"/>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③资源利用上线</w:t>
            </w:r>
          </w:p>
          <w:p>
            <w:pPr>
              <w:tabs>
                <w:tab w:val="left" w:pos="1200"/>
              </w:tabs>
              <w:adjustRightInd w:val="0"/>
              <w:snapToGrid w:val="0"/>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w:t>
            </w:r>
            <w:r>
              <w:rPr>
                <w:rFonts w:hint="eastAsia" w:cs="Times New Roman"/>
                <w:color w:val="0000FF"/>
                <w:sz w:val="24"/>
                <w:lang w:val="en-US" w:eastAsia="zh-CN"/>
              </w:rPr>
              <w:t>土地资源利用国家能源集团谏壁发电厂原有配套灰场用地，</w:t>
            </w:r>
            <w:r>
              <w:rPr>
                <w:rFonts w:hint="default" w:ascii="Times New Roman" w:hAnsi="Times New Roman" w:eastAsia="宋体" w:cs="Times New Roman"/>
                <w:color w:val="auto"/>
                <w:sz w:val="24"/>
              </w:rPr>
              <w:t>营运过程中所用的资源主要为光伏组件清洗用水，且用量很小，不会超过当地资源利用上线。</w:t>
            </w:r>
          </w:p>
          <w:p>
            <w:pPr>
              <w:tabs>
                <w:tab w:val="left" w:pos="1200"/>
              </w:tabs>
              <w:adjustRightInd w:val="0"/>
              <w:snapToGrid w:val="0"/>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④环境准入负面清单</w:t>
            </w:r>
          </w:p>
          <w:p>
            <w:pPr>
              <w:tabs>
                <w:tab w:val="left" w:pos="1200"/>
              </w:tabs>
              <w:adjustRightInd w:val="0"/>
              <w:snapToGrid w:val="0"/>
              <w:spacing w:line="360" w:lineRule="auto"/>
              <w:ind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rPr>
              <w:t>根据镇江市要求，项目所在区域环境准入负面清单</w:t>
            </w:r>
            <w:r>
              <w:rPr>
                <w:rFonts w:hint="eastAsia" w:cs="Times New Roman"/>
                <w:color w:val="auto"/>
                <w:sz w:val="24"/>
                <w:lang w:val="en-US" w:eastAsia="zh-CN"/>
              </w:rPr>
              <w:t>见表5。</w:t>
            </w:r>
          </w:p>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jc w:val="center"/>
              <w:textAlignment w:val="auto"/>
              <w:rPr>
                <w:rFonts w:hint="default" w:ascii="Times New Roman" w:hAnsi="Times New Roman" w:eastAsia="宋体" w:cs="Times New Roman"/>
                <w:b/>
                <w:bCs/>
                <w:color w:val="auto"/>
                <w:sz w:val="24"/>
              </w:rPr>
            </w:pPr>
            <w:r>
              <w:rPr>
                <w:rFonts w:hint="eastAsia" w:cs="Times New Roman"/>
                <w:b/>
                <w:bCs/>
                <w:color w:val="auto"/>
                <w:sz w:val="24"/>
                <w:lang w:val="en-US" w:eastAsia="zh-CN"/>
              </w:rPr>
              <w:t>表5</w:t>
            </w:r>
            <w:r>
              <w:rPr>
                <w:rFonts w:hint="default" w:ascii="Times New Roman" w:hAnsi="Times New Roman" w:eastAsia="宋体" w:cs="Times New Roman"/>
                <w:b/>
                <w:bCs/>
                <w:color w:val="auto"/>
                <w:sz w:val="24"/>
              </w:rPr>
              <w:t>环境准入负面清单</w:t>
            </w:r>
          </w:p>
          <w:tbl>
            <w:tblPr>
              <w:tblStyle w:val="30"/>
              <w:tblW w:w="4998"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794"/>
              <w:gridCol w:w="6950"/>
              <w:gridCol w:w="123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0" w:hRule="atLeast"/>
              </w:trPr>
              <w:tc>
                <w:tcPr>
                  <w:tcW w:w="442" w:type="pct"/>
                  <w:noWrap w:val="0"/>
                  <w:vAlign w:val="center"/>
                </w:tcPr>
                <w:p>
                  <w:pPr>
                    <w:ind w:right="63" w:rightChars="30"/>
                    <w:jc w:val="center"/>
                    <w:rPr>
                      <w:rFonts w:hint="default" w:ascii="Times New Roman" w:hAnsi="Times New Roman" w:eastAsia="宋体" w:cs="Times New Roman"/>
                      <w:b w:val="0"/>
                      <w:bCs w:val="0"/>
                      <w:color w:val="auto"/>
                      <w:szCs w:val="21"/>
                    </w:rPr>
                  </w:pPr>
                  <w:r>
                    <w:rPr>
                      <w:rFonts w:hint="default" w:ascii="Times New Roman" w:hAnsi="Times New Roman" w:eastAsia="宋体" w:cs="Times New Roman"/>
                      <w:b w:val="0"/>
                      <w:bCs w:val="0"/>
                      <w:color w:val="auto"/>
                      <w:szCs w:val="22"/>
                    </w:rPr>
                    <w:t>序号</w:t>
                  </w:r>
                </w:p>
              </w:tc>
              <w:tc>
                <w:tcPr>
                  <w:tcW w:w="3869" w:type="pct"/>
                  <w:noWrap w:val="0"/>
                  <w:vAlign w:val="center"/>
                </w:tcPr>
                <w:p>
                  <w:pPr>
                    <w:ind w:right="63" w:rightChars="30"/>
                    <w:jc w:val="center"/>
                    <w:rPr>
                      <w:rFonts w:hint="default" w:ascii="Times New Roman" w:hAnsi="Times New Roman" w:eastAsia="宋体" w:cs="Times New Roman"/>
                      <w:b w:val="0"/>
                      <w:bCs w:val="0"/>
                      <w:color w:val="auto"/>
                      <w:szCs w:val="21"/>
                    </w:rPr>
                  </w:pPr>
                  <w:r>
                    <w:rPr>
                      <w:rFonts w:hint="default" w:ascii="Times New Roman" w:hAnsi="Times New Roman" w:eastAsia="宋体" w:cs="Times New Roman"/>
                      <w:b w:val="0"/>
                      <w:bCs w:val="0"/>
                      <w:color w:val="auto"/>
                      <w:szCs w:val="22"/>
                    </w:rPr>
                    <w:t>法律、法规、政策文件等</w:t>
                  </w:r>
                </w:p>
              </w:tc>
              <w:tc>
                <w:tcPr>
                  <w:tcW w:w="687" w:type="pct"/>
                  <w:noWrap w:val="0"/>
                  <w:vAlign w:val="center"/>
                </w:tcPr>
                <w:p>
                  <w:pPr>
                    <w:ind w:right="63" w:rightChars="30"/>
                    <w:jc w:val="center"/>
                    <w:rPr>
                      <w:rFonts w:hint="default" w:ascii="Times New Roman" w:hAnsi="Times New Roman" w:eastAsia="宋体" w:cs="Times New Roman"/>
                      <w:b w:val="0"/>
                      <w:bCs w:val="0"/>
                      <w:color w:val="auto"/>
                      <w:szCs w:val="21"/>
                    </w:rPr>
                  </w:pPr>
                  <w:r>
                    <w:rPr>
                      <w:rFonts w:hint="default" w:ascii="Times New Roman" w:hAnsi="Times New Roman" w:eastAsia="宋体" w:cs="Times New Roman"/>
                      <w:b w:val="0"/>
                      <w:bCs w:val="0"/>
                      <w:color w:val="auto"/>
                      <w:szCs w:val="22"/>
                    </w:rPr>
                    <w:t>是否属于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0" w:hRule="atLeast"/>
              </w:trPr>
              <w:tc>
                <w:tcPr>
                  <w:tcW w:w="442" w:type="pct"/>
                  <w:noWrap w:val="0"/>
                  <w:vAlign w:val="center"/>
                </w:tcPr>
                <w:p>
                  <w:pPr>
                    <w:ind w:right="63" w:rightChars="30"/>
                    <w:jc w:val="center"/>
                    <w:rPr>
                      <w:rFonts w:hint="default" w:ascii="Times New Roman" w:hAnsi="Times New Roman" w:eastAsia="宋体" w:cs="Times New Roman"/>
                      <w:b w:val="0"/>
                      <w:bCs w:val="0"/>
                      <w:color w:val="auto"/>
                      <w:szCs w:val="21"/>
                    </w:rPr>
                  </w:pPr>
                  <w:r>
                    <w:rPr>
                      <w:rFonts w:hint="default" w:ascii="Times New Roman" w:hAnsi="Times New Roman" w:eastAsia="宋体" w:cs="Times New Roman"/>
                      <w:b w:val="0"/>
                      <w:bCs w:val="0"/>
                      <w:color w:val="auto"/>
                      <w:szCs w:val="22"/>
                    </w:rPr>
                    <w:t>1</w:t>
                  </w:r>
                </w:p>
              </w:tc>
              <w:tc>
                <w:tcPr>
                  <w:tcW w:w="3869" w:type="pct"/>
                  <w:noWrap w:val="0"/>
                  <w:vAlign w:val="center"/>
                </w:tcPr>
                <w:p>
                  <w:pPr>
                    <w:ind w:right="63" w:rightChars="30"/>
                    <w:jc w:val="center"/>
                    <w:rPr>
                      <w:rFonts w:hint="default" w:ascii="Times New Roman" w:hAnsi="Times New Roman" w:eastAsia="宋体" w:cs="Times New Roman"/>
                      <w:b w:val="0"/>
                      <w:bCs w:val="0"/>
                      <w:color w:val="auto"/>
                      <w:szCs w:val="22"/>
                    </w:rPr>
                  </w:pPr>
                  <w:r>
                    <w:rPr>
                      <w:rFonts w:hint="default" w:ascii="Times New Roman" w:hAnsi="Times New Roman" w:eastAsia="宋体" w:cs="Times New Roman"/>
                      <w:b w:val="0"/>
                      <w:bCs w:val="0"/>
                      <w:color w:val="auto"/>
                      <w:szCs w:val="22"/>
                    </w:rPr>
                    <w:t>属于《产业结构调整指导目录》（2019年本）、《江苏工业和信息产业结构调整指导目录（2012年本）》以及关于修改《江苏省工业和信息产业结构调整指导目录（2012年本）》部分条目的通知（苏经信产业[2013]183 号）中淘汰类、限制类项目</w:t>
                  </w:r>
                </w:p>
              </w:tc>
              <w:tc>
                <w:tcPr>
                  <w:tcW w:w="687" w:type="pct"/>
                  <w:noWrap w:val="0"/>
                  <w:vAlign w:val="center"/>
                </w:tcPr>
                <w:p>
                  <w:pPr>
                    <w:ind w:right="63" w:rightChars="30"/>
                    <w:jc w:val="center"/>
                    <w:rPr>
                      <w:rFonts w:hint="default" w:ascii="Times New Roman" w:hAnsi="Times New Roman" w:eastAsia="宋体" w:cs="Times New Roman"/>
                      <w:b w:val="0"/>
                      <w:bCs w:val="0"/>
                      <w:color w:val="auto"/>
                      <w:szCs w:val="21"/>
                    </w:rPr>
                  </w:pPr>
                  <w:r>
                    <w:rPr>
                      <w:rFonts w:hint="default" w:ascii="Times New Roman" w:hAnsi="Times New Roman" w:eastAsia="宋体" w:cs="Times New Roman"/>
                      <w:b w:val="0"/>
                      <w:bCs w:val="0"/>
                      <w:color w:val="auto"/>
                      <w:szCs w:val="22"/>
                    </w:rPr>
                    <w:t>不属于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0" w:hRule="atLeast"/>
              </w:trPr>
              <w:tc>
                <w:tcPr>
                  <w:tcW w:w="442" w:type="pct"/>
                  <w:noWrap w:val="0"/>
                  <w:vAlign w:val="center"/>
                </w:tcPr>
                <w:p>
                  <w:pPr>
                    <w:ind w:right="63" w:rightChars="30"/>
                    <w:jc w:val="center"/>
                    <w:rPr>
                      <w:rFonts w:hint="default" w:ascii="Times New Roman" w:hAnsi="Times New Roman" w:eastAsia="宋体" w:cs="Times New Roman"/>
                      <w:b w:val="0"/>
                      <w:bCs w:val="0"/>
                      <w:color w:val="auto"/>
                      <w:szCs w:val="21"/>
                    </w:rPr>
                  </w:pPr>
                  <w:r>
                    <w:rPr>
                      <w:rFonts w:hint="default" w:ascii="Times New Roman" w:hAnsi="Times New Roman" w:eastAsia="宋体" w:cs="Times New Roman"/>
                      <w:b w:val="0"/>
                      <w:bCs w:val="0"/>
                      <w:color w:val="auto"/>
                      <w:szCs w:val="22"/>
                    </w:rPr>
                    <w:t>2</w:t>
                  </w:r>
                </w:p>
              </w:tc>
              <w:tc>
                <w:tcPr>
                  <w:tcW w:w="3869" w:type="pct"/>
                  <w:noWrap w:val="0"/>
                  <w:vAlign w:val="center"/>
                </w:tcPr>
                <w:p>
                  <w:pPr>
                    <w:ind w:right="63" w:rightChars="30"/>
                    <w:jc w:val="center"/>
                    <w:rPr>
                      <w:rFonts w:hint="default" w:ascii="Times New Roman" w:hAnsi="Times New Roman" w:eastAsia="宋体" w:cs="Times New Roman"/>
                      <w:b w:val="0"/>
                      <w:bCs w:val="0"/>
                      <w:color w:val="auto"/>
                      <w:szCs w:val="22"/>
                    </w:rPr>
                  </w:pPr>
                  <w:r>
                    <w:rPr>
                      <w:rFonts w:hint="default" w:ascii="Times New Roman" w:hAnsi="Times New Roman" w:eastAsia="宋体" w:cs="Times New Roman"/>
                      <w:b w:val="0"/>
                      <w:bCs w:val="0"/>
                      <w:color w:val="auto"/>
                      <w:szCs w:val="22"/>
                    </w:rPr>
                    <w:t>属于镇江市《优化开发区域产业准入指导目录》（2014年本）负面清单中的项目</w:t>
                  </w:r>
                  <w:r>
                    <w:rPr>
                      <w:rFonts w:hint="default" w:ascii="Times New Roman" w:hAnsi="Times New Roman" w:eastAsia="宋体" w:cs="Times New Roman"/>
                      <w:b w:val="0"/>
                      <w:bCs w:val="0"/>
                      <w:color w:val="auto"/>
                    </w:rPr>
                    <w:t>以及其他相关政策中限制和淘汰之列</w:t>
                  </w:r>
                </w:p>
              </w:tc>
              <w:tc>
                <w:tcPr>
                  <w:tcW w:w="687" w:type="pct"/>
                  <w:noWrap w:val="0"/>
                  <w:vAlign w:val="center"/>
                </w:tcPr>
                <w:p>
                  <w:pPr>
                    <w:ind w:right="63" w:rightChars="30"/>
                    <w:jc w:val="center"/>
                    <w:rPr>
                      <w:rFonts w:hint="default" w:ascii="Times New Roman" w:hAnsi="Times New Roman" w:eastAsia="宋体" w:cs="Times New Roman"/>
                      <w:b w:val="0"/>
                      <w:bCs w:val="0"/>
                      <w:color w:val="auto"/>
                      <w:szCs w:val="22"/>
                    </w:rPr>
                  </w:pPr>
                  <w:r>
                    <w:rPr>
                      <w:rFonts w:hint="default" w:ascii="Times New Roman" w:hAnsi="Times New Roman" w:eastAsia="宋体" w:cs="Times New Roman"/>
                      <w:b w:val="0"/>
                      <w:bCs w:val="0"/>
                      <w:color w:val="auto"/>
                      <w:szCs w:val="22"/>
                    </w:rPr>
                    <w:t>不属于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0" w:hRule="atLeast"/>
              </w:trPr>
              <w:tc>
                <w:tcPr>
                  <w:tcW w:w="442" w:type="pct"/>
                  <w:noWrap w:val="0"/>
                  <w:vAlign w:val="center"/>
                </w:tcPr>
                <w:p>
                  <w:pPr>
                    <w:ind w:right="63" w:rightChars="30"/>
                    <w:jc w:val="center"/>
                    <w:rPr>
                      <w:rFonts w:hint="default" w:ascii="Times New Roman" w:hAnsi="Times New Roman" w:eastAsia="宋体" w:cs="Times New Roman"/>
                      <w:b w:val="0"/>
                      <w:bCs w:val="0"/>
                      <w:color w:val="auto"/>
                      <w:szCs w:val="21"/>
                    </w:rPr>
                  </w:pPr>
                  <w:r>
                    <w:rPr>
                      <w:rFonts w:hint="default" w:ascii="Times New Roman" w:hAnsi="Times New Roman" w:eastAsia="宋体" w:cs="Times New Roman"/>
                      <w:b w:val="0"/>
                      <w:bCs w:val="0"/>
                      <w:color w:val="auto"/>
                      <w:szCs w:val="22"/>
                    </w:rPr>
                    <w:t>3</w:t>
                  </w:r>
                </w:p>
              </w:tc>
              <w:tc>
                <w:tcPr>
                  <w:tcW w:w="3869" w:type="pct"/>
                  <w:noWrap w:val="0"/>
                  <w:vAlign w:val="center"/>
                </w:tcPr>
                <w:p>
                  <w:pPr>
                    <w:ind w:right="63" w:rightChars="30"/>
                    <w:jc w:val="center"/>
                    <w:rPr>
                      <w:rFonts w:hint="default" w:ascii="Times New Roman" w:hAnsi="Times New Roman" w:eastAsia="宋体" w:cs="Times New Roman"/>
                      <w:b w:val="0"/>
                      <w:bCs w:val="0"/>
                      <w:color w:val="auto"/>
                      <w:szCs w:val="22"/>
                    </w:rPr>
                  </w:pPr>
                  <w:r>
                    <w:rPr>
                      <w:rFonts w:hint="default" w:ascii="Times New Roman" w:hAnsi="Times New Roman" w:eastAsia="宋体" w:cs="Times New Roman"/>
                      <w:b w:val="0"/>
                      <w:bCs w:val="0"/>
                      <w:color w:val="auto"/>
                      <w:szCs w:val="22"/>
                    </w:rPr>
                    <w:t>属于《江苏省国家级生态保护红线规划》、《关于印发江苏省生态空间管控区域规划的通知》、《镇江市生态红线区域保护规划》中规定的位于生态红线保护区以及管控区内与保护主导生态功能无关的开发建设项目、位于生态红线保护区二级管控区内禁止从事的开发建设项目</w:t>
                  </w:r>
                </w:p>
              </w:tc>
              <w:tc>
                <w:tcPr>
                  <w:tcW w:w="687" w:type="pct"/>
                  <w:noWrap w:val="0"/>
                  <w:vAlign w:val="center"/>
                </w:tcPr>
                <w:p>
                  <w:pPr>
                    <w:ind w:right="63" w:rightChars="30"/>
                    <w:jc w:val="center"/>
                    <w:rPr>
                      <w:rFonts w:hint="default" w:ascii="Times New Roman" w:hAnsi="Times New Roman" w:eastAsia="宋体" w:cs="Times New Roman"/>
                      <w:b w:val="0"/>
                      <w:bCs w:val="0"/>
                      <w:color w:val="auto"/>
                      <w:szCs w:val="21"/>
                    </w:rPr>
                  </w:pPr>
                  <w:r>
                    <w:rPr>
                      <w:rFonts w:hint="default" w:ascii="Times New Roman" w:hAnsi="Times New Roman" w:eastAsia="宋体" w:cs="Times New Roman"/>
                      <w:b w:val="0"/>
                      <w:bCs w:val="0"/>
                      <w:color w:val="auto"/>
                      <w:szCs w:val="22"/>
                    </w:rPr>
                    <w:t>不属于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0" w:hRule="atLeast"/>
              </w:trPr>
              <w:tc>
                <w:tcPr>
                  <w:tcW w:w="442" w:type="pct"/>
                  <w:noWrap w:val="0"/>
                  <w:vAlign w:val="center"/>
                </w:tcPr>
                <w:p>
                  <w:pPr>
                    <w:ind w:right="63" w:rightChars="30"/>
                    <w:jc w:val="center"/>
                    <w:rPr>
                      <w:rFonts w:hint="default" w:ascii="Times New Roman" w:hAnsi="Times New Roman" w:eastAsia="宋体" w:cs="Times New Roman"/>
                      <w:b w:val="0"/>
                      <w:bCs w:val="0"/>
                      <w:color w:val="auto"/>
                      <w:szCs w:val="21"/>
                    </w:rPr>
                  </w:pPr>
                  <w:r>
                    <w:rPr>
                      <w:rFonts w:hint="default" w:ascii="Times New Roman" w:hAnsi="Times New Roman" w:eastAsia="宋体" w:cs="Times New Roman"/>
                      <w:b w:val="0"/>
                      <w:bCs w:val="0"/>
                      <w:color w:val="auto"/>
                      <w:szCs w:val="22"/>
                    </w:rPr>
                    <w:t>4</w:t>
                  </w:r>
                </w:p>
              </w:tc>
              <w:tc>
                <w:tcPr>
                  <w:tcW w:w="3869" w:type="pct"/>
                  <w:noWrap w:val="0"/>
                  <w:vAlign w:val="center"/>
                </w:tcPr>
                <w:p>
                  <w:pPr>
                    <w:ind w:right="63" w:rightChars="30"/>
                    <w:jc w:val="center"/>
                    <w:rPr>
                      <w:rFonts w:hint="default" w:ascii="Times New Roman" w:hAnsi="Times New Roman" w:eastAsia="宋体" w:cs="Times New Roman"/>
                      <w:b w:val="0"/>
                      <w:bCs w:val="0"/>
                      <w:color w:val="auto"/>
                      <w:szCs w:val="22"/>
                    </w:rPr>
                  </w:pPr>
                  <w:r>
                    <w:rPr>
                      <w:rFonts w:hint="default" w:ascii="Times New Roman" w:hAnsi="Times New Roman" w:eastAsia="宋体" w:cs="Times New Roman"/>
                      <w:b w:val="0"/>
                      <w:bCs w:val="0"/>
                      <w:color w:val="auto"/>
                      <w:szCs w:val="22"/>
                    </w:rPr>
                    <w:t>属于《江苏省人民代表大会常务委员会关于加强饮用水源地保护的决定》中规定的位于饮用水源准保护区、二级保护区、一级保护区内禁止从事的开发建设项目</w:t>
                  </w:r>
                </w:p>
              </w:tc>
              <w:tc>
                <w:tcPr>
                  <w:tcW w:w="687" w:type="pct"/>
                  <w:noWrap w:val="0"/>
                  <w:vAlign w:val="center"/>
                </w:tcPr>
                <w:p>
                  <w:pPr>
                    <w:ind w:right="63" w:rightChars="30"/>
                    <w:jc w:val="center"/>
                    <w:rPr>
                      <w:rFonts w:hint="default" w:ascii="Times New Roman" w:hAnsi="Times New Roman" w:eastAsia="宋体" w:cs="Times New Roman"/>
                      <w:b w:val="0"/>
                      <w:bCs w:val="0"/>
                      <w:color w:val="auto"/>
                      <w:szCs w:val="21"/>
                    </w:rPr>
                  </w:pPr>
                  <w:r>
                    <w:rPr>
                      <w:rFonts w:hint="default" w:ascii="Times New Roman" w:hAnsi="Times New Roman" w:eastAsia="宋体" w:cs="Times New Roman"/>
                      <w:b w:val="0"/>
                      <w:bCs w:val="0"/>
                      <w:color w:val="auto"/>
                      <w:szCs w:val="22"/>
                    </w:rPr>
                    <w:t>不属于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0" w:hRule="atLeast"/>
              </w:trPr>
              <w:tc>
                <w:tcPr>
                  <w:tcW w:w="442" w:type="pct"/>
                  <w:noWrap w:val="0"/>
                  <w:vAlign w:val="center"/>
                </w:tcPr>
                <w:p>
                  <w:pPr>
                    <w:ind w:right="63" w:rightChars="30"/>
                    <w:jc w:val="center"/>
                    <w:rPr>
                      <w:rFonts w:hint="default" w:ascii="Times New Roman" w:hAnsi="Times New Roman" w:eastAsia="宋体" w:cs="Times New Roman"/>
                      <w:b w:val="0"/>
                      <w:bCs w:val="0"/>
                      <w:color w:val="auto"/>
                      <w:szCs w:val="21"/>
                    </w:rPr>
                  </w:pPr>
                  <w:r>
                    <w:rPr>
                      <w:rFonts w:hint="default" w:ascii="Times New Roman" w:hAnsi="Times New Roman" w:eastAsia="宋体" w:cs="Times New Roman"/>
                      <w:b w:val="0"/>
                      <w:bCs w:val="0"/>
                      <w:color w:val="auto"/>
                      <w:szCs w:val="22"/>
                    </w:rPr>
                    <w:t>5</w:t>
                  </w:r>
                </w:p>
              </w:tc>
              <w:tc>
                <w:tcPr>
                  <w:tcW w:w="3869" w:type="pct"/>
                  <w:noWrap w:val="0"/>
                  <w:vAlign w:val="center"/>
                </w:tcPr>
                <w:p>
                  <w:pPr>
                    <w:ind w:right="63" w:rightChars="30"/>
                    <w:jc w:val="center"/>
                    <w:rPr>
                      <w:rFonts w:hint="default" w:ascii="Times New Roman" w:hAnsi="Times New Roman" w:eastAsia="宋体" w:cs="Times New Roman"/>
                      <w:b w:val="0"/>
                      <w:bCs w:val="0"/>
                      <w:color w:val="auto"/>
                      <w:szCs w:val="22"/>
                    </w:rPr>
                  </w:pPr>
                  <w:r>
                    <w:rPr>
                      <w:rFonts w:hint="default" w:ascii="Times New Roman" w:hAnsi="Times New Roman" w:eastAsia="宋体" w:cs="Times New Roman"/>
                      <w:b w:val="0"/>
                      <w:bCs w:val="0"/>
                      <w:color w:val="auto"/>
                      <w:szCs w:val="22"/>
                    </w:rPr>
                    <w:t>属于《市场准入负面清单草案（试点版）》中限制和禁止之列</w:t>
                  </w:r>
                </w:p>
              </w:tc>
              <w:tc>
                <w:tcPr>
                  <w:tcW w:w="687" w:type="pct"/>
                  <w:noWrap w:val="0"/>
                  <w:vAlign w:val="center"/>
                </w:tcPr>
                <w:p>
                  <w:pPr>
                    <w:ind w:right="63" w:rightChars="30"/>
                    <w:jc w:val="center"/>
                    <w:rPr>
                      <w:rFonts w:hint="default" w:ascii="Times New Roman" w:hAnsi="Times New Roman" w:eastAsia="宋体" w:cs="Times New Roman"/>
                      <w:b w:val="0"/>
                      <w:bCs w:val="0"/>
                      <w:color w:val="auto"/>
                      <w:szCs w:val="21"/>
                    </w:rPr>
                  </w:pPr>
                  <w:r>
                    <w:rPr>
                      <w:rFonts w:hint="default" w:ascii="Times New Roman" w:hAnsi="Times New Roman" w:eastAsia="宋体" w:cs="Times New Roman"/>
                      <w:b w:val="0"/>
                      <w:bCs w:val="0"/>
                      <w:color w:val="auto"/>
                      <w:szCs w:val="22"/>
                    </w:rPr>
                    <w:t>不属于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0" w:hRule="atLeast"/>
              </w:trPr>
              <w:tc>
                <w:tcPr>
                  <w:tcW w:w="442" w:type="pct"/>
                  <w:noWrap w:val="0"/>
                  <w:vAlign w:val="center"/>
                </w:tcPr>
                <w:p>
                  <w:pPr>
                    <w:ind w:right="63" w:rightChars="30"/>
                    <w:jc w:val="center"/>
                    <w:rPr>
                      <w:rFonts w:hint="default" w:ascii="Times New Roman" w:hAnsi="Times New Roman" w:eastAsia="宋体" w:cs="Times New Roman"/>
                      <w:b w:val="0"/>
                      <w:bCs w:val="0"/>
                      <w:color w:val="auto"/>
                      <w:szCs w:val="21"/>
                    </w:rPr>
                  </w:pPr>
                  <w:r>
                    <w:rPr>
                      <w:rFonts w:hint="default" w:ascii="Times New Roman" w:hAnsi="Times New Roman" w:eastAsia="宋体" w:cs="Times New Roman"/>
                      <w:b w:val="0"/>
                      <w:bCs w:val="0"/>
                      <w:color w:val="auto"/>
                      <w:szCs w:val="22"/>
                    </w:rPr>
                    <w:t>6</w:t>
                  </w:r>
                </w:p>
              </w:tc>
              <w:tc>
                <w:tcPr>
                  <w:tcW w:w="3869" w:type="pct"/>
                  <w:noWrap w:val="0"/>
                  <w:vAlign w:val="center"/>
                </w:tcPr>
                <w:p>
                  <w:pPr>
                    <w:ind w:right="63" w:rightChars="30"/>
                    <w:jc w:val="center"/>
                    <w:rPr>
                      <w:rFonts w:hint="default" w:ascii="Times New Roman" w:hAnsi="Times New Roman" w:eastAsia="宋体" w:cs="Times New Roman"/>
                      <w:b w:val="0"/>
                      <w:bCs w:val="0"/>
                      <w:color w:val="auto"/>
                      <w:szCs w:val="22"/>
                    </w:rPr>
                  </w:pPr>
                  <w:r>
                    <w:rPr>
                      <w:rFonts w:hint="default" w:ascii="Times New Roman" w:hAnsi="Times New Roman" w:eastAsia="宋体" w:cs="Times New Roman"/>
                      <w:b w:val="0"/>
                      <w:bCs w:val="0"/>
                      <w:color w:val="auto"/>
                      <w:szCs w:val="22"/>
                    </w:rPr>
                    <w:t>属于《限制用地项目目录（2012年本）》和《禁止用地项目目录（2012年本）》中项目</w:t>
                  </w:r>
                </w:p>
              </w:tc>
              <w:tc>
                <w:tcPr>
                  <w:tcW w:w="687" w:type="pct"/>
                  <w:noWrap w:val="0"/>
                  <w:vAlign w:val="center"/>
                </w:tcPr>
                <w:p>
                  <w:pPr>
                    <w:ind w:right="63" w:rightChars="30"/>
                    <w:jc w:val="center"/>
                    <w:rPr>
                      <w:rFonts w:hint="default" w:ascii="Times New Roman" w:hAnsi="Times New Roman" w:eastAsia="宋体" w:cs="Times New Roman"/>
                      <w:b w:val="0"/>
                      <w:bCs w:val="0"/>
                      <w:color w:val="auto"/>
                      <w:szCs w:val="21"/>
                    </w:rPr>
                  </w:pPr>
                  <w:r>
                    <w:rPr>
                      <w:rFonts w:hint="default" w:ascii="Times New Roman" w:hAnsi="Times New Roman" w:eastAsia="宋体" w:cs="Times New Roman"/>
                      <w:b w:val="0"/>
                      <w:bCs w:val="0"/>
                      <w:color w:val="auto"/>
                      <w:szCs w:val="22"/>
                    </w:rPr>
                    <w:t>不属于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0" w:hRule="atLeast"/>
              </w:trPr>
              <w:tc>
                <w:tcPr>
                  <w:tcW w:w="442" w:type="pct"/>
                  <w:noWrap w:val="0"/>
                  <w:vAlign w:val="center"/>
                </w:tcPr>
                <w:p>
                  <w:pPr>
                    <w:ind w:right="63" w:rightChars="30"/>
                    <w:jc w:val="center"/>
                    <w:rPr>
                      <w:rFonts w:hint="default" w:ascii="Times New Roman" w:hAnsi="Times New Roman" w:eastAsia="宋体" w:cs="Times New Roman"/>
                      <w:b w:val="0"/>
                      <w:bCs w:val="0"/>
                      <w:color w:val="auto"/>
                      <w:szCs w:val="21"/>
                    </w:rPr>
                  </w:pPr>
                  <w:r>
                    <w:rPr>
                      <w:rFonts w:hint="default" w:ascii="Times New Roman" w:hAnsi="Times New Roman" w:eastAsia="宋体" w:cs="Times New Roman"/>
                      <w:b w:val="0"/>
                      <w:bCs w:val="0"/>
                      <w:color w:val="auto"/>
                      <w:szCs w:val="22"/>
                    </w:rPr>
                    <w:t>7</w:t>
                  </w:r>
                </w:p>
              </w:tc>
              <w:tc>
                <w:tcPr>
                  <w:tcW w:w="3869" w:type="pct"/>
                  <w:noWrap w:val="0"/>
                  <w:vAlign w:val="center"/>
                </w:tcPr>
                <w:p>
                  <w:pPr>
                    <w:ind w:right="63" w:rightChars="30"/>
                    <w:jc w:val="center"/>
                    <w:rPr>
                      <w:rFonts w:hint="default" w:ascii="Times New Roman" w:hAnsi="Times New Roman" w:eastAsia="宋体" w:cs="Times New Roman"/>
                      <w:b w:val="0"/>
                      <w:bCs w:val="0"/>
                      <w:color w:val="auto"/>
                      <w:szCs w:val="22"/>
                    </w:rPr>
                  </w:pPr>
                  <w:r>
                    <w:rPr>
                      <w:rFonts w:hint="default" w:ascii="Times New Roman" w:hAnsi="Times New Roman" w:eastAsia="宋体" w:cs="Times New Roman"/>
                      <w:b w:val="0"/>
                      <w:bCs w:val="0"/>
                      <w:color w:val="auto"/>
                      <w:szCs w:val="22"/>
                    </w:rPr>
                    <w:t>属于《江苏省限制用地项目目录》(2013年本)和《江苏省禁止用地项目目录》(2013年本)中项目</w:t>
                  </w:r>
                </w:p>
              </w:tc>
              <w:tc>
                <w:tcPr>
                  <w:tcW w:w="687" w:type="pct"/>
                  <w:noWrap w:val="0"/>
                  <w:vAlign w:val="center"/>
                </w:tcPr>
                <w:p>
                  <w:pPr>
                    <w:ind w:right="63" w:rightChars="30"/>
                    <w:jc w:val="center"/>
                    <w:rPr>
                      <w:rFonts w:hint="default" w:ascii="Times New Roman" w:hAnsi="Times New Roman" w:eastAsia="宋体" w:cs="Times New Roman"/>
                      <w:b w:val="0"/>
                      <w:bCs w:val="0"/>
                      <w:color w:val="auto"/>
                      <w:szCs w:val="21"/>
                    </w:rPr>
                  </w:pPr>
                  <w:r>
                    <w:rPr>
                      <w:rFonts w:hint="default" w:ascii="Times New Roman" w:hAnsi="Times New Roman" w:eastAsia="宋体" w:cs="Times New Roman"/>
                      <w:b w:val="0"/>
                      <w:bCs w:val="0"/>
                      <w:color w:val="auto"/>
                      <w:szCs w:val="22"/>
                    </w:rPr>
                    <w:t>不属于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0" w:hRule="atLeast"/>
              </w:trPr>
              <w:tc>
                <w:tcPr>
                  <w:tcW w:w="442" w:type="pct"/>
                  <w:noWrap w:val="0"/>
                  <w:vAlign w:val="center"/>
                </w:tcPr>
                <w:p>
                  <w:pPr>
                    <w:ind w:right="63" w:rightChars="30"/>
                    <w:jc w:val="center"/>
                    <w:rPr>
                      <w:rFonts w:hint="default" w:ascii="Times New Roman" w:hAnsi="Times New Roman" w:eastAsia="宋体" w:cs="Times New Roman"/>
                      <w:b w:val="0"/>
                      <w:bCs w:val="0"/>
                      <w:color w:val="auto"/>
                      <w:szCs w:val="21"/>
                    </w:rPr>
                  </w:pPr>
                  <w:r>
                    <w:rPr>
                      <w:rFonts w:hint="default" w:ascii="Times New Roman" w:hAnsi="Times New Roman" w:eastAsia="宋体" w:cs="Times New Roman"/>
                      <w:b w:val="0"/>
                      <w:bCs w:val="0"/>
                      <w:color w:val="auto"/>
                      <w:szCs w:val="21"/>
                    </w:rPr>
                    <w:t>8</w:t>
                  </w:r>
                </w:p>
              </w:tc>
              <w:tc>
                <w:tcPr>
                  <w:tcW w:w="3869" w:type="pct"/>
                  <w:noWrap w:val="0"/>
                  <w:vAlign w:val="center"/>
                </w:tcPr>
                <w:p>
                  <w:pPr>
                    <w:ind w:right="63" w:rightChars="30"/>
                    <w:jc w:val="center"/>
                    <w:rPr>
                      <w:rFonts w:hint="default" w:ascii="Times New Roman" w:hAnsi="Times New Roman" w:eastAsia="宋体" w:cs="Times New Roman"/>
                      <w:b w:val="0"/>
                      <w:bCs w:val="0"/>
                      <w:color w:val="auto"/>
                      <w:szCs w:val="22"/>
                    </w:rPr>
                  </w:pPr>
                  <w:r>
                    <w:rPr>
                      <w:rFonts w:hint="default" w:ascii="Times New Roman" w:hAnsi="Times New Roman" w:eastAsia="宋体" w:cs="Times New Roman"/>
                      <w:b w:val="0"/>
                      <w:bCs w:val="0"/>
                      <w:color w:val="auto"/>
                      <w:szCs w:val="22"/>
                    </w:rPr>
                    <w:t>不符合城市总体规划、土地利用规划、环境保护规划的建设项目</w:t>
                  </w:r>
                </w:p>
              </w:tc>
              <w:tc>
                <w:tcPr>
                  <w:tcW w:w="687" w:type="pct"/>
                  <w:noWrap w:val="0"/>
                  <w:vAlign w:val="center"/>
                </w:tcPr>
                <w:p>
                  <w:pPr>
                    <w:ind w:right="63" w:rightChars="30"/>
                    <w:jc w:val="center"/>
                    <w:rPr>
                      <w:rFonts w:hint="default" w:ascii="Times New Roman" w:hAnsi="Times New Roman" w:eastAsia="宋体" w:cs="Times New Roman"/>
                      <w:b w:val="0"/>
                      <w:bCs w:val="0"/>
                      <w:color w:val="auto"/>
                      <w:szCs w:val="21"/>
                    </w:rPr>
                  </w:pPr>
                  <w:r>
                    <w:rPr>
                      <w:rFonts w:hint="default" w:ascii="Times New Roman" w:hAnsi="Times New Roman" w:eastAsia="宋体" w:cs="Times New Roman"/>
                      <w:b w:val="0"/>
                      <w:bCs w:val="0"/>
                      <w:color w:val="auto"/>
                      <w:szCs w:val="22"/>
                    </w:rPr>
                    <w:t>不属于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0" w:hRule="atLeast"/>
              </w:trPr>
              <w:tc>
                <w:tcPr>
                  <w:tcW w:w="442" w:type="pct"/>
                  <w:noWrap w:val="0"/>
                  <w:vAlign w:val="center"/>
                </w:tcPr>
                <w:p>
                  <w:pPr>
                    <w:ind w:right="63" w:rightChars="30"/>
                    <w:jc w:val="center"/>
                    <w:rPr>
                      <w:rFonts w:hint="default" w:ascii="Times New Roman" w:hAnsi="Times New Roman" w:eastAsia="宋体" w:cs="Times New Roman"/>
                      <w:b w:val="0"/>
                      <w:bCs w:val="0"/>
                      <w:color w:val="auto"/>
                      <w:szCs w:val="21"/>
                    </w:rPr>
                  </w:pPr>
                  <w:r>
                    <w:rPr>
                      <w:rFonts w:hint="default" w:ascii="Times New Roman" w:hAnsi="Times New Roman" w:eastAsia="宋体" w:cs="Times New Roman"/>
                      <w:b w:val="0"/>
                      <w:bCs w:val="0"/>
                      <w:color w:val="auto"/>
                      <w:szCs w:val="21"/>
                    </w:rPr>
                    <w:t>9</w:t>
                  </w:r>
                </w:p>
              </w:tc>
              <w:tc>
                <w:tcPr>
                  <w:tcW w:w="3869" w:type="pct"/>
                  <w:noWrap w:val="0"/>
                  <w:vAlign w:val="center"/>
                </w:tcPr>
                <w:p>
                  <w:pPr>
                    <w:ind w:right="63" w:rightChars="30"/>
                    <w:jc w:val="center"/>
                    <w:rPr>
                      <w:rFonts w:hint="default" w:ascii="Times New Roman" w:hAnsi="Times New Roman" w:eastAsia="宋体" w:cs="Times New Roman"/>
                      <w:b w:val="0"/>
                      <w:bCs w:val="0"/>
                      <w:color w:val="auto"/>
                      <w:szCs w:val="21"/>
                    </w:rPr>
                  </w:pPr>
                  <w:r>
                    <w:rPr>
                      <w:rFonts w:hint="default" w:ascii="Times New Roman" w:hAnsi="Times New Roman" w:eastAsia="宋体" w:cs="Times New Roman"/>
                      <w:b w:val="0"/>
                      <w:bCs w:val="0"/>
                      <w:color w:val="auto"/>
                      <w:kern w:val="0"/>
                      <w:szCs w:val="22"/>
                    </w:rPr>
                    <w:t>环境污染严重、污染物排放总量指标未落实的项目</w:t>
                  </w:r>
                </w:p>
              </w:tc>
              <w:tc>
                <w:tcPr>
                  <w:tcW w:w="687" w:type="pct"/>
                  <w:noWrap w:val="0"/>
                  <w:vAlign w:val="center"/>
                </w:tcPr>
                <w:p>
                  <w:pPr>
                    <w:ind w:right="63" w:rightChars="30"/>
                    <w:jc w:val="center"/>
                    <w:rPr>
                      <w:rFonts w:hint="default" w:ascii="Times New Roman" w:hAnsi="Times New Roman" w:eastAsia="宋体" w:cs="Times New Roman"/>
                      <w:b w:val="0"/>
                      <w:bCs w:val="0"/>
                      <w:color w:val="auto"/>
                      <w:szCs w:val="21"/>
                    </w:rPr>
                  </w:pPr>
                  <w:r>
                    <w:rPr>
                      <w:rFonts w:hint="default" w:ascii="Times New Roman" w:hAnsi="Times New Roman" w:eastAsia="宋体" w:cs="Times New Roman"/>
                      <w:b w:val="0"/>
                      <w:bCs w:val="0"/>
                      <w:color w:val="auto"/>
                      <w:szCs w:val="22"/>
                    </w:rPr>
                    <w:t>不属于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0" w:hRule="atLeast"/>
              </w:trPr>
              <w:tc>
                <w:tcPr>
                  <w:tcW w:w="442" w:type="pct"/>
                  <w:noWrap w:val="0"/>
                  <w:vAlign w:val="center"/>
                </w:tcPr>
                <w:p>
                  <w:pPr>
                    <w:ind w:right="63" w:rightChars="30"/>
                    <w:jc w:val="center"/>
                    <w:rPr>
                      <w:rFonts w:hint="default" w:ascii="Times New Roman" w:hAnsi="Times New Roman" w:eastAsia="宋体" w:cs="Times New Roman"/>
                      <w:b w:val="0"/>
                      <w:bCs w:val="0"/>
                      <w:color w:val="auto"/>
                      <w:szCs w:val="21"/>
                    </w:rPr>
                  </w:pPr>
                  <w:r>
                    <w:rPr>
                      <w:rFonts w:hint="default" w:ascii="Times New Roman" w:hAnsi="Times New Roman" w:eastAsia="宋体" w:cs="Times New Roman"/>
                      <w:b w:val="0"/>
                      <w:bCs w:val="0"/>
                      <w:color w:val="auto"/>
                      <w:szCs w:val="21"/>
                    </w:rPr>
                    <w:t>10</w:t>
                  </w:r>
                </w:p>
              </w:tc>
              <w:tc>
                <w:tcPr>
                  <w:tcW w:w="3869" w:type="pct"/>
                  <w:noWrap w:val="0"/>
                  <w:vAlign w:val="center"/>
                </w:tcPr>
                <w:p>
                  <w:pPr>
                    <w:ind w:right="63" w:rightChars="30"/>
                    <w:jc w:val="center"/>
                    <w:rPr>
                      <w:rFonts w:hint="default" w:ascii="Times New Roman" w:hAnsi="Times New Roman" w:eastAsia="宋体" w:cs="Times New Roman"/>
                      <w:b w:val="0"/>
                      <w:bCs w:val="0"/>
                      <w:color w:val="auto"/>
                      <w:szCs w:val="21"/>
                    </w:rPr>
                  </w:pPr>
                  <w:r>
                    <w:rPr>
                      <w:rFonts w:hint="default" w:ascii="Times New Roman" w:hAnsi="Times New Roman" w:eastAsia="宋体" w:cs="Times New Roman"/>
                      <w:b w:val="0"/>
                      <w:bCs w:val="0"/>
                      <w:color w:val="auto"/>
                      <w:kern w:val="0"/>
                      <w:szCs w:val="22"/>
                    </w:rPr>
                    <w:t>国家、江苏省明确规定不得审批的建设项目</w:t>
                  </w:r>
                </w:p>
              </w:tc>
              <w:tc>
                <w:tcPr>
                  <w:tcW w:w="687" w:type="pct"/>
                  <w:noWrap w:val="0"/>
                  <w:vAlign w:val="center"/>
                </w:tcPr>
                <w:p>
                  <w:pPr>
                    <w:ind w:right="63" w:rightChars="30"/>
                    <w:jc w:val="center"/>
                    <w:rPr>
                      <w:rFonts w:hint="default" w:ascii="Times New Roman" w:hAnsi="Times New Roman" w:eastAsia="宋体" w:cs="Times New Roman"/>
                      <w:b w:val="0"/>
                      <w:bCs w:val="0"/>
                      <w:color w:val="auto"/>
                      <w:szCs w:val="21"/>
                    </w:rPr>
                  </w:pPr>
                  <w:r>
                    <w:rPr>
                      <w:rFonts w:hint="default" w:ascii="Times New Roman" w:hAnsi="Times New Roman" w:eastAsia="宋体" w:cs="Times New Roman"/>
                      <w:b w:val="0"/>
                      <w:bCs w:val="0"/>
                      <w:color w:val="auto"/>
                      <w:szCs w:val="22"/>
                    </w:rPr>
                    <w:t>不属于</w:t>
                  </w:r>
                </w:p>
              </w:tc>
            </w:tr>
          </w:tbl>
          <w:p>
            <w:pPr>
              <w:keepNext w:val="0"/>
              <w:keepLines w:val="0"/>
              <w:pageBreakBefore w:val="0"/>
              <w:tabs>
                <w:tab w:val="left" w:pos="6645"/>
              </w:tabs>
              <w:kinsoku/>
              <w:wordWrap/>
              <w:overflowPunct/>
              <w:topLinePunct w:val="0"/>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综上，本项目符合</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三线一单</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（即生态</w:t>
            </w:r>
            <w:r>
              <w:rPr>
                <w:rFonts w:hint="default" w:ascii="Times New Roman" w:hAnsi="Times New Roman" w:eastAsia="宋体" w:cs="Times New Roman"/>
                <w:color w:val="auto"/>
                <w:sz w:val="24"/>
                <w:szCs w:val="24"/>
                <w:lang w:val="en-US" w:eastAsia="zh-CN"/>
              </w:rPr>
              <w:t>保护</w:t>
            </w:r>
            <w:r>
              <w:rPr>
                <w:rFonts w:hint="default" w:ascii="Times New Roman" w:hAnsi="Times New Roman" w:eastAsia="宋体" w:cs="Times New Roman"/>
                <w:color w:val="auto"/>
                <w:sz w:val="24"/>
                <w:szCs w:val="24"/>
              </w:rPr>
              <w:t>红线、环境质量底线、资源利用上线及环境准入负面清单）要求。</w:t>
            </w:r>
          </w:p>
          <w:p>
            <w:pPr>
              <w:keepNext w:val="0"/>
              <w:keepLines w:val="0"/>
              <w:pageBreakBefore w:val="0"/>
              <w:tabs>
                <w:tab w:val="left" w:pos="6645"/>
              </w:tabs>
              <w:kinsoku/>
              <w:wordWrap/>
              <w:overflowPunct/>
              <w:topLinePunct w:val="0"/>
              <w:bidi w:val="0"/>
              <w:adjustRightInd w:val="0"/>
              <w:snapToGrid w:val="0"/>
              <w:spacing w:line="360" w:lineRule="auto"/>
              <w:ind w:firstLine="482" w:firstLineChars="200"/>
              <w:jc w:val="both"/>
              <w:textAlignment w:val="auto"/>
              <w:rPr>
                <w:rFonts w:hint="default" w:ascii="Times New Roman" w:hAnsi="Times New Roman" w:eastAsia="宋体" w:cs="Times New Roman"/>
                <w:b/>
                <w:color w:val="auto"/>
                <w:sz w:val="24"/>
                <w:szCs w:val="24"/>
                <w:highlight w:val="none"/>
                <w:lang w:eastAsia="zh-CN"/>
              </w:rPr>
            </w:pPr>
            <w:r>
              <w:rPr>
                <w:rFonts w:hint="default" w:ascii="Times New Roman" w:hAnsi="Times New Roman" w:eastAsia="宋体" w:cs="Times New Roman"/>
                <w:b/>
                <w:color w:val="auto"/>
                <w:sz w:val="24"/>
                <w:szCs w:val="24"/>
                <w:highlight w:val="none"/>
                <w:lang w:eastAsia="zh-CN"/>
              </w:rPr>
              <w:t>4、规划符合性分析</w:t>
            </w:r>
          </w:p>
          <w:p>
            <w:pPr>
              <w:keepNext w:val="0"/>
              <w:keepLines w:val="0"/>
              <w:pageBreakBefore w:val="0"/>
              <w:widowControl w:val="0"/>
              <w:tabs>
                <w:tab w:val="left" w:pos="1200"/>
              </w:tabs>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本项目不属于《限制用地项目目录（2012年本）》和《禁止用地项目目录（2012年本）》中所列项目，也不属于《江苏省限制用地项目目录（2013年本）》和《江苏省禁止用地项目目录（2013年本）》中的</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限制用地项目</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和</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禁止用地项目</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，符合用地要求。</w:t>
            </w:r>
          </w:p>
          <w:p>
            <w:pPr>
              <w:pStyle w:val="15"/>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2020年8月13日，镇江市自然资源和规划局出具的《关于国家额能源集团贞观山灰场光伏电站项目的规划意见》（镇自然资函[2020]293号，附件五），指出项目拟用地属于国家能源集团谏壁发电厂的配套灰场用地，土地使用权已划拨归国家能源集团谏壁发电厂（丹国用[2006]第09892号、丹国用[2006]第09893号、镇国用[2007]第1161513号）均为国有存量建设用地，原则支持国家能源集团谏壁发电厂开展相关工作。</w:t>
            </w:r>
          </w:p>
          <w:p>
            <w:pPr>
              <w:keepNext w:val="0"/>
              <w:keepLines w:val="0"/>
              <w:pageBreakBefore w:val="0"/>
              <w:widowControl w:val="0"/>
              <w:tabs>
                <w:tab w:val="left" w:pos="1200"/>
              </w:tabs>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kern w:val="2"/>
                <w:sz w:val="24"/>
                <w:szCs w:val="24"/>
                <w:lang w:val="en-GB" w:eastAsia="zh-TW" w:bidi="ar-SA"/>
              </w:rPr>
              <w:t>本项目为</w:t>
            </w:r>
            <w:r>
              <w:rPr>
                <w:rFonts w:hint="default" w:ascii="Times New Roman" w:hAnsi="Times New Roman" w:eastAsia="宋体" w:cs="Times New Roman"/>
                <w:color w:val="auto"/>
                <w:kern w:val="2"/>
                <w:sz w:val="24"/>
                <w:szCs w:val="24"/>
                <w:lang w:val="en-US" w:eastAsia="zh-CN" w:bidi="ar-SA"/>
              </w:rPr>
              <w:t>光伏发电</w:t>
            </w:r>
            <w:r>
              <w:rPr>
                <w:rFonts w:hint="default" w:ascii="Times New Roman" w:hAnsi="Times New Roman" w:eastAsia="宋体" w:cs="Times New Roman"/>
                <w:color w:val="auto"/>
                <w:kern w:val="2"/>
                <w:sz w:val="24"/>
                <w:szCs w:val="24"/>
                <w:lang w:val="en-GB" w:eastAsia="zh-TW" w:bidi="ar-SA"/>
              </w:rPr>
              <w:t>项目，利用</w:t>
            </w:r>
            <w:r>
              <w:rPr>
                <w:rFonts w:hint="default" w:ascii="Times New Roman" w:hAnsi="Times New Roman" w:eastAsia="宋体" w:cs="Times New Roman"/>
                <w:color w:val="auto"/>
                <w:kern w:val="2"/>
                <w:sz w:val="24"/>
                <w:szCs w:val="24"/>
                <w:lang w:val="en-US" w:eastAsia="zh-CN" w:bidi="ar-SA"/>
              </w:rPr>
              <w:t>谏壁电厂原有灰场</w:t>
            </w:r>
            <w:r>
              <w:rPr>
                <w:rFonts w:hint="default" w:ascii="Times New Roman" w:hAnsi="Times New Roman" w:eastAsia="宋体" w:cs="Times New Roman"/>
                <w:color w:val="auto"/>
                <w:sz w:val="24"/>
                <w:szCs w:val="24"/>
              </w:rPr>
              <w:t>，充分利用土地</w:t>
            </w:r>
            <w:r>
              <w:rPr>
                <w:rFonts w:hint="eastAsia" w:cs="Times New Roman"/>
                <w:color w:val="0000FF"/>
                <w:sz w:val="24"/>
                <w:szCs w:val="24"/>
                <w:lang w:val="en-US" w:eastAsia="zh-CN"/>
              </w:rPr>
              <w:t>资源</w:t>
            </w:r>
            <w:r>
              <w:rPr>
                <w:rFonts w:hint="default" w:ascii="Times New Roman" w:hAnsi="Times New Roman" w:eastAsia="宋体" w:cs="Times New Roman"/>
                <w:color w:val="auto"/>
                <w:sz w:val="24"/>
                <w:szCs w:val="24"/>
              </w:rPr>
              <w:t>，符合当地规划及产业定位。</w:t>
            </w:r>
          </w:p>
          <w:p>
            <w:pPr>
              <w:keepNext w:val="0"/>
              <w:keepLines w:val="0"/>
              <w:pageBreakBefore w:val="0"/>
              <w:tabs>
                <w:tab w:val="left" w:pos="6645"/>
              </w:tabs>
              <w:kinsoku/>
              <w:wordWrap/>
              <w:overflowPunct/>
              <w:topLinePunct w:val="0"/>
              <w:bidi w:val="0"/>
              <w:adjustRightInd w:val="0"/>
              <w:snapToGrid w:val="0"/>
              <w:spacing w:line="360" w:lineRule="auto"/>
              <w:ind w:firstLine="482" w:firstLineChars="200"/>
              <w:jc w:val="both"/>
              <w:textAlignment w:val="auto"/>
              <w:rPr>
                <w:rFonts w:hint="default" w:ascii="Times New Roman" w:hAnsi="Times New Roman" w:eastAsia="宋体" w:cs="Times New Roman"/>
                <w:b/>
                <w:color w:val="auto"/>
                <w:sz w:val="24"/>
                <w:szCs w:val="24"/>
                <w:highlight w:val="none"/>
                <w:lang w:eastAsia="zh-CN"/>
              </w:rPr>
            </w:pPr>
            <w:r>
              <w:rPr>
                <w:rFonts w:hint="default" w:ascii="Times New Roman" w:hAnsi="Times New Roman" w:eastAsia="宋体" w:cs="Times New Roman"/>
                <w:b/>
                <w:color w:val="auto"/>
                <w:sz w:val="24"/>
                <w:szCs w:val="24"/>
                <w:highlight w:val="none"/>
                <w:lang w:val="en-US" w:eastAsia="zh-CN"/>
              </w:rPr>
              <w:t>5</w:t>
            </w:r>
            <w:r>
              <w:rPr>
                <w:rFonts w:hint="default" w:ascii="Times New Roman" w:hAnsi="Times New Roman" w:eastAsia="宋体" w:cs="Times New Roman"/>
                <w:b/>
                <w:color w:val="auto"/>
                <w:sz w:val="24"/>
                <w:szCs w:val="24"/>
                <w:highlight w:val="none"/>
                <w:lang w:eastAsia="zh-CN"/>
              </w:rPr>
              <w:t>、选址可行性分析</w:t>
            </w:r>
          </w:p>
          <w:p>
            <w:pPr>
              <w:pStyle w:val="29"/>
              <w:keepNext w:val="0"/>
              <w:keepLines w:val="0"/>
              <w:pageBreakBefore w:val="0"/>
              <w:kinsoku/>
              <w:wordWrap/>
              <w:overflowPunct/>
              <w:topLinePunct w:val="0"/>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（1）交通条件</w:t>
            </w:r>
          </w:p>
          <w:p>
            <w:pPr>
              <w:keepNext w:val="0"/>
              <w:keepLines w:val="0"/>
              <w:pageBreakBefore w:val="0"/>
              <w:widowControl/>
              <w:kinsoku/>
              <w:wordWrap/>
              <w:overflowPunct/>
              <w:topLinePunct w:val="0"/>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本工程位于</w:t>
            </w:r>
            <w:r>
              <w:rPr>
                <w:rFonts w:hint="default" w:ascii="Times New Roman" w:hAnsi="Times New Roman" w:eastAsia="宋体" w:cs="Times New Roman"/>
                <w:color w:val="auto"/>
                <w:sz w:val="24"/>
                <w:szCs w:val="24"/>
                <w:highlight w:val="none"/>
                <w:lang w:val="en-US" w:eastAsia="zh-CN"/>
              </w:rPr>
              <w:t>丹阳市埤城镇和镇江新区丁岗镇交界处</w:t>
            </w:r>
            <w:r>
              <w:rPr>
                <w:rFonts w:hint="default" w:ascii="Times New Roman" w:hAnsi="Times New Roman" w:eastAsia="宋体" w:cs="Times New Roman"/>
                <w:color w:val="auto"/>
                <w:kern w:val="0"/>
                <w:sz w:val="24"/>
                <w:szCs w:val="24"/>
              </w:rPr>
              <w:t>，西</w:t>
            </w:r>
            <w:r>
              <w:rPr>
                <w:rFonts w:hint="default" w:ascii="Times New Roman" w:hAnsi="Times New Roman" w:eastAsia="宋体" w:cs="Times New Roman"/>
                <w:color w:val="auto"/>
                <w:kern w:val="0"/>
                <w:sz w:val="24"/>
                <w:szCs w:val="24"/>
                <w:lang w:val="en-US" w:eastAsia="zh-CN"/>
              </w:rPr>
              <w:t>南</w:t>
            </w:r>
            <w:r>
              <w:rPr>
                <w:rFonts w:hint="default" w:ascii="Times New Roman" w:hAnsi="Times New Roman" w:eastAsia="宋体" w:cs="Times New Roman"/>
                <w:color w:val="auto"/>
                <w:kern w:val="0"/>
                <w:sz w:val="24"/>
                <w:szCs w:val="24"/>
              </w:rPr>
              <w:t>侧紧挨着现有运灰渣道路，距</w:t>
            </w:r>
            <w:r>
              <w:rPr>
                <w:rFonts w:hint="eastAsia" w:cs="Times New Roman"/>
                <w:color w:val="auto"/>
                <w:kern w:val="0"/>
                <w:sz w:val="24"/>
                <w:szCs w:val="24"/>
                <w:lang w:val="en-US" w:eastAsia="zh-CN"/>
              </w:rPr>
              <w:t>泰镇</w:t>
            </w:r>
            <w:r>
              <w:rPr>
                <w:rFonts w:hint="default" w:ascii="Times New Roman" w:hAnsi="Times New Roman" w:eastAsia="宋体" w:cs="Times New Roman"/>
                <w:color w:val="auto"/>
                <w:kern w:val="0"/>
                <w:sz w:val="24"/>
                <w:szCs w:val="24"/>
              </w:rPr>
              <w:t>高速直线距离约</w:t>
            </w:r>
            <w:r>
              <w:rPr>
                <w:rFonts w:hint="default" w:ascii="Times New Roman" w:hAnsi="Times New Roman" w:eastAsia="宋体" w:cs="Times New Roman"/>
                <w:color w:val="auto"/>
                <w:kern w:val="0"/>
                <w:sz w:val="24"/>
                <w:szCs w:val="24"/>
                <w:lang w:val="en-US" w:eastAsia="zh-CN"/>
              </w:rPr>
              <w:t>440</w:t>
            </w:r>
            <w:r>
              <w:rPr>
                <w:rFonts w:hint="default" w:ascii="Times New Roman" w:hAnsi="Times New Roman" w:eastAsia="宋体" w:cs="Times New Roman"/>
                <w:color w:val="auto"/>
                <w:kern w:val="0"/>
                <w:sz w:val="24"/>
                <w:szCs w:val="24"/>
              </w:rPr>
              <w:t>m，现状交通条件较好。</w:t>
            </w:r>
          </w:p>
          <w:p>
            <w:pPr>
              <w:pStyle w:val="29"/>
              <w:keepNext w:val="0"/>
              <w:keepLines w:val="0"/>
              <w:pageBreakBefore w:val="0"/>
              <w:kinsoku/>
              <w:wordWrap/>
              <w:overflowPunct/>
              <w:topLinePunct w:val="0"/>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（2）光辐射资源</w:t>
            </w:r>
          </w:p>
          <w:p>
            <w:pPr>
              <w:keepNext w:val="0"/>
              <w:keepLines w:val="0"/>
              <w:pageBreakBefore w:val="0"/>
              <w:widowControl w:val="0"/>
              <w:tabs>
                <w:tab w:val="left" w:pos="1200"/>
              </w:tabs>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w:t>
            </w:r>
            <w:r>
              <w:rPr>
                <w:rFonts w:hint="default" w:ascii="Times New Roman" w:hAnsi="Times New Roman" w:eastAsia="宋体" w:cs="Times New Roman"/>
                <w:color w:val="auto"/>
                <w:sz w:val="24"/>
                <w:szCs w:val="24"/>
                <w:lang w:val="en-US" w:eastAsia="zh-CN"/>
              </w:rPr>
              <w:t>位于</w:t>
            </w:r>
            <w:r>
              <w:rPr>
                <w:rFonts w:hint="default" w:ascii="Times New Roman" w:hAnsi="Times New Roman" w:eastAsia="宋体" w:cs="Times New Roman"/>
                <w:color w:val="auto"/>
                <w:sz w:val="24"/>
                <w:szCs w:val="24"/>
                <w:highlight w:val="none"/>
                <w:lang w:val="en-US" w:eastAsia="zh-CN"/>
              </w:rPr>
              <w:t>丹阳市埤城镇和镇江新区丁岗镇交界处，利用国家能源集团谏壁发电厂的配套灰场</w:t>
            </w:r>
            <w:r>
              <w:rPr>
                <w:rFonts w:hint="default" w:ascii="Times New Roman" w:hAnsi="Times New Roman" w:eastAsia="宋体" w:cs="Times New Roman"/>
                <w:color w:val="auto"/>
                <w:sz w:val="24"/>
                <w:szCs w:val="24"/>
              </w:rPr>
              <w:t>进行建设。本项目站址</w:t>
            </w:r>
            <w:r>
              <w:rPr>
                <w:rFonts w:hint="default" w:ascii="Times New Roman" w:hAnsi="Times New Roman" w:eastAsia="宋体" w:cs="Times New Roman"/>
                <w:color w:val="auto"/>
                <w:sz w:val="24"/>
                <w:szCs w:val="24"/>
                <w:lang w:val="en-US" w:eastAsia="zh-CN"/>
              </w:rPr>
              <w:t>中心</w:t>
            </w:r>
            <w:r>
              <w:rPr>
                <w:rFonts w:hint="default" w:ascii="Times New Roman" w:hAnsi="Times New Roman" w:eastAsia="宋体" w:cs="Times New Roman"/>
                <w:color w:val="auto"/>
                <w:sz w:val="24"/>
                <w:szCs w:val="24"/>
              </w:rPr>
              <w:t>位于北纬</w:t>
            </w:r>
            <w:r>
              <w:rPr>
                <w:rFonts w:hint="default" w:ascii="Times New Roman" w:hAnsi="Times New Roman" w:eastAsia="宋体" w:cs="Times New Roman"/>
                <w:color w:val="auto"/>
                <w:sz w:val="24"/>
                <w:szCs w:val="24"/>
                <w:lang w:val="en-US" w:eastAsia="zh-CN"/>
              </w:rPr>
              <w:t>32.0878</w:t>
            </w:r>
            <w:r>
              <w:rPr>
                <w:rFonts w:hint="default" w:ascii="Times New Roman" w:hAnsi="Times New Roman" w:eastAsia="宋体" w:cs="Times New Roman"/>
                <w:color w:val="auto"/>
                <w:sz w:val="24"/>
                <w:szCs w:val="24"/>
              </w:rPr>
              <w:t>°，东经</w:t>
            </w:r>
            <w:r>
              <w:rPr>
                <w:rFonts w:hint="default" w:ascii="Times New Roman" w:hAnsi="Times New Roman" w:eastAsia="宋体" w:cs="Times New Roman"/>
                <w:color w:val="auto"/>
                <w:sz w:val="24"/>
                <w:szCs w:val="24"/>
                <w:lang w:val="en-US" w:eastAsia="zh-CN"/>
              </w:rPr>
              <w:t>119.6672</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太阳辐射统计采用</w:t>
            </w:r>
            <w:r>
              <w:rPr>
                <w:rFonts w:hint="default" w:ascii="Times New Roman" w:hAnsi="Times New Roman" w:eastAsia="宋体" w:cs="Times New Roman"/>
                <w:snapToGrid w:val="0"/>
                <w:color w:val="auto"/>
                <w:sz w:val="24"/>
                <w:szCs w:val="24"/>
              </w:rPr>
              <w:t>Meteonorm软件推算</w:t>
            </w:r>
            <w:r>
              <w:rPr>
                <w:rFonts w:hint="default" w:ascii="Times New Roman" w:hAnsi="Times New Roman" w:eastAsia="宋体" w:cs="Times New Roman"/>
                <w:color w:val="auto"/>
                <w:sz w:val="24"/>
                <w:szCs w:val="24"/>
              </w:rPr>
              <w:t>数据，站址区域多年平均太阳辐射量为</w:t>
            </w:r>
            <w:r>
              <w:rPr>
                <w:rFonts w:hint="default" w:ascii="Times New Roman" w:hAnsi="Times New Roman" w:eastAsia="宋体" w:cs="Times New Roman"/>
                <w:snapToGrid w:val="0"/>
                <w:color w:val="auto"/>
                <w:sz w:val="24"/>
                <w:szCs w:val="24"/>
              </w:rPr>
              <w:t>4492.8</w:t>
            </w:r>
            <w:r>
              <w:rPr>
                <w:rFonts w:hint="default" w:ascii="Times New Roman" w:hAnsi="Times New Roman" w:eastAsia="宋体" w:cs="Times New Roman"/>
                <w:color w:val="auto"/>
                <w:sz w:val="24"/>
                <w:szCs w:val="24"/>
              </w:rPr>
              <w:t>MJ/m</w:t>
            </w:r>
            <w:r>
              <w:rPr>
                <w:rFonts w:hint="default" w:ascii="Times New Roman" w:hAnsi="Times New Roman" w:eastAsia="宋体" w:cs="Times New Roman"/>
                <w:color w:val="auto"/>
                <w:sz w:val="24"/>
                <w:szCs w:val="24"/>
                <w:vertAlign w:val="superscript"/>
              </w:rPr>
              <w:t>2</w:t>
            </w:r>
            <w:r>
              <w:rPr>
                <w:rFonts w:hint="default" w:ascii="Times New Roman" w:hAnsi="Times New Roman" w:eastAsia="宋体" w:cs="Times New Roman"/>
                <w:color w:val="auto"/>
                <w:sz w:val="24"/>
                <w:szCs w:val="24"/>
              </w:rPr>
              <w:t>。从全国太阳辐射资源分布情况来看，项目地太阳辐射属于资源较丰富区。</w:t>
            </w:r>
          </w:p>
          <w:p>
            <w:pPr>
              <w:pStyle w:val="29"/>
              <w:keepNext w:val="0"/>
              <w:keepLines w:val="0"/>
              <w:pageBreakBefore w:val="0"/>
              <w:kinsoku/>
              <w:wordWrap/>
              <w:overflowPunct/>
              <w:topLinePunct w:val="0"/>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rPr>
              <w:t>）环境条件</w:t>
            </w:r>
          </w:p>
          <w:p>
            <w:pPr>
              <w:keepNext w:val="0"/>
              <w:keepLines w:val="0"/>
              <w:pageBreakBefore w:val="0"/>
              <w:kinsoku/>
              <w:wordWrap/>
              <w:overflowPunct/>
              <w:topLinePunct w:val="0"/>
              <w:autoSpaceDE w:val="0"/>
              <w:autoSpaceDN w:val="0"/>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拟建场区地形开阔平坦，周围无高大建筑物，不会产生遮光等不利于光伏发电的情况，最大程度发挥太阳能资源优势。</w:t>
            </w:r>
          </w:p>
          <w:p>
            <w:pPr>
              <w:keepNext w:val="0"/>
              <w:keepLines w:val="0"/>
              <w:pageBreakBefore w:val="0"/>
              <w:kinsoku/>
              <w:wordWrap/>
              <w:overflowPunct/>
              <w:topLinePunct w:val="0"/>
              <w:autoSpaceDE w:val="0"/>
              <w:autoSpaceDN w:val="0"/>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w:t>
            </w:r>
            <w:r>
              <w:rPr>
                <w:rFonts w:hint="default" w:ascii="Times New Roman" w:hAnsi="Times New Roman" w:eastAsia="宋体" w:cs="Times New Roman"/>
                <w:color w:val="auto"/>
                <w:kern w:val="0"/>
                <w:sz w:val="24"/>
                <w:szCs w:val="24"/>
                <w:lang w:val="en-US" w:eastAsia="zh-CN"/>
              </w:rPr>
              <w:t>4</w:t>
            </w:r>
            <w:r>
              <w:rPr>
                <w:rFonts w:hint="default" w:ascii="Times New Roman" w:hAnsi="Times New Roman" w:eastAsia="宋体" w:cs="Times New Roman"/>
                <w:color w:val="auto"/>
                <w:kern w:val="0"/>
                <w:sz w:val="24"/>
                <w:szCs w:val="24"/>
              </w:rPr>
              <w:t>）生态环境</w:t>
            </w:r>
          </w:p>
          <w:p>
            <w:pPr>
              <w:pStyle w:val="172"/>
              <w:keepNext w:val="0"/>
              <w:keepLines w:val="0"/>
              <w:pageBreakBefore w:val="0"/>
              <w:kinsoku/>
              <w:wordWrap/>
              <w:overflowPunct/>
              <w:topLinePunct w:val="0"/>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0000FF"/>
                <w:kern w:val="0"/>
                <w:sz w:val="24"/>
                <w:szCs w:val="24"/>
              </w:rPr>
              <w:t>本工程</w:t>
            </w:r>
            <w:r>
              <w:rPr>
                <w:rFonts w:hint="default" w:ascii="Times New Roman" w:hAnsi="Times New Roman" w:eastAsia="宋体" w:cs="Times New Roman"/>
                <w:color w:val="0000FF"/>
                <w:sz w:val="24"/>
                <w:szCs w:val="24"/>
              </w:rPr>
              <w:t>场址占地远离军事设施、机场及人口密集区，</w:t>
            </w:r>
            <w:r>
              <w:rPr>
                <w:rFonts w:hint="default" w:ascii="Times New Roman" w:hAnsi="Times New Roman" w:eastAsia="宋体" w:cs="Times New Roman"/>
                <w:color w:val="0000FF"/>
                <w:kern w:val="0"/>
                <w:sz w:val="24"/>
                <w:szCs w:val="24"/>
              </w:rPr>
              <w:t>临近省生态空间管控区域“齐梁文化风景名胜区”，本工程所在区域为建设用地，其建设、运行均对周边生态环境影响较小。因此，从环境保护及生态影响角度考虑，选址合理。</w:t>
            </w:r>
          </w:p>
          <w:p>
            <w:pPr>
              <w:keepNext w:val="0"/>
              <w:keepLines w:val="0"/>
              <w:pageBreakBefore w:val="0"/>
              <w:tabs>
                <w:tab w:val="left" w:pos="6645"/>
              </w:tabs>
              <w:kinsoku/>
              <w:wordWrap/>
              <w:overflowPunct/>
              <w:topLinePunct w:val="0"/>
              <w:bidi w:val="0"/>
              <w:adjustRightInd w:val="0"/>
              <w:snapToGrid w:val="0"/>
              <w:spacing w:line="360" w:lineRule="auto"/>
              <w:ind w:firstLine="482" w:firstLineChars="200"/>
              <w:jc w:val="both"/>
              <w:textAlignment w:val="auto"/>
              <w:rPr>
                <w:rFonts w:hint="default" w:ascii="Times New Roman" w:hAnsi="Times New Roman" w:eastAsia="宋体" w:cs="Times New Roman"/>
                <w:b/>
                <w:color w:val="auto"/>
                <w:sz w:val="24"/>
                <w:szCs w:val="24"/>
                <w:highlight w:val="none"/>
                <w:lang w:val="en-US" w:eastAsia="zh-CN"/>
              </w:rPr>
            </w:pPr>
            <w:bookmarkStart w:id="4" w:name="_Toc438135158"/>
            <w:r>
              <w:rPr>
                <w:rFonts w:hint="eastAsia" w:ascii="Times New Roman" w:hAnsi="Times New Roman" w:cs="Times New Roman"/>
                <w:b/>
                <w:color w:val="auto"/>
                <w:sz w:val="24"/>
                <w:szCs w:val="24"/>
                <w:highlight w:val="none"/>
                <w:lang w:val="en-US" w:eastAsia="zh-CN"/>
              </w:rPr>
              <w:t>6、</w:t>
            </w:r>
            <w:r>
              <w:rPr>
                <w:rFonts w:hint="default" w:ascii="Times New Roman" w:hAnsi="Times New Roman" w:eastAsia="宋体" w:cs="Times New Roman"/>
                <w:b/>
                <w:color w:val="auto"/>
                <w:sz w:val="24"/>
                <w:szCs w:val="24"/>
                <w:highlight w:val="none"/>
                <w:lang w:val="en-US" w:eastAsia="zh-CN"/>
              </w:rPr>
              <w:t>总平面布置</w:t>
            </w:r>
          </w:p>
          <w:p>
            <w:pPr>
              <w:keepNext w:val="0"/>
              <w:keepLines w:val="0"/>
              <w:pageBreakBefore w:val="0"/>
              <w:widowControl/>
              <w:kinsoku/>
              <w:wordWrap/>
              <w:overflowPunct/>
              <w:topLinePunct w:val="0"/>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拟建站址贞观山灰场内光伏用地面积为27.384×10</w:t>
            </w:r>
            <w:r>
              <w:rPr>
                <w:rFonts w:hint="default" w:ascii="Times New Roman" w:hAnsi="Times New Roman" w:eastAsia="宋体" w:cs="Times New Roman"/>
                <w:color w:val="auto"/>
                <w:sz w:val="24"/>
                <w:szCs w:val="24"/>
                <w:vertAlign w:val="superscript"/>
              </w:rPr>
              <w:t>4</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2</w:t>
            </w:r>
            <w:r>
              <w:rPr>
                <w:rFonts w:hint="default" w:ascii="Times New Roman" w:hAnsi="Times New Roman" w:eastAsia="宋体" w:cs="Times New Roman"/>
                <w:color w:val="auto"/>
                <w:sz w:val="24"/>
                <w:szCs w:val="24"/>
              </w:rPr>
              <w:t>，灰坝上光伏用地面积为5.186×10</w:t>
            </w:r>
            <w:r>
              <w:rPr>
                <w:rFonts w:hint="default" w:ascii="Times New Roman" w:hAnsi="Times New Roman" w:eastAsia="宋体" w:cs="Times New Roman"/>
                <w:color w:val="auto"/>
                <w:sz w:val="24"/>
                <w:szCs w:val="24"/>
                <w:vertAlign w:val="superscript"/>
              </w:rPr>
              <w:t>4</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2</w:t>
            </w:r>
            <w:r>
              <w:rPr>
                <w:rFonts w:hint="default" w:ascii="Times New Roman" w:hAnsi="Times New Roman" w:eastAsia="宋体" w:cs="Times New Roman"/>
                <w:color w:val="auto"/>
                <w:sz w:val="24"/>
                <w:szCs w:val="24"/>
              </w:rPr>
              <w:t>，</w:t>
            </w:r>
            <w:r>
              <w:rPr>
                <w:rFonts w:hint="eastAsia" w:cs="Times New Roman"/>
                <w:color w:val="auto"/>
                <w:sz w:val="24"/>
                <w:szCs w:val="24"/>
                <w:lang w:val="en-US" w:eastAsia="zh-CN"/>
              </w:rPr>
              <w:t>35kV</w:t>
            </w:r>
            <w:r>
              <w:rPr>
                <w:rFonts w:hint="default" w:ascii="Times New Roman" w:hAnsi="Times New Roman" w:eastAsia="宋体" w:cs="Times New Roman"/>
                <w:color w:val="auto"/>
                <w:sz w:val="24"/>
                <w:szCs w:val="24"/>
              </w:rPr>
              <w:t>开关站位于灰坝外东侧的废弃泵站内，用地面积为0.12×10</w:t>
            </w:r>
            <w:r>
              <w:rPr>
                <w:rFonts w:hint="default" w:ascii="Times New Roman" w:hAnsi="Times New Roman" w:eastAsia="宋体" w:cs="Times New Roman"/>
                <w:color w:val="auto"/>
                <w:sz w:val="24"/>
                <w:szCs w:val="24"/>
                <w:vertAlign w:val="superscript"/>
              </w:rPr>
              <w:t>4</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2</w:t>
            </w:r>
            <w:r>
              <w:rPr>
                <w:rFonts w:hint="default" w:ascii="Times New Roman" w:hAnsi="Times New Roman" w:eastAsia="宋体" w:cs="Times New Roman"/>
                <w:color w:val="auto"/>
                <w:sz w:val="24"/>
                <w:szCs w:val="24"/>
              </w:rPr>
              <w:t>，全厂用地面积32.69×10</w:t>
            </w:r>
            <w:r>
              <w:rPr>
                <w:rFonts w:hint="default" w:ascii="Times New Roman" w:hAnsi="Times New Roman" w:eastAsia="宋体" w:cs="Times New Roman"/>
                <w:color w:val="auto"/>
                <w:sz w:val="24"/>
                <w:szCs w:val="24"/>
                <w:vertAlign w:val="superscript"/>
              </w:rPr>
              <w:t>4</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2</w:t>
            </w:r>
            <w:r>
              <w:rPr>
                <w:rFonts w:hint="default" w:ascii="Times New Roman" w:hAnsi="Times New Roman" w:eastAsia="宋体" w:cs="Times New Roman"/>
                <w:color w:val="auto"/>
                <w:sz w:val="24"/>
                <w:szCs w:val="24"/>
              </w:rPr>
              <w:t>。</w:t>
            </w:r>
          </w:p>
          <w:p>
            <w:pPr>
              <w:keepNext w:val="0"/>
              <w:keepLines w:val="0"/>
              <w:pageBreakBefore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sz w:val="24"/>
                <w:szCs w:val="24"/>
              </w:rPr>
              <w:t>光伏区的布置根据不同的地形情况因地制宜，分为三种电池组模块，分别是布置54块电池组件的标准模块，布置18块电池组件的1/3模块以及单块电池组件的模块。</w:t>
            </w:r>
            <w:r>
              <w:rPr>
                <w:rFonts w:hint="default" w:ascii="Times New Roman" w:hAnsi="Times New Roman" w:eastAsia="宋体" w:cs="Times New Roman"/>
                <w:color w:val="auto"/>
                <w:kern w:val="0"/>
                <w:sz w:val="24"/>
                <w:szCs w:val="24"/>
              </w:rPr>
              <w:t>全站共布置有730块标准模块、1450块1/3模块，</w:t>
            </w:r>
            <w:r>
              <w:rPr>
                <w:rFonts w:hint="default" w:ascii="Times New Roman" w:hAnsi="Times New Roman" w:eastAsia="宋体" w:cs="Times New Roman"/>
                <w:color w:val="auto"/>
                <w:sz w:val="24"/>
                <w:szCs w:val="24"/>
              </w:rPr>
              <w:t>共2180个支架，</w:t>
            </w:r>
            <w:r>
              <w:rPr>
                <w:rFonts w:hint="default" w:ascii="Times New Roman" w:hAnsi="Times New Roman" w:eastAsia="宋体" w:cs="Times New Roman"/>
                <w:color w:val="auto"/>
                <w:kern w:val="0"/>
                <w:sz w:val="24"/>
                <w:szCs w:val="24"/>
              </w:rPr>
              <w:t>以及13071块单块组件模块</w:t>
            </w:r>
            <w:r>
              <w:rPr>
                <w:rFonts w:hint="eastAsia" w:cs="Times New Roman"/>
                <w:color w:val="auto"/>
                <w:kern w:val="0"/>
                <w:sz w:val="24"/>
                <w:szCs w:val="24"/>
                <w:lang w:eastAsia="zh-CN"/>
              </w:rPr>
              <w:t>（</w:t>
            </w:r>
            <w:r>
              <w:rPr>
                <w:rFonts w:hint="default" w:ascii="Times New Roman" w:hAnsi="Times New Roman" w:eastAsia="宋体" w:cs="Times New Roman"/>
                <w:color w:val="auto"/>
                <w:kern w:val="0"/>
                <w:sz w:val="24"/>
                <w:szCs w:val="24"/>
              </w:rPr>
              <w:t>平铺</w:t>
            </w:r>
            <w:r>
              <w:rPr>
                <w:rFonts w:hint="eastAsia" w:cs="Times New Roman"/>
                <w:color w:val="auto"/>
                <w:kern w:val="0"/>
                <w:sz w:val="24"/>
                <w:szCs w:val="24"/>
                <w:lang w:eastAsia="zh-CN"/>
              </w:rPr>
              <w:t>）</w:t>
            </w:r>
            <w:r>
              <w:rPr>
                <w:rFonts w:hint="default" w:ascii="Times New Roman" w:hAnsi="Times New Roman" w:eastAsia="宋体" w:cs="Times New Roman"/>
                <w:color w:val="auto"/>
                <w:kern w:val="0"/>
                <w:sz w:val="24"/>
                <w:szCs w:val="24"/>
              </w:rPr>
              <w:t>。</w:t>
            </w:r>
          </w:p>
          <w:p>
            <w:pPr>
              <w:keepNext w:val="0"/>
              <w:keepLines w:val="0"/>
              <w:pageBreakBefore w:val="0"/>
              <w:widowControl/>
              <w:kinsoku/>
              <w:wordWrap/>
              <w:overflowPunct/>
              <w:topLinePunct w:val="0"/>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灰场区内主要布置标准模块和1/3模块。标准模块长度27.65m，适用于东西方向平缓的地形</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坡度不大于2%</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，主要集中在灰场中部；1/3模块长度9.22m，适用于东西方向坡度较小的地形</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坡度2-5%</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，集中在灰场内东西两侧靠近山体或灰坝处。</w:t>
            </w:r>
          </w:p>
          <w:p>
            <w:pPr>
              <w:keepNext w:val="0"/>
              <w:keepLines w:val="0"/>
              <w:pageBreakBefore w:val="0"/>
              <w:widowControl/>
              <w:kinsoku/>
              <w:wordWrap/>
              <w:overflowPunct/>
              <w:topLinePunct w:val="0"/>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东南方向和西南方向灰坝上平铺单块电池组件，每隔24块电池组件</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约24m</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设2m宽的纵向通道，横向每隔4块电池组件</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约8m</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设1m宽的步行通道。</w:t>
            </w:r>
          </w:p>
          <w:p>
            <w:pPr>
              <w:keepNext w:val="0"/>
              <w:keepLines w:val="0"/>
              <w:pageBreakBefore w:val="0"/>
              <w:widowControl/>
              <w:kinsoku/>
              <w:wordWrap/>
              <w:overflowPunct/>
              <w:topLinePunct w:val="0"/>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东南方向灰坝底部地势平缓处，布置1/3模块。</w:t>
            </w:r>
          </w:p>
          <w:p>
            <w:pPr>
              <w:keepNext w:val="0"/>
              <w:keepLines w:val="0"/>
              <w:pageBreakBefore w:val="0"/>
              <w:widowControl/>
              <w:kinsoku/>
              <w:wordWrap/>
              <w:overflowPunct/>
              <w:topLinePunct w:val="0"/>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整个光伏电站分散布置9台箱逆变一体机。</w:t>
            </w:r>
          </w:p>
          <w:p>
            <w:pPr>
              <w:keepNext w:val="0"/>
              <w:keepLines w:val="0"/>
              <w:pageBreakBefore w:val="0"/>
              <w:widowControl/>
              <w:kinsoku/>
              <w:wordWrap/>
              <w:overflowPunct/>
              <w:topLinePunct w:val="0"/>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rPr>
            </w:pPr>
            <w:r>
              <w:rPr>
                <w:rFonts w:hint="eastAsia" w:cs="Times New Roman"/>
                <w:color w:val="auto"/>
                <w:sz w:val="24"/>
                <w:szCs w:val="24"/>
                <w:lang w:val="en-US" w:eastAsia="zh-CN"/>
              </w:rPr>
              <w:t>35kV</w:t>
            </w:r>
            <w:r>
              <w:rPr>
                <w:rFonts w:hint="default" w:ascii="Times New Roman" w:hAnsi="Times New Roman" w:eastAsia="宋体" w:cs="Times New Roman"/>
                <w:color w:val="auto"/>
                <w:sz w:val="24"/>
                <w:szCs w:val="24"/>
              </w:rPr>
              <w:t>开关站区布置在灰坝外东侧</w:t>
            </w:r>
            <w:r>
              <w:rPr>
                <w:rFonts w:hint="eastAsia" w:cs="Times New Roman"/>
                <w:color w:val="auto"/>
                <w:sz w:val="24"/>
                <w:szCs w:val="24"/>
                <w:lang w:val="en-US" w:eastAsia="zh-CN"/>
              </w:rPr>
              <w:t>的</w:t>
            </w:r>
            <w:r>
              <w:rPr>
                <w:rFonts w:hint="default" w:ascii="Times New Roman" w:hAnsi="Times New Roman" w:eastAsia="宋体" w:cs="Times New Roman"/>
                <w:color w:val="auto"/>
                <w:sz w:val="24"/>
                <w:szCs w:val="24"/>
              </w:rPr>
              <w:t>废弃泵站里，布置有：配电舱、SVG舱、低压配电舱、控制舱。</w:t>
            </w:r>
          </w:p>
          <w:p>
            <w:pPr>
              <w:pStyle w:val="29"/>
              <w:keepNext w:val="0"/>
              <w:keepLines w:val="0"/>
              <w:pageBreakBefore w:val="0"/>
              <w:kinsoku/>
              <w:wordWrap/>
              <w:overflowPunct/>
              <w:topLinePunct w:val="0"/>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本工程</w:t>
            </w:r>
            <w:r>
              <w:rPr>
                <w:rFonts w:hint="eastAsia" w:ascii="Times New Roman" w:cs="Times New Roman"/>
                <w:color w:val="auto"/>
                <w:sz w:val="24"/>
                <w:szCs w:val="24"/>
                <w:lang w:val="en-US" w:eastAsia="zh-CN"/>
              </w:rPr>
              <w:t>光伏区</w:t>
            </w:r>
            <w:r>
              <w:rPr>
                <w:rFonts w:hint="default" w:ascii="Times New Roman" w:hAnsi="Times New Roman" w:eastAsia="宋体" w:cs="Times New Roman"/>
                <w:color w:val="auto"/>
                <w:sz w:val="24"/>
                <w:szCs w:val="24"/>
              </w:rPr>
              <w:t>总平面布置图见</w:t>
            </w:r>
            <w:r>
              <w:rPr>
                <w:rFonts w:hint="eastAsia" w:ascii="Times New Roman" w:cs="Times New Roman"/>
                <w:color w:val="auto"/>
                <w:sz w:val="24"/>
                <w:szCs w:val="24"/>
                <w:lang w:val="en-US" w:eastAsia="zh-CN"/>
              </w:rPr>
              <w:t>附图3</w:t>
            </w:r>
            <w:r>
              <w:rPr>
                <w:rFonts w:hint="default" w:ascii="Times New Roman" w:hAnsi="Times New Roman" w:eastAsia="宋体" w:cs="Times New Roman"/>
                <w:color w:val="auto"/>
                <w:sz w:val="24"/>
                <w:szCs w:val="24"/>
              </w:rPr>
              <w:t>；场界拐点坐标见表</w:t>
            </w:r>
            <w:r>
              <w:rPr>
                <w:rFonts w:hint="eastAsia" w:ascii="Times New Roman" w:cs="Times New Roman"/>
                <w:color w:val="auto"/>
                <w:sz w:val="24"/>
                <w:szCs w:val="24"/>
                <w:lang w:val="en-US" w:eastAsia="zh-CN"/>
              </w:rPr>
              <w:t>6</w:t>
            </w:r>
            <w:r>
              <w:rPr>
                <w:rFonts w:hint="default" w:ascii="Times New Roman" w:hAnsi="Times New Roman" w:eastAsia="宋体" w:cs="Times New Roman"/>
                <w:color w:val="auto"/>
                <w:sz w:val="24"/>
                <w:szCs w:val="24"/>
              </w:rPr>
              <w:t>，技术经济指标见表</w:t>
            </w:r>
            <w:r>
              <w:rPr>
                <w:rFonts w:hint="eastAsia" w:ascii="Times New Roman" w:cs="Times New Roman"/>
                <w:color w:val="auto"/>
                <w:sz w:val="24"/>
                <w:szCs w:val="24"/>
                <w:lang w:val="en-US" w:eastAsia="zh-CN"/>
              </w:rPr>
              <w:t>7</w:t>
            </w:r>
            <w:r>
              <w:rPr>
                <w:rFonts w:hint="default" w:ascii="Times New Roman" w:hAnsi="Times New Roman" w:eastAsia="宋体" w:cs="Times New Roman"/>
                <w:color w:val="auto"/>
                <w:sz w:val="24"/>
                <w:szCs w:val="24"/>
              </w:rPr>
              <w:t>。</w:t>
            </w:r>
          </w:p>
          <w:p>
            <w:pPr>
              <w:pStyle w:val="29"/>
              <w:keepNext w:val="0"/>
              <w:keepLines w:val="0"/>
              <w:pageBreakBefore w:val="0"/>
              <w:kinsoku/>
              <w:wordWrap/>
              <w:overflowPunct/>
              <w:topLinePunct w:val="0"/>
              <w:bidi w:val="0"/>
              <w:adjustRightInd w:val="0"/>
              <w:snapToGrid w:val="0"/>
              <w:spacing w:line="360" w:lineRule="auto"/>
              <w:ind w:firstLine="482" w:firstLineChars="200"/>
              <w:jc w:val="center"/>
              <w:textAlignment w:val="auto"/>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表</w:t>
            </w:r>
            <w:r>
              <w:rPr>
                <w:rFonts w:hint="eastAsia" w:ascii="Times New Roman" w:cs="Times New Roman"/>
                <w:b/>
                <w:color w:val="auto"/>
                <w:sz w:val="24"/>
                <w:szCs w:val="24"/>
                <w:lang w:val="en-US" w:eastAsia="zh-CN"/>
              </w:rPr>
              <w:t xml:space="preserve">6 </w:t>
            </w:r>
            <w:r>
              <w:rPr>
                <w:rFonts w:hint="default" w:ascii="Times New Roman" w:hAnsi="Times New Roman" w:eastAsia="宋体" w:cs="Times New Roman"/>
                <w:b/>
                <w:color w:val="auto"/>
                <w:sz w:val="24"/>
                <w:szCs w:val="24"/>
              </w:rPr>
              <w:t>本工程场界拐点坐标</w:t>
            </w:r>
          </w:p>
          <w:tbl>
            <w:tblPr>
              <w:tblStyle w:val="30"/>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766"/>
              <w:gridCol w:w="1959"/>
              <w:gridCol w:w="1959"/>
              <w:gridCol w:w="822"/>
              <w:gridCol w:w="1934"/>
              <w:gridCol w:w="154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trPr>
              <w:tc>
                <w:tcPr>
                  <w:tcW w:w="42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点号</w:t>
                  </w:r>
                </w:p>
              </w:tc>
              <w:tc>
                <w:tcPr>
                  <w:tcW w:w="10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X</w:t>
                  </w:r>
                </w:p>
              </w:tc>
              <w:tc>
                <w:tcPr>
                  <w:tcW w:w="10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Y</w:t>
                  </w:r>
                </w:p>
              </w:tc>
              <w:tc>
                <w:tcPr>
                  <w:tcW w:w="45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点号</w:t>
                  </w:r>
                </w:p>
              </w:tc>
              <w:tc>
                <w:tcPr>
                  <w:tcW w:w="107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X</w:t>
                  </w:r>
                </w:p>
              </w:tc>
              <w:tc>
                <w:tcPr>
                  <w:tcW w:w="85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Y</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0" w:hRule="atLeast"/>
              </w:trPr>
              <w:tc>
                <w:tcPr>
                  <w:tcW w:w="42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1</w:t>
                  </w:r>
                </w:p>
              </w:tc>
              <w:tc>
                <w:tcPr>
                  <w:tcW w:w="10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3553222.668</w:t>
                  </w:r>
                </w:p>
              </w:tc>
              <w:tc>
                <w:tcPr>
                  <w:tcW w:w="10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515171.907</w:t>
                  </w:r>
                </w:p>
              </w:tc>
              <w:tc>
                <w:tcPr>
                  <w:tcW w:w="45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41</w:t>
                  </w:r>
                </w:p>
              </w:tc>
              <w:tc>
                <w:tcPr>
                  <w:tcW w:w="107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3552592.309</w:t>
                  </w:r>
                </w:p>
              </w:tc>
              <w:tc>
                <w:tcPr>
                  <w:tcW w:w="85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514811.559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0" w:hRule="atLeast"/>
              </w:trPr>
              <w:tc>
                <w:tcPr>
                  <w:tcW w:w="42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2</w:t>
                  </w:r>
                </w:p>
              </w:tc>
              <w:tc>
                <w:tcPr>
                  <w:tcW w:w="10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3553235.453</w:t>
                  </w:r>
                </w:p>
              </w:tc>
              <w:tc>
                <w:tcPr>
                  <w:tcW w:w="10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515243.969</w:t>
                  </w:r>
                </w:p>
              </w:tc>
              <w:tc>
                <w:tcPr>
                  <w:tcW w:w="45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42</w:t>
                  </w:r>
                </w:p>
              </w:tc>
              <w:tc>
                <w:tcPr>
                  <w:tcW w:w="107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3526413.581</w:t>
                  </w:r>
                </w:p>
              </w:tc>
              <w:tc>
                <w:tcPr>
                  <w:tcW w:w="85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514809.671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trPr>
              <w:tc>
                <w:tcPr>
                  <w:tcW w:w="42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3</w:t>
                  </w:r>
                </w:p>
              </w:tc>
              <w:tc>
                <w:tcPr>
                  <w:tcW w:w="10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3553202.687</w:t>
                  </w:r>
                </w:p>
              </w:tc>
              <w:tc>
                <w:tcPr>
                  <w:tcW w:w="10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515264.261</w:t>
                  </w:r>
                </w:p>
              </w:tc>
              <w:tc>
                <w:tcPr>
                  <w:tcW w:w="45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43</w:t>
                  </w:r>
                </w:p>
              </w:tc>
              <w:tc>
                <w:tcPr>
                  <w:tcW w:w="107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3552653.358</w:t>
                  </w:r>
                </w:p>
              </w:tc>
              <w:tc>
                <w:tcPr>
                  <w:tcW w:w="85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514791.705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trPr>
              <w:tc>
                <w:tcPr>
                  <w:tcW w:w="42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4</w:t>
                  </w:r>
                </w:p>
              </w:tc>
              <w:tc>
                <w:tcPr>
                  <w:tcW w:w="10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3553181.237</w:t>
                  </w:r>
                </w:p>
              </w:tc>
              <w:tc>
                <w:tcPr>
                  <w:tcW w:w="10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515277.281</w:t>
                  </w:r>
                </w:p>
              </w:tc>
              <w:tc>
                <w:tcPr>
                  <w:tcW w:w="45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44</w:t>
                  </w:r>
                </w:p>
              </w:tc>
              <w:tc>
                <w:tcPr>
                  <w:tcW w:w="107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3552656.783</w:t>
                  </w:r>
                </w:p>
              </w:tc>
              <w:tc>
                <w:tcPr>
                  <w:tcW w:w="85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514762.609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trPr>
              <w:tc>
                <w:tcPr>
                  <w:tcW w:w="42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5</w:t>
                  </w:r>
                </w:p>
              </w:tc>
              <w:tc>
                <w:tcPr>
                  <w:tcW w:w="10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3553144.962</w:t>
                  </w:r>
                </w:p>
              </w:tc>
              <w:tc>
                <w:tcPr>
                  <w:tcW w:w="10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515299.979</w:t>
                  </w:r>
                </w:p>
              </w:tc>
              <w:tc>
                <w:tcPr>
                  <w:tcW w:w="45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45</w:t>
                  </w:r>
                </w:p>
              </w:tc>
              <w:tc>
                <w:tcPr>
                  <w:tcW w:w="107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3552661.483</w:t>
                  </w:r>
                </w:p>
              </w:tc>
              <w:tc>
                <w:tcPr>
                  <w:tcW w:w="85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514753.987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trPr>
              <w:tc>
                <w:tcPr>
                  <w:tcW w:w="42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6</w:t>
                  </w:r>
                </w:p>
              </w:tc>
              <w:tc>
                <w:tcPr>
                  <w:tcW w:w="10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3553095.547</w:t>
                  </w:r>
                </w:p>
              </w:tc>
              <w:tc>
                <w:tcPr>
                  <w:tcW w:w="10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515313.999</w:t>
                  </w:r>
                </w:p>
              </w:tc>
              <w:tc>
                <w:tcPr>
                  <w:tcW w:w="45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46</w:t>
                  </w:r>
                </w:p>
              </w:tc>
              <w:tc>
                <w:tcPr>
                  <w:tcW w:w="107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3552677.533</w:t>
                  </w:r>
                </w:p>
              </w:tc>
              <w:tc>
                <w:tcPr>
                  <w:tcW w:w="85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514758.353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trPr>
              <w:tc>
                <w:tcPr>
                  <w:tcW w:w="42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7</w:t>
                  </w:r>
                </w:p>
              </w:tc>
              <w:tc>
                <w:tcPr>
                  <w:tcW w:w="10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3553072.616</w:t>
                  </w:r>
                </w:p>
              </w:tc>
              <w:tc>
                <w:tcPr>
                  <w:tcW w:w="10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515324.715</w:t>
                  </w:r>
                </w:p>
              </w:tc>
              <w:tc>
                <w:tcPr>
                  <w:tcW w:w="45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47</w:t>
                  </w:r>
                </w:p>
              </w:tc>
              <w:tc>
                <w:tcPr>
                  <w:tcW w:w="107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3552757.851</w:t>
                  </w:r>
                </w:p>
              </w:tc>
              <w:tc>
                <w:tcPr>
                  <w:tcW w:w="85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514796.571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trPr>
              <w:tc>
                <w:tcPr>
                  <w:tcW w:w="42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8</w:t>
                  </w:r>
                </w:p>
              </w:tc>
              <w:tc>
                <w:tcPr>
                  <w:tcW w:w="10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3553058.738</w:t>
                  </w:r>
                </w:p>
              </w:tc>
              <w:tc>
                <w:tcPr>
                  <w:tcW w:w="10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515344.650</w:t>
                  </w:r>
                </w:p>
              </w:tc>
              <w:tc>
                <w:tcPr>
                  <w:tcW w:w="45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48</w:t>
                  </w:r>
                </w:p>
              </w:tc>
              <w:tc>
                <w:tcPr>
                  <w:tcW w:w="107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3552819.131</w:t>
                  </w:r>
                </w:p>
              </w:tc>
              <w:tc>
                <w:tcPr>
                  <w:tcW w:w="85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514826.556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trPr>
              <w:tc>
                <w:tcPr>
                  <w:tcW w:w="42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9</w:t>
                  </w:r>
                </w:p>
              </w:tc>
              <w:tc>
                <w:tcPr>
                  <w:tcW w:w="10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3553035.013</w:t>
                  </w:r>
                </w:p>
              </w:tc>
              <w:tc>
                <w:tcPr>
                  <w:tcW w:w="10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515401,8l1</w:t>
                  </w:r>
                </w:p>
              </w:tc>
              <w:tc>
                <w:tcPr>
                  <w:tcW w:w="45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49</w:t>
                  </w:r>
                </w:p>
              </w:tc>
              <w:tc>
                <w:tcPr>
                  <w:tcW w:w="107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3552823.000</w:t>
                  </w:r>
                </w:p>
              </w:tc>
              <w:tc>
                <w:tcPr>
                  <w:tcW w:w="85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514837.132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trPr>
              <w:tc>
                <w:tcPr>
                  <w:tcW w:w="42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10</w:t>
                  </w:r>
                </w:p>
              </w:tc>
              <w:tc>
                <w:tcPr>
                  <w:tcW w:w="10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3553023.221</w:t>
                  </w:r>
                </w:p>
              </w:tc>
              <w:tc>
                <w:tcPr>
                  <w:tcW w:w="10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515114.136</w:t>
                  </w:r>
                </w:p>
              </w:tc>
              <w:tc>
                <w:tcPr>
                  <w:tcW w:w="45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50</w:t>
                  </w:r>
                </w:p>
              </w:tc>
              <w:tc>
                <w:tcPr>
                  <w:tcW w:w="107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3552829.931</w:t>
                  </w:r>
                </w:p>
              </w:tc>
              <w:tc>
                <w:tcPr>
                  <w:tcW w:w="85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514850.257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trPr>
              <w:tc>
                <w:tcPr>
                  <w:tcW w:w="42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11</w:t>
                  </w:r>
                </w:p>
              </w:tc>
              <w:tc>
                <w:tcPr>
                  <w:tcW w:w="10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3553005.559</w:t>
                  </w:r>
                </w:p>
              </w:tc>
              <w:tc>
                <w:tcPr>
                  <w:tcW w:w="10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515111.678</w:t>
                  </w:r>
                </w:p>
              </w:tc>
              <w:tc>
                <w:tcPr>
                  <w:tcW w:w="45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51</w:t>
                  </w:r>
                </w:p>
              </w:tc>
              <w:tc>
                <w:tcPr>
                  <w:tcW w:w="107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3552794.497</w:t>
                  </w:r>
                </w:p>
              </w:tc>
              <w:tc>
                <w:tcPr>
                  <w:tcW w:w="85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511920.432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trPr>
              <w:tc>
                <w:tcPr>
                  <w:tcW w:w="42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12</w:t>
                  </w:r>
                </w:p>
              </w:tc>
              <w:tc>
                <w:tcPr>
                  <w:tcW w:w="10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3552951.323</w:t>
                  </w:r>
                </w:p>
              </w:tc>
              <w:tc>
                <w:tcPr>
                  <w:tcW w:w="10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515391.179</w:t>
                  </w:r>
                </w:p>
              </w:tc>
              <w:tc>
                <w:tcPr>
                  <w:tcW w:w="45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52</w:t>
                  </w:r>
                </w:p>
              </w:tc>
              <w:tc>
                <w:tcPr>
                  <w:tcW w:w="107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3552740.857</w:t>
                  </w:r>
                </w:p>
              </w:tc>
              <w:tc>
                <w:tcPr>
                  <w:tcW w:w="85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514955.071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trPr>
              <w:tc>
                <w:tcPr>
                  <w:tcW w:w="42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13</w:t>
                  </w:r>
                </w:p>
              </w:tc>
              <w:tc>
                <w:tcPr>
                  <w:tcW w:w="10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3552940.694</w:t>
                  </w:r>
                </w:p>
              </w:tc>
              <w:tc>
                <w:tcPr>
                  <w:tcW w:w="10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515389.208</w:t>
                  </w:r>
                </w:p>
              </w:tc>
              <w:tc>
                <w:tcPr>
                  <w:tcW w:w="45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53</w:t>
                  </w:r>
                </w:p>
              </w:tc>
              <w:tc>
                <w:tcPr>
                  <w:tcW w:w="107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3552703.551</w:t>
                  </w:r>
                </w:p>
              </w:tc>
              <w:tc>
                <w:tcPr>
                  <w:tcW w:w="85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514992.715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trPr>
              <w:tc>
                <w:tcPr>
                  <w:tcW w:w="42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14</w:t>
                  </w:r>
                </w:p>
              </w:tc>
              <w:tc>
                <w:tcPr>
                  <w:tcW w:w="10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3552928.950</w:t>
                  </w:r>
                </w:p>
              </w:tc>
              <w:tc>
                <w:tcPr>
                  <w:tcW w:w="10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515390.633</w:t>
                  </w:r>
                </w:p>
              </w:tc>
              <w:tc>
                <w:tcPr>
                  <w:tcW w:w="45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54</w:t>
                  </w:r>
                </w:p>
              </w:tc>
              <w:tc>
                <w:tcPr>
                  <w:tcW w:w="107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3552692.968</w:t>
                  </w:r>
                </w:p>
              </w:tc>
              <w:tc>
                <w:tcPr>
                  <w:tcW w:w="85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515013.544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trPr>
              <w:tc>
                <w:tcPr>
                  <w:tcW w:w="42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15</w:t>
                  </w:r>
                </w:p>
              </w:tc>
              <w:tc>
                <w:tcPr>
                  <w:tcW w:w="10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3552876.490</w:t>
                  </w:r>
                </w:p>
              </w:tc>
              <w:tc>
                <w:tcPr>
                  <w:tcW w:w="10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515403.516</w:t>
                  </w:r>
                </w:p>
              </w:tc>
              <w:tc>
                <w:tcPr>
                  <w:tcW w:w="45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55</w:t>
                  </w:r>
                </w:p>
              </w:tc>
              <w:tc>
                <w:tcPr>
                  <w:tcW w:w="107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3552689.786</w:t>
                  </w:r>
                </w:p>
              </w:tc>
              <w:tc>
                <w:tcPr>
                  <w:tcW w:w="85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515032.559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trPr>
              <w:tc>
                <w:tcPr>
                  <w:tcW w:w="42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16</w:t>
                  </w:r>
                </w:p>
              </w:tc>
              <w:tc>
                <w:tcPr>
                  <w:tcW w:w="10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3552866.909</w:t>
                  </w:r>
                </w:p>
              </w:tc>
              <w:tc>
                <w:tcPr>
                  <w:tcW w:w="10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515407.78l</w:t>
                  </w:r>
                </w:p>
              </w:tc>
              <w:tc>
                <w:tcPr>
                  <w:tcW w:w="45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56</w:t>
                  </w:r>
                </w:p>
              </w:tc>
              <w:tc>
                <w:tcPr>
                  <w:tcW w:w="107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3552642.373</w:t>
                  </w:r>
                </w:p>
              </w:tc>
              <w:tc>
                <w:tcPr>
                  <w:tcW w:w="85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515111.730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trPr>
              <w:tc>
                <w:tcPr>
                  <w:tcW w:w="42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17</w:t>
                  </w:r>
                </w:p>
              </w:tc>
              <w:tc>
                <w:tcPr>
                  <w:tcW w:w="10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3552858.381</w:t>
                  </w:r>
                </w:p>
              </w:tc>
              <w:tc>
                <w:tcPr>
                  <w:tcW w:w="10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515114.631</w:t>
                  </w:r>
                </w:p>
              </w:tc>
              <w:tc>
                <w:tcPr>
                  <w:tcW w:w="45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57</w:t>
                  </w:r>
                </w:p>
              </w:tc>
              <w:tc>
                <w:tcPr>
                  <w:tcW w:w="107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3552633.411</w:t>
                  </w:r>
                </w:p>
              </w:tc>
              <w:tc>
                <w:tcPr>
                  <w:tcW w:w="85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515152.282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trPr>
              <w:tc>
                <w:tcPr>
                  <w:tcW w:w="42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18</w:t>
                  </w:r>
                </w:p>
              </w:tc>
              <w:tc>
                <w:tcPr>
                  <w:tcW w:w="10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3552798.102</w:t>
                  </w:r>
                </w:p>
              </w:tc>
              <w:tc>
                <w:tcPr>
                  <w:tcW w:w="10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515488.181</w:t>
                  </w:r>
                </w:p>
              </w:tc>
              <w:tc>
                <w:tcPr>
                  <w:tcW w:w="45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58</w:t>
                  </w:r>
                </w:p>
              </w:tc>
              <w:tc>
                <w:tcPr>
                  <w:tcW w:w="107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3552642.133</w:t>
                  </w:r>
                </w:p>
              </w:tc>
              <w:tc>
                <w:tcPr>
                  <w:tcW w:w="85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515187.122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trPr>
              <w:tc>
                <w:tcPr>
                  <w:tcW w:w="42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19</w:t>
                  </w:r>
                </w:p>
              </w:tc>
              <w:tc>
                <w:tcPr>
                  <w:tcW w:w="10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3552783.982</w:t>
                  </w:r>
                </w:p>
              </w:tc>
              <w:tc>
                <w:tcPr>
                  <w:tcW w:w="10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515499.097</w:t>
                  </w:r>
                </w:p>
              </w:tc>
              <w:tc>
                <w:tcPr>
                  <w:tcW w:w="45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59</w:t>
                  </w:r>
                </w:p>
              </w:tc>
              <w:tc>
                <w:tcPr>
                  <w:tcW w:w="107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3552655.898</w:t>
                  </w:r>
                </w:p>
              </w:tc>
              <w:tc>
                <w:tcPr>
                  <w:tcW w:w="85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515214.088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trPr>
              <w:tc>
                <w:tcPr>
                  <w:tcW w:w="42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20</w:t>
                  </w:r>
                </w:p>
              </w:tc>
              <w:tc>
                <w:tcPr>
                  <w:tcW w:w="10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3552769.278</w:t>
                  </w:r>
                </w:p>
              </w:tc>
              <w:tc>
                <w:tcPr>
                  <w:tcW w:w="10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515493.825</w:t>
                  </w:r>
                </w:p>
              </w:tc>
              <w:tc>
                <w:tcPr>
                  <w:tcW w:w="45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60</w:t>
                  </w:r>
                </w:p>
              </w:tc>
              <w:tc>
                <w:tcPr>
                  <w:tcW w:w="107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3552716.503</w:t>
                  </w:r>
                </w:p>
              </w:tc>
              <w:tc>
                <w:tcPr>
                  <w:tcW w:w="85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515219.337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trPr>
              <w:tc>
                <w:tcPr>
                  <w:tcW w:w="42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21</w:t>
                  </w:r>
                </w:p>
              </w:tc>
              <w:tc>
                <w:tcPr>
                  <w:tcW w:w="10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3552725.331</w:t>
                  </w:r>
                </w:p>
              </w:tc>
              <w:tc>
                <w:tcPr>
                  <w:tcW w:w="10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515455.779</w:t>
                  </w:r>
                </w:p>
              </w:tc>
              <w:tc>
                <w:tcPr>
                  <w:tcW w:w="45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61</w:t>
                  </w:r>
                </w:p>
              </w:tc>
              <w:tc>
                <w:tcPr>
                  <w:tcW w:w="107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3552766.900</w:t>
                  </w:r>
                </w:p>
              </w:tc>
              <w:tc>
                <w:tcPr>
                  <w:tcW w:w="85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515212.063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trPr>
              <w:tc>
                <w:tcPr>
                  <w:tcW w:w="42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22</w:t>
                  </w:r>
                </w:p>
              </w:tc>
              <w:tc>
                <w:tcPr>
                  <w:tcW w:w="10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3552716.997</w:t>
                  </w:r>
                </w:p>
              </w:tc>
              <w:tc>
                <w:tcPr>
                  <w:tcW w:w="10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515450.747</w:t>
                  </w:r>
                </w:p>
              </w:tc>
              <w:tc>
                <w:tcPr>
                  <w:tcW w:w="45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62</w:t>
                  </w:r>
                </w:p>
              </w:tc>
              <w:tc>
                <w:tcPr>
                  <w:tcW w:w="107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3552812.368</w:t>
                  </w:r>
                </w:p>
              </w:tc>
              <w:tc>
                <w:tcPr>
                  <w:tcW w:w="85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515200.752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trPr>
              <w:tc>
                <w:tcPr>
                  <w:tcW w:w="42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23</w:t>
                  </w:r>
                </w:p>
              </w:tc>
              <w:tc>
                <w:tcPr>
                  <w:tcW w:w="10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3552706.846</w:t>
                  </w:r>
                </w:p>
              </w:tc>
              <w:tc>
                <w:tcPr>
                  <w:tcW w:w="10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515454.884</w:t>
                  </w:r>
                </w:p>
              </w:tc>
              <w:tc>
                <w:tcPr>
                  <w:tcW w:w="45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63</w:t>
                  </w:r>
                </w:p>
              </w:tc>
              <w:tc>
                <w:tcPr>
                  <w:tcW w:w="107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3552877.013</w:t>
                  </w:r>
                </w:p>
              </w:tc>
              <w:tc>
                <w:tcPr>
                  <w:tcW w:w="85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515169.432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trPr>
              <w:tc>
                <w:tcPr>
                  <w:tcW w:w="42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24</w:t>
                  </w:r>
                </w:p>
              </w:tc>
              <w:tc>
                <w:tcPr>
                  <w:tcW w:w="10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3552659.044</w:t>
                  </w:r>
                </w:p>
              </w:tc>
              <w:tc>
                <w:tcPr>
                  <w:tcW w:w="10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515493.367</w:t>
                  </w:r>
                </w:p>
              </w:tc>
              <w:tc>
                <w:tcPr>
                  <w:tcW w:w="45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64</w:t>
                  </w:r>
                </w:p>
              </w:tc>
              <w:tc>
                <w:tcPr>
                  <w:tcW w:w="107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3552894.806</w:t>
                  </w:r>
                </w:p>
              </w:tc>
              <w:tc>
                <w:tcPr>
                  <w:tcW w:w="85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515163.559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trPr>
              <w:tc>
                <w:tcPr>
                  <w:tcW w:w="42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25</w:t>
                  </w:r>
                </w:p>
              </w:tc>
              <w:tc>
                <w:tcPr>
                  <w:tcW w:w="10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3551614.706</w:t>
                  </w:r>
                </w:p>
              </w:tc>
              <w:tc>
                <w:tcPr>
                  <w:tcW w:w="10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514922.938</w:t>
                  </w:r>
                </w:p>
              </w:tc>
              <w:tc>
                <w:tcPr>
                  <w:tcW w:w="45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65</w:t>
                  </w:r>
                </w:p>
              </w:tc>
              <w:tc>
                <w:tcPr>
                  <w:tcW w:w="107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3552898.226</w:t>
                  </w:r>
                </w:p>
              </w:tc>
              <w:tc>
                <w:tcPr>
                  <w:tcW w:w="85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515148.413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trPr>
              <w:tc>
                <w:tcPr>
                  <w:tcW w:w="42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26</w:t>
                  </w:r>
                </w:p>
              </w:tc>
              <w:tc>
                <w:tcPr>
                  <w:tcW w:w="10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3551770.336</w:t>
                  </w:r>
                </w:p>
              </w:tc>
              <w:tc>
                <w:tcPr>
                  <w:tcW w:w="10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5148641.465</w:t>
                  </w:r>
                </w:p>
              </w:tc>
              <w:tc>
                <w:tcPr>
                  <w:tcW w:w="45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66</w:t>
                  </w:r>
                </w:p>
              </w:tc>
              <w:tc>
                <w:tcPr>
                  <w:tcW w:w="107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3552891.192</w:t>
                  </w:r>
                </w:p>
              </w:tc>
              <w:tc>
                <w:tcPr>
                  <w:tcW w:w="85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515136.815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trPr>
              <w:tc>
                <w:tcPr>
                  <w:tcW w:w="42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27</w:t>
                  </w:r>
                </w:p>
              </w:tc>
              <w:tc>
                <w:tcPr>
                  <w:tcW w:w="10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3551863.309</w:t>
                  </w:r>
                </w:p>
              </w:tc>
              <w:tc>
                <w:tcPr>
                  <w:tcW w:w="10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514901.453</w:t>
                  </w:r>
                </w:p>
              </w:tc>
              <w:tc>
                <w:tcPr>
                  <w:tcW w:w="45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67</w:t>
                  </w:r>
                </w:p>
              </w:tc>
              <w:tc>
                <w:tcPr>
                  <w:tcW w:w="107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3552898.622</w:t>
                  </w:r>
                </w:p>
              </w:tc>
              <w:tc>
                <w:tcPr>
                  <w:tcW w:w="85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515095.900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trPr>
              <w:tc>
                <w:tcPr>
                  <w:tcW w:w="42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28</w:t>
                  </w:r>
                </w:p>
              </w:tc>
              <w:tc>
                <w:tcPr>
                  <w:tcW w:w="10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3551964.203</w:t>
                  </w:r>
                </w:p>
              </w:tc>
              <w:tc>
                <w:tcPr>
                  <w:tcW w:w="10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514850.455</w:t>
                  </w:r>
                </w:p>
              </w:tc>
              <w:tc>
                <w:tcPr>
                  <w:tcW w:w="45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68</w:t>
                  </w:r>
                </w:p>
              </w:tc>
              <w:tc>
                <w:tcPr>
                  <w:tcW w:w="107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3552939.493</w:t>
                  </w:r>
                </w:p>
              </w:tc>
              <w:tc>
                <w:tcPr>
                  <w:tcW w:w="85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515031.280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trPr>
              <w:tc>
                <w:tcPr>
                  <w:tcW w:w="42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29</w:t>
                  </w:r>
                </w:p>
              </w:tc>
              <w:tc>
                <w:tcPr>
                  <w:tcW w:w="10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3551998.593</w:t>
                  </w:r>
                </w:p>
              </w:tc>
              <w:tc>
                <w:tcPr>
                  <w:tcW w:w="10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514846.065</w:t>
                  </w:r>
                </w:p>
              </w:tc>
              <w:tc>
                <w:tcPr>
                  <w:tcW w:w="45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69</w:t>
                  </w:r>
                </w:p>
              </w:tc>
              <w:tc>
                <w:tcPr>
                  <w:tcW w:w="107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3552967.143</w:t>
                  </w:r>
                </w:p>
              </w:tc>
              <w:tc>
                <w:tcPr>
                  <w:tcW w:w="85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514986.111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trPr>
              <w:tc>
                <w:tcPr>
                  <w:tcW w:w="42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30</w:t>
                  </w:r>
                </w:p>
              </w:tc>
              <w:tc>
                <w:tcPr>
                  <w:tcW w:w="10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3552016.206</w:t>
                  </w:r>
                </w:p>
              </w:tc>
              <w:tc>
                <w:tcPr>
                  <w:tcW w:w="10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514870.363</w:t>
                  </w:r>
                </w:p>
              </w:tc>
              <w:tc>
                <w:tcPr>
                  <w:tcW w:w="45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70</w:t>
                  </w:r>
                </w:p>
              </w:tc>
              <w:tc>
                <w:tcPr>
                  <w:tcW w:w="107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3553045.465</w:t>
                  </w:r>
                </w:p>
              </w:tc>
              <w:tc>
                <w:tcPr>
                  <w:tcW w:w="85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514990.528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trPr>
              <w:tc>
                <w:tcPr>
                  <w:tcW w:w="42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31</w:t>
                  </w:r>
                </w:p>
              </w:tc>
              <w:tc>
                <w:tcPr>
                  <w:tcW w:w="10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3552099.274</w:t>
                  </w:r>
                </w:p>
              </w:tc>
              <w:tc>
                <w:tcPr>
                  <w:tcW w:w="10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514869.668</w:t>
                  </w:r>
                </w:p>
              </w:tc>
              <w:tc>
                <w:tcPr>
                  <w:tcW w:w="45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71</w:t>
                  </w:r>
                </w:p>
              </w:tc>
              <w:tc>
                <w:tcPr>
                  <w:tcW w:w="107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3553058.009</w:t>
                  </w:r>
                </w:p>
              </w:tc>
              <w:tc>
                <w:tcPr>
                  <w:tcW w:w="85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515032.260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trPr>
              <w:tc>
                <w:tcPr>
                  <w:tcW w:w="42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32</w:t>
                  </w:r>
                </w:p>
              </w:tc>
              <w:tc>
                <w:tcPr>
                  <w:tcW w:w="10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3552213.955</w:t>
                  </w:r>
                </w:p>
              </w:tc>
              <w:tc>
                <w:tcPr>
                  <w:tcW w:w="10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514893.476</w:t>
                  </w:r>
                </w:p>
              </w:tc>
              <w:tc>
                <w:tcPr>
                  <w:tcW w:w="45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72</w:t>
                  </w:r>
                </w:p>
              </w:tc>
              <w:tc>
                <w:tcPr>
                  <w:tcW w:w="107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3553054.804</w:t>
                  </w:r>
                </w:p>
              </w:tc>
              <w:tc>
                <w:tcPr>
                  <w:tcW w:w="85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515050.665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trPr>
              <w:tc>
                <w:tcPr>
                  <w:tcW w:w="42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33</w:t>
                  </w:r>
                </w:p>
              </w:tc>
              <w:tc>
                <w:tcPr>
                  <w:tcW w:w="10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3552271.528</w:t>
                  </w:r>
                </w:p>
              </w:tc>
              <w:tc>
                <w:tcPr>
                  <w:tcW w:w="10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514896.155</w:t>
                  </w:r>
                </w:p>
              </w:tc>
              <w:tc>
                <w:tcPr>
                  <w:tcW w:w="45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73</w:t>
                  </w:r>
                </w:p>
              </w:tc>
              <w:tc>
                <w:tcPr>
                  <w:tcW w:w="107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3553057.304</w:t>
                  </w:r>
                </w:p>
              </w:tc>
              <w:tc>
                <w:tcPr>
                  <w:tcW w:w="85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515057.244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trPr>
              <w:tc>
                <w:tcPr>
                  <w:tcW w:w="42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34</w:t>
                  </w:r>
                </w:p>
              </w:tc>
              <w:tc>
                <w:tcPr>
                  <w:tcW w:w="10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3552344.112</w:t>
                  </w:r>
                </w:p>
              </w:tc>
              <w:tc>
                <w:tcPr>
                  <w:tcW w:w="10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514903.142</w:t>
                  </w:r>
                </w:p>
              </w:tc>
              <w:tc>
                <w:tcPr>
                  <w:tcW w:w="45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74</w:t>
                  </w:r>
                </w:p>
              </w:tc>
              <w:tc>
                <w:tcPr>
                  <w:tcW w:w="107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3553066.235</w:t>
                  </w:r>
                </w:p>
              </w:tc>
              <w:tc>
                <w:tcPr>
                  <w:tcW w:w="85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515055.272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trPr>
              <w:tc>
                <w:tcPr>
                  <w:tcW w:w="42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35</w:t>
                  </w:r>
                </w:p>
              </w:tc>
              <w:tc>
                <w:tcPr>
                  <w:tcW w:w="10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3552350.532</w:t>
                  </w:r>
                </w:p>
              </w:tc>
              <w:tc>
                <w:tcPr>
                  <w:tcW w:w="10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514978.653</w:t>
                  </w:r>
                </w:p>
              </w:tc>
              <w:tc>
                <w:tcPr>
                  <w:tcW w:w="45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75</w:t>
                  </w:r>
                </w:p>
              </w:tc>
              <w:tc>
                <w:tcPr>
                  <w:tcW w:w="107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3553100.719</w:t>
                  </w:r>
                </w:p>
              </w:tc>
              <w:tc>
                <w:tcPr>
                  <w:tcW w:w="85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515038.662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trPr>
              <w:tc>
                <w:tcPr>
                  <w:tcW w:w="42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36</w:t>
                  </w:r>
                </w:p>
              </w:tc>
              <w:tc>
                <w:tcPr>
                  <w:tcW w:w="10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3552371.717</w:t>
                  </w:r>
                </w:p>
              </w:tc>
              <w:tc>
                <w:tcPr>
                  <w:tcW w:w="10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514992.475</w:t>
                  </w:r>
                </w:p>
              </w:tc>
              <w:tc>
                <w:tcPr>
                  <w:tcW w:w="45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76</w:t>
                  </w:r>
                </w:p>
              </w:tc>
              <w:tc>
                <w:tcPr>
                  <w:tcW w:w="107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3553109.749</w:t>
                  </w:r>
                </w:p>
              </w:tc>
              <w:tc>
                <w:tcPr>
                  <w:tcW w:w="85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515036.570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trPr>
              <w:tc>
                <w:tcPr>
                  <w:tcW w:w="42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37</w:t>
                  </w:r>
                </w:p>
              </w:tc>
              <w:tc>
                <w:tcPr>
                  <w:tcW w:w="10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3552394.765</w:t>
                  </w:r>
                </w:p>
              </w:tc>
              <w:tc>
                <w:tcPr>
                  <w:tcW w:w="10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514983.478</w:t>
                  </w:r>
                </w:p>
              </w:tc>
              <w:tc>
                <w:tcPr>
                  <w:tcW w:w="45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77</w:t>
                  </w:r>
                </w:p>
              </w:tc>
              <w:tc>
                <w:tcPr>
                  <w:tcW w:w="107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3553117.011</w:t>
                  </w:r>
                </w:p>
              </w:tc>
              <w:tc>
                <w:tcPr>
                  <w:tcW w:w="85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515043.426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trPr>
              <w:tc>
                <w:tcPr>
                  <w:tcW w:w="42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38</w:t>
                  </w:r>
                </w:p>
              </w:tc>
              <w:tc>
                <w:tcPr>
                  <w:tcW w:w="10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3552410.571</w:t>
                  </w:r>
                </w:p>
              </w:tc>
              <w:tc>
                <w:tcPr>
                  <w:tcW w:w="10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514961.054</w:t>
                  </w:r>
                </w:p>
              </w:tc>
              <w:tc>
                <w:tcPr>
                  <w:tcW w:w="45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78</w:t>
                  </w:r>
                </w:p>
              </w:tc>
              <w:tc>
                <w:tcPr>
                  <w:tcW w:w="107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3533129.971</w:t>
                  </w:r>
                </w:p>
              </w:tc>
              <w:tc>
                <w:tcPr>
                  <w:tcW w:w="85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515086.467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trPr>
              <w:tc>
                <w:tcPr>
                  <w:tcW w:w="42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39</w:t>
                  </w:r>
                </w:p>
              </w:tc>
              <w:tc>
                <w:tcPr>
                  <w:tcW w:w="10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3552142.021</w:t>
                  </w:r>
                </w:p>
              </w:tc>
              <w:tc>
                <w:tcPr>
                  <w:tcW w:w="10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514868.287</w:t>
                  </w:r>
                </w:p>
              </w:tc>
              <w:tc>
                <w:tcPr>
                  <w:tcW w:w="45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79</w:t>
                  </w:r>
                </w:p>
              </w:tc>
              <w:tc>
                <w:tcPr>
                  <w:tcW w:w="107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3553157.300</w:t>
                  </w:r>
                </w:p>
              </w:tc>
              <w:tc>
                <w:tcPr>
                  <w:tcW w:w="85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515148.600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trPr>
              <w:tc>
                <w:tcPr>
                  <w:tcW w:w="42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40</w:t>
                  </w:r>
                </w:p>
              </w:tc>
              <w:tc>
                <w:tcPr>
                  <w:tcW w:w="10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3552520.864</w:t>
                  </w:r>
                </w:p>
              </w:tc>
              <w:tc>
                <w:tcPr>
                  <w:tcW w:w="10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514858.041</w:t>
                  </w:r>
                </w:p>
              </w:tc>
              <w:tc>
                <w:tcPr>
                  <w:tcW w:w="45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80</w:t>
                  </w:r>
                </w:p>
              </w:tc>
              <w:tc>
                <w:tcPr>
                  <w:tcW w:w="107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3553182.254</w:t>
                  </w:r>
                </w:p>
              </w:tc>
              <w:tc>
                <w:tcPr>
                  <w:tcW w:w="85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515166.735</w:t>
                  </w:r>
                </w:p>
              </w:tc>
            </w:tr>
          </w:tbl>
          <w:p>
            <w:pPr>
              <w:pStyle w:val="29"/>
              <w:ind w:firstLine="482" w:firstLineChars="200"/>
              <w:jc w:val="center"/>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表</w:t>
            </w:r>
            <w:r>
              <w:rPr>
                <w:rFonts w:hint="eastAsia" w:ascii="Times New Roman" w:cs="Times New Roman"/>
                <w:b/>
                <w:color w:val="auto"/>
                <w:sz w:val="24"/>
                <w:szCs w:val="24"/>
                <w:lang w:val="en-US" w:eastAsia="zh-CN"/>
              </w:rPr>
              <w:t xml:space="preserve">7 </w:t>
            </w:r>
            <w:r>
              <w:rPr>
                <w:rFonts w:hint="default" w:ascii="Times New Roman" w:hAnsi="Times New Roman" w:eastAsia="宋体" w:cs="Times New Roman"/>
                <w:b/>
                <w:color w:val="auto"/>
                <w:sz w:val="24"/>
                <w:szCs w:val="24"/>
              </w:rPr>
              <w:t>本工程技术经济指标</w:t>
            </w:r>
          </w:p>
          <w:tbl>
            <w:tblPr>
              <w:tblStyle w:val="30"/>
              <w:tblW w:w="4991"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170"/>
              <w:gridCol w:w="701"/>
              <w:gridCol w:w="2034"/>
              <w:gridCol w:w="1410"/>
              <w:gridCol w:w="1824"/>
              <w:gridCol w:w="182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57" w:hRule="atLeast"/>
                <w:jc w:val="center"/>
              </w:trPr>
              <w:tc>
                <w:tcPr>
                  <w:tcW w:w="652" w:type="pct"/>
                  <w:tcBorders>
                    <w:tl2br w:val="nil"/>
                    <w:tr2bl w:val="nil"/>
                  </w:tcBorders>
                  <w:vAlign w:val="center"/>
                </w:tcPr>
                <w:p>
                  <w:pPr>
                    <w:adjustRightInd w:val="0"/>
                    <w:snapToGrid w:val="0"/>
                    <w:jc w:val="center"/>
                    <w:rPr>
                      <w:rFonts w:hint="default" w:ascii="Times New Roman" w:hAnsi="Times New Roman" w:eastAsia="宋体" w:cs="Times New Roman"/>
                      <w:color w:val="auto"/>
                    </w:rPr>
                  </w:pPr>
                  <w:r>
                    <w:rPr>
                      <w:rFonts w:hint="default" w:ascii="Times New Roman" w:hAnsi="Times New Roman" w:eastAsia="宋体" w:cs="Times New Roman"/>
                      <w:color w:val="auto"/>
                    </w:rPr>
                    <w:t>序号</w:t>
                  </w:r>
                </w:p>
              </w:tc>
              <w:tc>
                <w:tcPr>
                  <w:tcW w:w="1525" w:type="pct"/>
                  <w:gridSpan w:val="2"/>
                  <w:tcBorders>
                    <w:tl2br w:val="nil"/>
                    <w:tr2bl w:val="nil"/>
                  </w:tcBorders>
                  <w:vAlign w:val="center"/>
                </w:tcPr>
                <w:p>
                  <w:pPr>
                    <w:adjustRightInd w:val="0"/>
                    <w:snapToGrid w:val="0"/>
                    <w:jc w:val="center"/>
                    <w:rPr>
                      <w:rFonts w:hint="default" w:ascii="Times New Roman" w:hAnsi="Times New Roman" w:eastAsia="宋体" w:cs="Times New Roman"/>
                      <w:color w:val="auto"/>
                    </w:rPr>
                  </w:pPr>
                  <w:r>
                    <w:rPr>
                      <w:rFonts w:hint="default" w:ascii="Times New Roman" w:hAnsi="Times New Roman" w:eastAsia="宋体" w:cs="Times New Roman"/>
                      <w:color w:val="auto"/>
                    </w:rPr>
                    <w:t>名称</w:t>
                  </w:r>
                </w:p>
              </w:tc>
              <w:tc>
                <w:tcPr>
                  <w:tcW w:w="786" w:type="pct"/>
                  <w:tcBorders>
                    <w:tl2br w:val="nil"/>
                    <w:tr2bl w:val="nil"/>
                  </w:tcBorders>
                  <w:vAlign w:val="center"/>
                </w:tcPr>
                <w:p>
                  <w:pPr>
                    <w:adjustRightInd w:val="0"/>
                    <w:snapToGrid w:val="0"/>
                    <w:jc w:val="center"/>
                    <w:rPr>
                      <w:rFonts w:hint="default" w:ascii="Times New Roman" w:hAnsi="Times New Roman" w:eastAsia="宋体" w:cs="Times New Roman"/>
                      <w:color w:val="auto"/>
                    </w:rPr>
                  </w:pPr>
                  <w:r>
                    <w:rPr>
                      <w:rFonts w:hint="default" w:ascii="Times New Roman" w:hAnsi="Times New Roman" w:eastAsia="宋体" w:cs="Times New Roman"/>
                      <w:color w:val="auto"/>
                    </w:rPr>
                    <w:t>单位</w:t>
                  </w:r>
                </w:p>
              </w:tc>
              <w:tc>
                <w:tcPr>
                  <w:tcW w:w="1017" w:type="pct"/>
                  <w:tcBorders>
                    <w:tl2br w:val="nil"/>
                    <w:tr2bl w:val="nil"/>
                  </w:tcBorders>
                  <w:vAlign w:val="center"/>
                </w:tcPr>
                <w:p>
                  <w:pPr>
                    <w:adjustRightInd w:val="0"/>
                    <w:snapToGrid w:val="0"/>
                    <w:jc w:val="center"/>
                    <w:rPr>
                      <w:rFonts w:hint="default" w:ascii="Times New Roman" w:hAnsi="Times New Roman" w:eastAsia="宋体" w:cs="Times New Roman"/>
                      <w:color w:val="auto"/>
                    </w:rPr>
                  </w:pPr>
                  <w:r>
                    <w:rPr>
                      <w:rFonts w:hint="default" w:ascii="Times New Roman" w:hAnsi="Times New Roman" w:eastAsia="宋体" w:cs="Times New Roman"/>
                      <w:color w:val="auto"/>
                    </w:rPr>
                    <w:t>数量</w:t>
                  </w:r>
                </w:p>
              </w:tc>
              <w:tc>
                <w:tcPr>
                  <w:tcW w:w="1018" w:type="pct"/>
                  <w:tcBorders>
                    <w:tl2br w:val="nil"/>
                    <w:tr2bl w:val="nil"/>
                  </w:tcBorders>
                  <w:vAlign w:val="center"/>
                </w:tcPr>
                <w:p>
                  <w:pPr>
                    <w:adjustRightInd w:val="0"/>
                    <w:snapToGrid w:val="0"/>
                    <w:jc w:val="center"/>
                    <w:rPr>
                      <w:rFonts w:hint="eastAsia" w:ascii="Times New Roman" w:hAnsi="Times New Roman" w:eastAsia="宋体" w:cs="Times New Roman"/>
                      <w:color w:val="auto"/>
                      <w:lang w:val="en-US" w:eastAsia="zh-CN"/>
                    </w:rPr>
                  </w:pPr>
                  <w:r>
                    <w:rPr>
                      <w:rFonts w:hint="eastAsia" w:cs="Times New Roman"/>
                      <w:color w:val="auto"/>
                      <w:lang w:val="en-US" w:eastAsia="zh-CN"/>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57" w:hRule="atLeast"/>
                <w:jc w:val="center"/>
              </w:trPr>
              <w:tc>
                <w:tcPr>
                  <w:tcW w:w="652" w:type="pct"/>
                  <w:tcBorders>
                    <w:tl2br w:val="nil"/>
                    <w:tr2bl w:val="nil"/>
                  </w:tcBorders>
                  <w:vAlign w:val="center"/>
                </w:tcPr>
                <w:p>
                  <w:pPr>
                    <w:adjustRightInd w:val="0"/>
                    <w:snapToGrid w:val="0"/>
                    <w:jc w:val="center"/>
                    <w:rPr>
                      <w:rFonts w:hint="default" w:ascii="Times New Roman" w:hAnsi="Times New Roman" w:eastAsia="宋体" w:cs="Times New Roman"/>
                      <w:color w:val="auto"/>
                    </w:rPr>
                  </w:pPr>
                  <w:r>
                    <w:rPr>
                      <w:rFonts w:hint="default" w:ascii="Times New Roman" w:hAnsi="Times New Roman" w:eastAsia="宋体" w:cs="Times New Roman"/>
                      <w:color w:val="auto"/>
                    </w:rPr>
                    <w:t>1</w:t>
                  </w:r>
                </w:p>
              </w:tc>
              <w:tc>
                <w:tcPr>
                  <w:tcW w:w="1525" w:type="pct"/>
                  <w:gridSpan w:val="2"/>
                  <w:tcBorders>
                    <w:tl2br w:val="nil"/>
                    <w:tr2bl w:val="nil"/>
                  </w:tcBorders>
                  <w:vAlign w:val="center"/>
                </w:tcPr>
                <w:p>
                  <w:pPr>
                    <w:adjustRightInd w:val="0"/>
                    <w:snapToGrid w:val="0"/>
                    <w:jc w:val="center"/>
                    <w:rPr>
                      <w:rFonts w:hint="default" w:ascii="Times New Roman" w:hAnsi="Times New Roman" w:eastAsia="宋体" w:cs="Times New Roman"/>
                      <w:color w:val="auto"/>
                      <w:lang w:val="en-US" w:eastAsia="zh-CN"/>
                    </w:rPr>
                  </w:pPr>
                  <w:r>
                    <w:rPr>
                      <w:rFonts w:hint="eastAsia" w:cs="Times New Roman"/>
                      <w:color w:val="auto"/>
                      <w:lang w:val="en-US" w:eastAsia="zh-CN"/>
                    </w:rPr>
                    <w:t>总占地面积</w:t>
                  </w:r>
                </w:p>
              </w:tc>
              <w:tc>
                <w:tcPr>
                  <w:tcW w:w="786" w:type="pct"/>
                  <w:tcBorders>
                    <w:tl2br w:val="nil"/>
                    <w:tr2bl w:val="nil"/>
                  </w:tcBorders>
                  <w:vAlign w:val="center"/>
                </w:tcPr>
                <w:p>
                  <w:pPr>
                    <w:adjustRightInd w:val="0"/>
                    <w:snapToGrid w:val="0"/>
                    <w:jc w:val="center"/>
                    <w:rPr>
                      <w:rFonts w:hint="default" w:ascii="Times New Roman" w:hAnsi="Times New Roman" w:eastAsia="宋体" w:cs="Times New Roman"/>
                      <w:color w:val="auto"/>
                    </w:rPr>
                  </w:pPr>
                  <w:r>
                    <w:rPr>
                      <w:rFonts w:hint="default" w:ascii="Times New Roman" w:hAnsi="Times New Roman" w:eastAsia="宋体" w:cs="Times New Roman"/>
                      <w:color w:val="auto"/>
                    </w:rPr>
                    <w:t>m</w:t>
                  </w:r>
                  <w:r>
                    <w:rPr>
                      <w:rFonts w:hint="default" w:ascii="Times New Roman" w:hAnsi="Times New Roman" w:eastAsia="宋体" w:cs="Times New Roman"/>
                      <w:color w:val="auto"/>
                      <w:vertAlign w:val="superscript"/>
                    </w:rPr>
                    <w:t>2</w:t>
                  </w:r>
                </w:p>
              </w:tc>
              <w:tc>
                <w:tcPr>
                  <w:tcW w:w="1017" w:type="pct"/>
                  <w:tcBorders>
                    <w:tl2br w:val="nil"/>
                    <w:tr2bl w:val="nil"/>
                  </w:tcBorders>
                  <w:vAlign w:val="center"/>
                </w:tcPr>
                <w:p>
                  <w:pPr>
                    <w:adjustRightInd w:val="0"/>
                    <w:snapToGrid w:val="0"/>
                    <w:ind w:left="-84" w:leftChars="-40" w:right="-84" w:rightChars="-4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326900</w:t>
                  </w:r>
                </w:p>
              </w:tc>
              <w:tc>
                <w:tcPr>
                  <w:tcW w:w="1018" w:type="pct"/>
                  <w:tcBorders>
                    <w:tl2br w:val="nil"/>
                    <w:tr2bl w:val="nil"/>
                  </w:tcBorders>
                  <w:vAlign w:val="center"/>
                </w:tcPr>
                <w:p>
                  <w:pPr>
                    <w:adjustRightInd w:val="0"/>
                    <w:snapToGrid w:val="0"/>
                    <w:ind w:left="-84" w:leftChars="-40" w:right="-84" w:rightChars="-40"/>
                    <w:jc w:val="center"/>
                    <w:rPr>
                      <w:rFonts w:hint="default" w:ascii="Times New Roman" w:hAnsi="Times New Roman" w:eastAsia="宋体" w:cs="Times New Roman"/>
                      <w:color w:val="auto"/>
                      <w:szCs w:val="21"/>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57" w:hRule="atLeast"/>
                <w:jc w:val="center"/>
              </w:trPr>
              <w:tc>
                <w:tcPr>
                  <w:tcW w:w="652" w:type="pct"/>
                  <w:tcBorders>
                    <w:tl2br w:val="nil"/>
                    <w:tr2bl w:val="nil"/>
                  </w:tcBorders>
                  <w:vAlign w:val="center"/>
                </w:tcPr>
                <w:p>
                  <w:pPr>
                    <w:adjustRightInd w:val="0"/>
                    <w:snapToGrid w:val="0"/>
                    <w:jc w:val="center"/>
                    <w:rPr>
                      <w:rFonts w:hint="default" w:ascii="Times New Roman" w:hAnsi="Times New Roman" w:eastAsia="宋体" w:cs="Times New Roman"/>
                      <w:color w:val="auto"/>
                      <w:lang w:val="en-US" w:eastAsia="zh-CN"/>
                    </w:rPr>
                  </w:pPr>
                  <w:r>
                    <w:rPr>
                      <w:rFonts w:hint="eastAsia" w:cs="Times New Roman"/>
                      <w:color w:val="auto"/>
                      <w:lang w:val="en-US" w:eastAsia="zh-CN"/>
                    </w:rPr>
                    <w:t>1.1</w:t>
                  </w:r>
                </w:p>
              </w:tc>
              <w:tc>
                <w:tcPr>
                  <w:tcW w:w="1525" w:type="pct"/>
                  <w:gridSpan w:val="2"/>
                  <w:tcBorders>
                    <w:tl2br w:val="nil"/>
                    <w:tr2bl w:val="nil"/>
                  </w:tcBorders>
                  <w:vAlign w:val="center"/>
                </w:tcPr>
                <w:p>
                  <w:pPr>
                    <w:adjustRightInd w:val="0"/>
                    <w:snapToGrid w:val="0"/>
                    <w:jc w:val="center"/>
                    <w:rPr>
                      <w:rFonts w:hint="default" w:ascii="Times New Roman" w:hAnsi="Times New Roman" w:eastAsia="宋体" w:cs="Times New Roman"/>
                      <w:color w:val="auto"/>
                      <w:lang w:val="en-US" w:eastAsia="zh-CN"/>
                    </w:rPr>
                  </w:pPr>
                  <w:r>
                    <w:rPr>
                      <w:rFonts w:hint="eastAsia" w:cs="Times New Roman"/>
                      <w:color w:val="auto"/>
                      <w:lang w:val="en-US" w:eastAsia="zh-CN"/>
                    </w:rPr>
                    <w:t>灰场内光伏用地面积</w:t>
                  </w:r>
                </w:p>
              </w:tc>
              <w:tc>
                <w:tcPr>
                  <w:tcW w:w="786" w:type="pct"/>
                  <w:tcBorders>
                    <w:tl2br w:val="nil"/>
                    <w:tr2bl w:val="nil"/>
                  </w:tcBorders>
                  <w:vAlign w:val="center"/>
                </w:tcPr>
                <w:p>
                  <w:pPr>
                    <w:adjustRightInd w:val="0"/>
                    <w:snapToGrid w:val="0"/>
                    <w:jc w:val="center"/>
                    <w:rPr>
                      <w:rFonts w:hint="default" w:ascii="Times New Roman" w:hAnsi="Times New Roman" w:eastAsia="宋体" w:cs="Times New Roman"/>
                      <w:color w:val="auto"/>
                    </w:rPr>
                  </w:pPr>
                  <w:r>
                    <w:rPr>
                      <w:rFonts w:hint="default" w:ascii="Times New Roman" w:hAnsi="Times New Roman" w:eastAsia="宋体" w:cs="Times New Roman"/>
                      <w:color w:val="auto"/>
                    </w:rPr>
                    <w:t>m</w:t>
                  </w:r>
                  <w:r>
                    <w:rPr>
                      <w:rFonts w:hint="default" w:ascii="Times New Roman" w:hAnsi="Times New Roman" w:eastAsia="宋体" w:cs="Times New Roman"/>
                      <w:color w:val="auto"/>
                      <w:vertAlign w:val="superscript"/>
                    </w:rPr>
                    <w:t>2</w:t>
                  </w:r>
                </w:p>
              </w:tc>
              <w:tc>
                <w:tcPr>
                  <w:tcW w:w="1017" w:type="pct"/>
                  <w:tcBorders>
                    <w:tl2br w:val="nil"/>
                    <w:tr2bl w:val="nil"/>
                  </w:tcBorders>
                  <w:vAlign w:val="center"/>
                </w:tcPr>
                <w:p>
                  <w:pPr>
                    <w:adjustRightInd w:val="0"/>
                    <w:snapToGrid w:val="0"/>
                    <w:jc w:val="center"/>
                    <w:rPr>
                      <w:rFonts w:hint="default" w:ascii="Times New Roman" w:hAnsi="Times New Roman" w:eastAsia="宋体" w:cs="Times New Roman"/>
                      <w:color w:val="auto"/>
                      <w:lang w:val="en-US" w:eastAsia="zh-CN"/>
                    </w:rPr>
                  </w:pPr>
                  <w:r>
                    <w:rPr>
                      <w:rFonts w:hint="eastAsia" w:cs="Times New Roman"/>
                      <w:color w:val="auto"/>
                      <w:lang w:val="en-US" w:eastAsia="zh-CN"/>
                    </w:rPr>
                    <w:t>272840</w:t>
                  </w:r>
                </w:p>
              </w:tc>
              <w:tc>
                <w:tcPr>
                  <w:tcW w:w="1018" w:type="pct"/>
                  <w:tcBorders>
                    <w:tl2br w:val="nil"/>
                    <w:tr2bl w:val="nil"/>
                  </w:tcBorders>
                  <w:vAlign w:val="center"/>
                </w:tcPr>
                <w:p>
                  <w:pPr>
                    <w:adjustRightInd w:val="0"/>
                    <w:snapToGrid w:val="0"/>
                    <w:jc w:val="center"/>
                    <w:rPr>
                      <w:rFonts w:hint="eastAsia" w:cs="Times New Roman"/>
                      <w:color w:val="auto"/>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57" w:hRule="atLeast"/>
                <w:jc w:val="center"/>
              </w:trPr>
              <w:tc>
                <w:tcPr>
                  <w:tcW w:w="652" w:type="pct"/>
                  <w:tcBorders>
                    <w:tl2br w:val="nil"/>
                    <w:tr2bl w:val="nil"/>
                  </w:tcBorders>
                  <w:vAlign w:val="center"/>
                </w:tcPr>
                <w:p>
                  <w:pPr>
                    <w:adjustRightInd w:val="0"/>
                    <w:snapToGrid w:val="0"/>
                    <w:jc w:val="center"/>
                    <w:rPr>
                      <w:rFonts w:hint="default" w:ascii="Times New Roman" w:hAnsi="Times New Roman" w:eastAsia="宋体" w:cs="Times New Roman"/>
                      <w:color w:val="auto"/>
                      <w:lang w:val="en-US" w:eastAsia="zh-CN"/>
                    </w:rPr>
                  </w:pPr>
                  <w:r>
                    <w:rPr>
                      <w:rFonts w:hint="eastAsia" w:cs="Times New Roman"/>
                      <w:color w:val="auto"/>
                      <w:lang w:val="en-US" w:eastAsia="zh-CN"/>
                    </w:rPr>
                    <w:t>1.2</w:t>
                  </w:r>
                </w:p>
              </w:tc>
              <w:tc>
                <w:tcPr>
                  <w:tcW w:w="1525" w:type="pct"/>
                  <w:gridSpan w:val="2"/>
                  <w:tcBorders>
                    <w:tl2br w:val="nil"/>
                    <w:tr2bl w:val="nil"/>
                  </w:tcBorders>
                  <w:vAlign w:val="center"/>
                </w:tcPr>
                <w:p>
                  <w:pPr>
                    <w:adjustRightInd w:val="0"/>
                    <w:snapToGrid w:val="0"/>
                    <w:jc w:val="center"/>
                    <w:rPr>
                      <w:rFonts w:hint="default" w:ascii="Times New Roman" w:hAnsi="Times New Roman" w:eastAsia="宋体" w:cs="Times New Roman"/>
                      <w:color w:val="auto"/>
                      <w:lang w:val="en-US" w:eastAsia="zh-CN"/>
                    </w:rPr>
                  </w:pPr>
                  <w:r>
                    <w:rPr>
                      <w:rFonts w:hint="eastAsia" w:cs="Times New Roman"/>
                      <w:color w:val="auto"/>
                      <w:lang w:val="en-US" w:eastAsia="zh-CN"/>
                    </w:rPr>
                    <w:t>灰坝光伏用地面积</w:t>
                  </w:r>
                </w:p>
              </w:tc>
              <w:tc>
                <w:tcPr>
                  <w:tcW w:w="786" w:type="pct"/>
                  <w:tcBorders>
                    <w:tl2br w:val="nil"/>
                    <w:tr2bl w:val="nil"/>
                  </w:tcBorders>
                  <w:vAlign w:val="center"/>
                </w:tcPr>
                <w:p>
                  <w:pPr>
                    <w:adjustRightInd w:val="0"/>
                    <w:snapToGrid w:val="0"/>
                    <w:jc w:val="center"/>
                    <w:rPr>
                      <w:rFonts w:hint="default" w:ascii="Times New Roman" w:hAnsi="Times New Roman" w:eastAsia="宋体" w:cs="Times New Roman"/>
                      <w:color w:val="auto"/>
                    </w:rPr>
                  </w:pPr>
                  <w:r>
                    <w:rPr>
                      <w:rFonts w:hint="default" w:ascii="Times New Roman" w:hAnsi="Times New Roman" w:eastAsia="宋体" w:cs="Times New Roman"/>
                      <w:color w:val="auto"/>
                    </w:rPr>
                    <w:t>m</w:t>
                  </w:r>
                  <w:r>
                    <w:rPr>
                      <w:rFonts w:hint="default" w:ascii="Times New Roman" w:hAnsi="Times New Roman" w:eastAsia="宋体" w:cs="Times New Roman"/>
                      <w:color w:val="auto"/>
                      <w:vertAlign w:val="superscript"/>
                    </w:rPr>
                    <w:t>2</w:t>
                  </w:r>
                </w:p>
              </w:tc>
              <w:tc>
                <w:tcPr>
                  <w:tcW w:w="1017" w:type="pct"/>
                  <w:tcBorders>
                    <w:tl2br w:val="nil"/>
                    <w:tr2bl w:val="nil"/>
                  </w:tcBorders>
                  <w:vAlign w:val="center"/>
                </w:tcPr>
                <w:p>
                  <w:pPr>
                    <w:adjustRightInd w:val="0"/>
                    <w:snapToGrid w:val="0"/>
                    <w:jc w:val="center"/>
                    <w:rPr>
                      <w:rFonts w:hint="default" w:ascii="Times New Roman" w:hAnsi="Times New Roman" w:eastAsia="宋体" w:cs="Times New Roman"/>
                      <w:color w:val="auto"/>
                      <w:lang w:val="en-US" w:eastAsia="zh-CN"/>
                    </w:rPr>
                  </w:pPr>
                  <w:r>
                    <w:rPr>
                      <w:rFonts w:hint="eastAsia" w:cs="Times New Roman"/>
                      <w:color w:val="auto"/>
                      <w:lang w:val="en-US" w:eastAsia="zh-CN"/>
                    </w:rPr>
                    <w:t>51860</w:t>
                  </w:r>
                </w:p>
              </w:tc>
              <w:tc>
                <w:tcPr>
                  <w:tcW w:w="1018" w:type="pct"/>
                  <w:tcBorders>
                    <w:tl2br w:val="nil"/>
                    <w:tr2bl w:val="nil"/>
                  </w:tcBorders>
                  <w:vAlign w:val="center"/>
                </w:tcPr>
                <w:p>
                  <w:pPr>
                    <w:adjustRightInd w:val="0"/>
                    <w:snapToGrid w:val="0"/>
                    <w:jc w:val="center"/>
                    <w:rPr>
                      <w:rFonts w:hint="eastAsia" w:cs="Times New Roman"/>
                      <w:color w:val="auto"/>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57" w:hRule="atLeast"/>
                <w:jc w:val="center"/>
              </w:trPr>
              <w:tc>
                <w:tcPr>
                  <w:tcW w:w="652" w:type="pct"/>
                  <w:tcBorders>
                    <w:tl2br w:val="nil"/>
                    <w:tr2bl w:val="nil"/>
                  </w:tcBorders>
                  <w:vAlign w:val="center"/>
                </w:tcPr>
                <w:p>
                  <w:pPr>
                    <w:adjustRightInd w:val="0"/>
                    <w:snapToGrid w:val="0"/>
                    <w:jc w:val="center"/>
                    <w:rPr>
                      <w:rFonts w:hint="default" w:ascii="Times New Roman" w:hAnsi="Times New Roman" w:eastAsia="宋体" w:cs="Times New Roman"/>
                      <w:color w:val="auto"/>
                      <w:lang w:val="en-US" w:eastAsia="zh-CN"/>
                    </w:rPr>
                  </w:pPr>
                  <w:r>
                    <w:rPr>
                      <w:rFonts w:hint="eastAsia" w:cs="Times New Roman"/>
                      <w:color w:val="auto"/>
                      <w:lang w:val="en-US" w:eastAsia="zh-CN"/>
                    </w:rPr>
                    <w:t>1.3</w:t>
                  </w:r>
                </w:p>
              </w:tc>
              <w:tc>
                <w:tcPr>
                  <w:tcW w:w="1525" w:type="pct"/>
                  <w:gridSpan w:val="2"/>
                  <w:tcBorders>
                    <w:tl2br w:val="nil"/>
                    <w:tr2bl w:val="nil"/>
                  </w:tcBorders>
                  <w:vAlign w:val="center"/>
                </w:tcPr>
                <w:p>
                  <w:pPr>
                    <w:adjustRightInd w:val="0"/>
                    <w:snapToGrid w:val="0"/>
                    <w:jc w:val="center"/>
                    <w:rPr>
                      <w:rFonts w:hint="default" w:ascii="Times New Roman" w:hAnsi="Times New Roman" w:eastAsia="宋体" w:cs="Times New Roman"/>
                      <w:color w:val="auto"/>
                      <w:lang w:val="en-US" w:eastAsia="zh-CN"/>
                    </w:rPr>
                  </w:pPr>
                  <w:r>
                    <w:rPr>
                      <w:rFonts w:hint="eastAsia" w:cs="Times New Roman"/>
                      <w:color w:val="auto"/>
                      <w:lang w:val="en-US" w:eastAsia="zh-CN"/>
                    </w:rPr>
                    <w:t>开关站用地面积</w:t>
                  </w:r>
                </w:p>
              </w:tc>
              <w:tc>
                <w:tcPr>
                  <w:tcW w:w="786" w:type="pct"/>
                  <w:tcBorders>
                    <w:tl2br w:val="nil"/>
                    <w:tr2bl w:val="nil"/>
                  </w:tcBorders>
                  <w:vAlign w:val="center"/>
                </w:tcPr>
                <w:p>
                  <w:pPr>
                    <w:adjustRightInd w:val="0"/>
                    <w:snapToGrid w:val="0"/>
                    <w:jc w:val="center"/>
                    <w:rPr>
                      <w:rFonts w:hint="default" w:ascii="Times New Roman" w:hAnsi="Times New Roman" w:eastAsia="宋体" w:cs="Times New Roman"/>
                      <w:color w:val="auto"/>
                    </w:rPr>
                  </w:pPr>
                  <w:r>
                    <w:rPr>
                      <w:rFonts w:hint="default" w:ascii="Times New Roman" w:hAnsi="Times New Roman" w:eastAsia="宋体" w:cs="Times New Roman"/>
                      <w:color w:val="auto"/>
                    </w:rPr>
                    <w:t>m</w:t>
                  </w:r>
                  <w:r>
                    <w:rPr>
                      <w:rFonts w:hint="default" w:ascii="Times New Roman" w:hAnsi="Times New Roman" w:eastAsia="宋体" w:cs="Times New Roman"/>
                      <w:color w:val="auto"/>
                      <w:vertAlign w:val="superscript"/>
                    </w:rPr>
                    <w:t>2</w:t>
                  </w:r>
                </w:p>
              </w:tc>
              <w:tc>
                <w:tcPr>
                  <w:tcW w:w="1017" w:type="pct"/>
                  <w:tcBorders>
                    <w:tl2br w:val="nil"/>
                    <w:tr2bl w:val="nil"/>
                  </w:tcBorders>
                  <w:vAlign w:val="center"/>
                </w:tcPr>
                <w:p>
                  <w:pPr>
                    <w:adjustRightInd w:val="0"/>
                    <w:snapToGrid w:val="0"/>
                    <w:jc w:val="center"/>
                    <w:rPr>
                      <w:rFonts w:hint="default" w:ascii="Times New Roman" w:hAnsi="Times New Roman" w:eastAsia="宋体" w:cs="Times New Roman"/>
                      <w:color w:val="auto"/>
                      <w:lang w:val="en-US" w:eastAsia="zh-CN"/>
                    </w:rPr>
                  </w:pPr>
                  <w:r>
                    <w:rPr>
                      <w:rFonts w:hint="eastAsia" w:cs="Times New Roman"/>
                      <w:color w:val="auto"/>
                      <w:lang w:val="en-US" w:eastAsia="zh-CN"/>
                    </w:rPr>
                    <w:t>1200</w:t>
                  </w:r>
                </w:p>
              </w:tc>
              <w:tc>
                <w:tcPr>
                  <w:tcW w:w="1018" w:type="pct"/>
                  <w:tcBorders>
                    <w:tl2br w:val="nil"/>
                    <w:tr2bl w:val="nil"/>
                  </w:tcBorders>
                  <w:vAlign w:val="center"/>
                </w:tcPr>
                <w:p>
                  <w:pPr>
                    <w:adjustRightInd w:val="0"/>
                    <w:snapToGrid w:val="0"/>
                    <w:jc w:val="center"/>
                    <w:rPr>
                      <w:rFonts w:hint="default" w:cs="Times New Roman"/>
                      <w:color w:val="auto"/>
                      <w:lang w:val="en-US" w:eastAsia="zh-CN"/>
                    </w:rPr>
                  </w:pPr>
                  <w:r>
                    <w:rPr>
                      <w:rFonts w:hint="eastAsia" w:cs="Times New Roman"/>
                      <w:color w:val="auto"/>
                      <w:lang w:val="en-US" w:eastAsia="zh-CN"/>
                    </w:rPr>
                    <w:t>废弃泵站</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57" w:hRule="atLeast"/>
                <w:jc w:val="center"/>
              </w:trPr>
              <w:tc>
                <w:tcPr>
                  <w:tcW w:w="652" w:type="pct"/>
                  <w:tcBorders>
                    <w:tl2br w:val="nil"/>
                    <w:tr2bl w:val="nil"/>
                  </w:tcBorders>
                  <w:vAlign w:val="center"/>
                </w:tcPr>
                <w:p>
                  <w:pPr>
                    <w:adjustRightInd w:val="0"/>
                    <w:snapToGrid w:val="0"/>
                    <w:jc w:val="center"/>
                    <w:rPr>
                      <w:rFonts w:hint="eastAsia" w:ascii="Times New Roman" w:hAnsi="Times New Roman" w:eastAsia="宋体" w:cs="Times New Roman"/>
                      <w:color w:val="auto"/>
                      <w:lang w:val="en-US" w:eastAsia="zh-CN"/>
                    </w:rPr>
                  </w:pPr>
                  <w:r>
                    <w:rPr>
                      <w:rFonts w:hint="eastAsia" w:cs="Times New Roman"/>
                      <w:color w:val="auto"/>
                      <w:lang w:val="en-US" w:eastAsia="zh-CN"/>
                    </w:rPr>
                    <w:t>2</w:t>
                  </w:r>
                </w:p>
              </w:tc>
              <w:tc>
                <w:tcPr>
                  <w:tcW w:w="1525" w:type="pct"/>
                  <w:gridSpan w:val="2"/>
                  <w:tcBorders>
                    <w:tl2br w:val="nil"/>
                    <w:tr2bl w:val="nil"/>
                  </w:tcBorders>
                  <w:vAlign w:val="center"/>
                </w:tcPr>
                <w:p>
                  <w:pPr>
                    <w:adjustRightInd w:val="0"/>
                    <w:snapToGrid w:val="0"/>
                    <w:jc w:val="center"/>
                    <w:rPr>
                      <w:rFonts w:hint="default" w:ascii="Times New Roman" w:hAnsi="Times New Roman" w:eastAsia="宋体" w:cs="Times New Roman"/>
                      <w:color w:val="auto"/>
                      <w:lang w:val="en-US" w:eastAsia="zh-CN"/>
                    </w:rPr>
                  </w:pPr>
                  <w:r>
                    <w:rPr>
                      <w:rFonts w:hint="eastAsia" w:cs="Times New Roman"/>
                      <w:color w:val="auto"/>
                      <w:lang w:val="en-US" w:eastAsia="zh-CN"/>
                    </w:rPr>
                    <w:t>全站单位容量用地</w:t>
                  </w:r>
                </w:p>
              </w:tc>
              <w:tc>
                <w:tcPr>
                  <w:tcW w:w="786" w:type="pct"/>
                  <w:tcBorders>
                    <w:tl2br w:val="nil"/>
                    <w:tr2bl w:val="nil"/>
                  </w:tcBorders>
                  <w:vAlign w:val="center"/>
                </w:tcPr>
                <w:p>
                  <w:pPr>
                    <w:adjustRightInd w:val="0"/>
                    <w:snapToGrid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m</w:t>
                  </w:r>
                  <w:r>
                    <w:rPr>
                      <w:rFonts w:hint="default" w:ascii="Times New Roman" w:hAnsi="Times New Roman" w:eastAsia="宋体" w:cs="Times New Roman"/>
                      <w:color w:val="auto"/>
                      <w:vertAlign w:val="superscript"/>
                    </w:rPr>
                    <w:t>2</w:t>
                  </w:r>
                  <w:r>
                    <w:rPr>
                      <w:rFonts w:hint="eastAsia" w:ascii="Times New Roman" w:hAnsi="Times New Roman" w:cs="Times New Roman"/>
                      <w:color w:val="auto"/>
                      <w:vertAlign w:val="baseline"/>
                      <w:lang w:val="en-US" w:eastAsia="zh-CN"/>
                    </w:rPr>
                    <w:t>/kV</w:t>
                  </w:r>
                </w:p>
              </w:tc>
              <w:tc>
                <w:tcPr>
                  <w:tcW w:w="1017" w:type="pct"/>
                  <w:tcBorders>
                    <w:tl2br w:val="nil"/>
                    <w:tr2bl w:val="nil"/>
                  </w:tcBorders>
                  <w:vAlign w:val="center"/>
                </w:tcPr>
                <w:p>
                  <w:pPr>
                    <w:adjustRightInd w:val="0"/>
                    <w:snapToGrid w:val="0"/>
                    <w:jc w:val="center"/>
                    <w:rPr>
                      <w:rFonts w:hint="default" w:ascii="Times New Roman" w:hAnsi="Times New Roman" w:eastAsia="宋体" w:cs="Times New Roman"/>
                      <w:color w:val="auto"/>
                      <w:lang w:val="en-US" w:eastAsia="zh-CN"/>
                    </w:rPr>
                  </w:pPr>
                  <w:r>
                    <w:rPr>
                      <w:rFonts w:hint="eastAsia" w:cs="Times New Roman"/>
                      <w:color w:val="auto"/>
                      <w:lang w:val="en-US" w:eastAsia="zh-CN"/>
                    </w:rPr>
                    <w:t>11.02</w:t>
                  </w:r>
                </w:p>
              </w:tc>
              <w:tc>
                <w:tcPr>
                  <w:tcW w:w="1018" w:type="pct"/>
                  <w:tcBorders>
                    <w:tl2br w:val="nil"/>
                    <w:tr2bl w:val="nil"/>
                  </w:tcBorders>
                  <w:vAlign w:val="center"/>
                </w:tcPr>
                <w:p>
                  <w:pPr>
                    <w:adjustRightInd w:val="0"/>
                    <w:snapToGrid w:val="0"/>
                    <w:jc w:val="center"/>
                    <w:rPr>
                      <w:rFonts w:hint="eastAsia" w:cs="Times New Roman"/>
                      <w:color w:val="auto"/>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57" w:hRule="atLeast"/>
                <w:jc w:val="center"/>
              </w:trPr>
              <w:tc>
                <w:tcPr>
                  <w:tcW w:w="652" w:type="pct"/>
                  <w:vMerge w:val="restart"/>
                  <w:tcBorders>
                    <w:tl2br w:val="nil"/>
                    <w:tr2bl w:val="nil"/>
                  </w:tcBorders>
                  <w:vAlign w:val="center"/>
                </w:tcPr>
                <w:p>
                  <w:pPr>
                    <w:adjustRightInd w:val="0"/>
                    <w:snapToGrid w:val="0"/>
                    <w:jc w:val="center"/>
                    <w:rPr>
                      <w:rFonts w:hint="eastAsia" w:ascii="Times New Roman" w:hAnsi="Times New Roman" w:eastAsia="宋体" w:cs="Times New Roman"/>
                      <w:color w:val="auto"/>
                      <w:lang w:eastAsia="zh-CN"/>
                    </w:rPr>
                  </w:pPr>
                  <w:r>
                    <w:rPr>
                      <w:rFonts w:hint="eastAsia" w:cs="Times New Roman"/>
                      <w:color w:val="auto"/>
                      <w:lang w:val="en-US" w:eastAsia="zh-CN"/>
                    </w:rPr>
                    <w:t>3</w:t>
                  </w:r>
                </w:p>
              </w:tc>
              <w:tc>
                <w:tcPr>
                  <w:tcW w:w="391" w:type="pct"/>
                  <w:vMerge w:val="restart"/>
                  <w:tcBorders>
                    <w:tl2br w:val="nil"/>
                    <w:tr2bl w:val="nil"/>
                  </w:tcBorders>
                  <w:vAlign w:val="center"/>
                </w:tcPr>
                <w:p>
                  <w:pPr>
                    <w:adjustRightInd w:val="0"/>
                    <w:snapToGrid w:val="0"/>
                    <w:jc w:val="center"/>
                    <w:rPr>
                      <w:rFonts w:hint="eastAsia"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站</w:t>
                  </w:r>
                  <w:r>
                    <w:rPr>
                      <w:rFonts w:hint="default" w:ascii="Times New Roman" w:hAnsi="Times New Roman" w:eastAsia="宋体" w:cs="Times New Roman"/>
                      <w:color w:val="auto"/>
                    </w:rPr>
                    <w:t>内道路</w:t>
                  </w:r>
                  <w:r>
                    <w:rPr>
                      <w:rFonts w:hint="eastAsia" w:cs="Times New Roman"/>
                      <w:color w:val="auto"/>
                      <w:lang w:val="en-US" w:eastAsia="zh-CN"/>
                    </w:rPr>
                    <w:t>面积</w:t>
                  </w:r>
                </w:p>
              </w:tc>
              <w:tc>
                <w:tcPr>
                  <w:tcW w:w="1134" w:type="pct"/>
                  <w:tcBorders>
                    <w:tl2br w:val="nil"/>
                    <w:tr2bl w:val="nil"/>
                  </w:tcBorders>
                  <w:vAlign w:val="center"/>
                </w:tcPr>
                <w:p>
                  <w:pPr>
                    <w:adjustRightInd w:val="0"/>
                    <w:snapToGrid w:val="0"/>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cs="Times New Roman"/>
                      <w:color w:val="auto"/>
                      <w:lang w:val="en-US" w:eastAsia="zh-CN"/>
                    </w:rPr>
                    <w:t>光伏阵列区</w:t>
                  </w:r>
                </w:p>
              </w:tc>
              <w:tc>
                <w:tcPr>
                  <w:tcW w:w="786" w:type="pct"/>
                  <w:tcBorders>
                    <w:tl2br w:val="nil"/>
                    <w:tr2bl w:val="nil"/>
                  </w:tcBorders>
                  <w:vAlign w:val="center"/>
                </w:tcPr>
                <w:p>
                  <w:pPr>
                    <w:adjustRightInd w:val="0"/>
                    <w:snapToGrid w:val="0"/>
                    <w:jc w:val="center"/>
                    <w:rPr>
                      <w:rFonts w:hint="default" w:ascii="Times New Roman" w:hAnsi="Times New Roman" w:eastAsia="宋体" w:cs="Times New Roman"/>
                      <w:color w:val="auto"/>
                    </w:rPr>
                  </w:pPr>
                  <w:r>
                    <w:rPr>
                      <w:rFonts w:hint="default" w:ascii="Times New Roman" w:hAnsi="Times New Roman" w:eastAsia="宋体" w:cs="Times New Roman"/>
                      <w:color w:val="auto"/>
                    </w:rPr>
                    <w:t>m</w:t>
                  </w:r>
                  <w:r>
                    <w:rPr>
                      <w:rFonts w:hint="default" w:ascii="Times New Roman" w:hAnsi="Times New Roman" w:eastAsia="宋体" w:cs="Times New Roman"/>
                      <w:color w:val="auto"/>
                      <w:vertAlign w:val="superscript"/>
                    </w:rPr>
                    <w:t>2</w:t>
                  </w:r>
                </w:p>
              </w:tc>
              <w:tc>
                <w:tcPr>
                  <w:tcW w:w="1017" w:type="pct"/>
                  <w:tcBorders>
                    <w:tl2br w:val="nil"/>
                    <w:tr2bl w:val="nil"/>
                  </w:tcBorders>
                  <w:vAlign w:val="center"/>
                </w:tcPr>
                <w:p>
                  <w:pPr>
                    <w:adjustRightInd w:val="0"/>
                    <w:snapToGrid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22</w:t>
                  </w:r>
                  <w:r>
                    <w:rPr>
                      <w:rFonts w:hint="eastAsia" w:cs="Times New Roman"/>
                      <w:color w:val="auto"/>
                      <w:lang w:val="en-US" w:eastAsia="zh-CN"/>
                    </w:rPr>
                    <w:t>0</w:t>
                  </w:r>
                  <w:r>
                    <w:rPr>
                      <w:rFonts w:hint="default" w:ascii="Times New Roman" w:hAnsi="Times New Roman" w:eastAsia="宋体" w:cs="Times New Roman"/>
                      <w:color w:val="auto"/>
                      <w:lang w:val="en-US" w:eastAsia="zh-CN"/>
                    </w:rPr>
                    <w:t>00</w:t>
                  </w:r>
                </w:p>
              </w:tc>
              <w:tc>
                <w:tcPr>
                  <w:tcW w:w="1018" w:type="pct"/>
                  <w:tcBorders>
                    <w:tl2br w:val="nil"/>
                    <w:tr2bl w:val="nil"/>
                  </w:tcBorders>
                  <w:vAlign w:val="center"/>
                </w:tcPr>
                <w:p>
                  <w:pPr>
                    <w:adjustRightInd w:val="0"/>
                    <w:snapToGrid w:val="0"/>
                    <w:jc w:val="center"/>
                    <w:rPr>
                      <w:rFonts w:hint="default" w:ascii="Times New Roman" w:hAnsi="Times New Roman" w:eastAsia="宋体" w:cs="Times New Roman"/>
                      <w:color w:val="auto"/>
                      <w:lang w:val="en-US" w:eastAsia="zh-CN"/>
                    </w:rPr>
                  </w:pPr>
                  <w:r>
                    <w:rPr>
                      <w:rFonts w:hint="eastAsia" w:cs="Times New Roman"/>
                      <w:color w:val="auto"/>
                      <w:lang w:val="en-US" w:eastAsia="zh-CN"/>
                    </w:rPr>
                    <w:t>砂石路面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4" w:hRule="atLeast"/>
                <w:jc w:val="center"/>
              </w:trPr>
              <w:tc>
                <w:tcPr>
                  <w:tcW w:w="652" w:type="pct"/>
                  <w:vMerge w:val="continue"/>
                  <w:tcBorders>
                    <w:tl2br w:val="nil"/>
                    <w:tr2bl w:val="nil"/>
                  </w:tcBorders>
                  <w:vAlign w:val="center"/>
                </w:tcPr>
                <w:p>
                  <w:pPr>
                    <w:adjustRightInd w:val="0"/>
                    <w:snapToGrid w:val="0"/>
                    <w:jc w:val="center"/>
                    <w:rPr>
                      <w:rFonts w:hint="default" w:ascii="Times New Roman" w:hAnsi="Times New Roman" w:eastAsia="宋体" w:cs="Times New Roman"/>
                      <w:color w:val="auto"/>
                      <w:kern w:val="2"/>
                      <w:sz w:val="21"/>
                      <w:szCs w:val="24"/>
                      <w:lang w:val="en-GB" w:eastAsia="zh-TW" w:bidi="ar-SA"/>
                    </w:rPr>
                  </w:pPr>
                </w:p>
              </w:tc>
              <w:tc>
                <w:tcPr>
                  <w:tcW w:w="391" w:type="pct"/>
                  <w:vMerge w:val="continue"/>
                  <w:tcBorders>
                    <w:tl2br w:val="nil"/>
                    <w:tr2bl w:val="nil"/>
                  </w:tcBorders>
                  <w:vAlign w:val="center"/>
                </w:tcPr>
                <w:p>
                  <w:pPr>
                    <w:adjustRightInd w:val="0"/>
                    <w:snapToGrid w:val="0"/>
                    <w:jc w:val="center"/>
                    <w:rPr>
                      <w:rFonts w:hint="default" w:ascii="Times New Roman" w:hAnsi="Times New Roman" w:eastAsia="宋体" w:cs="Times New Roman"/>
                      <w:color w:val="auto"/>
                      <w:kern w:val="2"/>
                      <w:sz w:val="21"/>
                      <w:szCs w:val="24"/>
                      <w:lang w:val="en-US" w:eastAsia="zh-CN" w:bidi="ar-SA"/>
                    </w:rPr>
                  </w:pPr>
                </w:p>
              </w:tc>
              <w:tc>
                <w:tcPr>
                  <w:tcW w:w="1134" w:type="pct"/>
                  <w:tcBorders>
                    <w:tl2br w:val="nil"/>
                    <w:tr2bl w:val="nil"/>
                  </w:tcBorders>
                  <w:vAlign w:val="center"/>
                </w:tcPr>
                <w:p>
                  <w:pPr>
                    <w:adjustRightInd w:val="0"/>
                    <w:snapToGrid w:val="0"/>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cs="Times New Roman"/>
                      <w:color w:val="auto"/>
                      <w:lang w:val="en-US" w:eastAsia="zh-CN"/>
                    </w:rPr>
                    <w:t>开关站区</w:t>
                  </w:r>
                </w:p>
              </w:tc>
              <w:tc>
                <w:tcPr>
                  <w:tcW w:w="786" w:type="pct"/>
                  <w:tcBorders>
                    <w:tl2br w:val="nil"/>
                    <w:tr2bl w:val="nil"/>
                  </w:tcBorders>
                  <w:vAlign w:val="center"/>
                </w:tcPr>
                <w:p>
                  <w:pPr>
                    <w:adjustRightInd w:val="0"/>
                    <w:snapToGrid w:val="0"/>
                    <w:jc w:val="center"/>
                    <w:rPr>
                      <w:rFonts w:hint="default" w:ascii="Times New Roman" w:hAnsi="Times New Roman" w:eastAsia="宋体" w:cs="Times New Roman"/>
                      <w:color w:val="auto"/>
                      <w:kern w:val="2"/>
                      <w:sz w:val="21"/>
                      <w:szCs w:val="24"/>
                      <w:lang w:val="en-GB" w:eastAsia="zh-TW" w:bidi="ar-SA"/>
                    </w:rPr>
                  </w:pPr>
                  <w:r>
                    <w:rPr>
                      <w:rFonts w:hint="default" w:ascii="Times New Roman" w:hAnsi="Times New Roman" w:eastAsia="宋体" w:cs="Times New Roman"/>
                      <w:color w:val="auto"/>
                    </w:rPr>
                    <w:t>m</w:t>
                  </w:r>
                  <w:r>
                    <w:rPr>
                      <w:rFonts w:hint="default" w:ascii="Times New Roman" w:hAnsi="Times New Roman" w:eastAsia="宋体" w:cs="Times New Roman"/>
                      <w:color w:val="auto"/>
                      <w:vertAlign w:val="superscript"/>
                    </w:rPr>
                    <w:t>2</w:t>
                  </w:r>
                </w:p>
              </w:tc>
              <w:tc>
                <w:tcPr>
                  <w:tcW w:w="1017" w:type="pct"/>
                  <w:tcBorders>
                    <w:tl2br w:val="nil"/>
                    <w:tr2bl w:val="nil"/>
                  </w:tcBorders>
                  <w:vAlign w:val="center"/>
                </w:tcPr>
                <w:p>
                  <w:pPr>
                    <w:adjustRightInd w:val="0"/>
                    <w:snapToGrid w:val="0"/>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400</w:t>
                  </w:r>
                </w:p>
              </w:tc>
              <w:tc>
                <w:tcPr>
                  <w:tcW w:w="1018" w:type="pct"/>
                  <w:tcBorders>
                    <w:tl2br w:val="nil"/>
                    <w:tr2bl w:val="nil"/>
                  </w:tcBorders>
                  <w:vAlign w:val="center"/>
                </w:tcPr>
                <w:p>
                  <w:pPr>
                    <w:adjustRightInd w:val="0"/>
                    <w:snapToGrid w:val="0"/>
                    <w:jc w:val="center"/>
                    <w:rPr>
                      <w:rFonts w:hint="default" w:ascii="Times New Roman" w:hAnsi="Times New Roman" w:eastAsia="宋体" w:cs="Times New Roman"/>
                      <w:color w:val="auto"/>
                      <w:lang w:val="en-US" w:eastAsia="zh-CN"/>
                    </w:rPr>
                  </w:pPr>
                  <w:r>
                    <w:rPr>
                      <w:rFonts w:hint="eastAsia" w:cs="Times New Roman"/>
                      <w:color w:val="auto"/>
                      <w:lang w:val="en-US" w:eastAsia="zh-CN"/>
                    </w:rPr>
                    <w:t>混凝土路面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57" w:hRule="atLeast"/>
                <w:jc w:val="center"/>
              </w:trPr>
              <w:tc>
                <w:tcPr>
                  <w:tcW w:w="652" w:type="pct"/>
                  <w:vMerge w:val="restart"/>
                  <w:tcBorders>
                    <w:tl2br w:val="nil"/>
                    <w:tr2bl w:val="nil"/>
                  </w:tcBorders>
                  <w:vAlign w:val="center"/>
                </w:tcPr>
                <w:p>
                  <w:pPr>
                    <w:adjustRightInd w:val="0"/>
                    <w:snapToGrid w:val="0"/>
                    <w:jc w:val="center"/>
                    <w:rPr>
                      <w:rFonts w:hint="eastAsia" w:ascii="Times New Roman" w:hAnsi="Times New Roman" w:eastAsia="宋体" w:cs="Times New Roman"/>
                      <w:color w:val="auto"/>
                      <w:kern w:val="2"/>
                      <w:sz w:val="21"/>
                      <w:szCs w:val="24"/>
                      <w:lang w:val="en-GB" w:eastAsia="zh-CN" w:bidi="ar-SA"/>
                    </w:rPr>
                  </w:pPr>
                  <w:r>
                    <w:rPr>
                      <w:rFonts w:hint="eastAsia" w:cs="Times New Roman"/>
                      <w:color w:val="auto"/>
                      <w:lang w:val="en-US" w:eastAsia="zh-CN"/>
                    </w:rPr>
                    <w:t>4</w:t>
                  </w:r>
                </w:p>
              </w:tc>
              <w:tc>
                <w:tcPr>
                  <w:tcW w:w="391" w:type="pct"/>
                  <w:vMerge w:val="restart"/>
                  <w:tcBorders>
                    <w:tl2br w:val="nil"/>
                    <w:tr2bl w:val="nil"/>
                  </w:tcBorders>
                  <w:vAlign w:val="center"/>
                </w:tcPr>
                <w:p>
                  <w:pPr>
                    <w:adjustRightInd w:val="0"/>
                    <w:snapToGrid w:val="0"/>
                    <w:jc w:val="center"/>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rPr>
                    <w:t>围墙</w:t>
                  </w:r>
                  <w:r>
                    <w:rPr>
                      <w:rFonts w:hint="eastAsia" w:cs="Times New Roman"/>
                      <w:color w:val="auto"/>
                      <w:lang w:val="en-US" w:eastAsia="zh-CN"/>
                    </w:rPr>
                    <w:t>长度</w:t>
                  </w:r>
                </w:p>
              </w:tc>
              <w:tc>
                <w:tcPr>
                  <w:tcW w:w="2122" w:type="dxa"/>
                  <w:tcBorders>
                    <w:tl2br w:val="nil"/>
                    <w:tr2bl w:val="nil"/>
                  </w:tcBorders>
                  <w:vAlign w:val="center"/>
                </w:tcPr>
                <w:p>
                  <w:pPr>
                    <w:adjustRightInd w:val="0"/>
                    <w:snapToGrid w:val="0"/>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光伏阵列区</w:t>
                  </w:r>
                </w:p>
              </w:tc>
              <w:tc>
                <w:tcPr>
                  <w:tcW w:w="786" w:type="pct"/>
                  <w:tcBorders>
                    <w:tl2br w:val="nil"/>
                    <w:tr2bl w:val="nil"/>
                  </w:tcBorders>
                  <w:vAlign w:val="center"/>
                </w:tcPr>
                <w:p>
                  <w:pPr>
                    <w:adjustRightInd w:val="0"/>
                    <w:snapToGrid w:val="0"/>
                    <w:jc w:val="center"/>
                    <w:rPr>
                      <w:rFonts w:hint="default" w:ascii="Times New Roman" w:hAnsi="Times New Roman" w:eastAsia="宋体" w:cs="Times New Roman"/>
                      <w:color w:val="auto"/>
                      <w:lang w:val="en-US" w:eastAsia="zh-CN"/>
                    </w:rPr>
                  </w:pPr>
                  <w:r>
                    <w:rPr>
                      <w:rFonts w:hint="eastAsia" w:cs="Times New Roman"/>
                      <w:color w:val="auto"/>
                      <w:lang w:val="en-US" w:eastAsia="zh-CN"/>
                    </w:rPr>
                    <w:t>m</w:t>
                  </w:r>
                </w:p>
              </w:tc>
              <w:tc>
                <w:tcPr>
                  <w:tcW w:w="1017" w:type="pct"/>
                  <w:tcBorders>
                    <w:tl2br w:val="nil"/>
                    <w:tr2bl w:val="nil"/>
                  </w:tcBorders>
                  <w:vAlign w:val="center"/>
                </w:tcPr>
                <w:p>
                  <w:pPr>
                    <w:adjustRightInd w:val="0"/>
                    <w:snapToGrid w:val="0"/>
                    <w:jc w:val="center"/>
                    <w:rPr>
                      <w:rFonts w:hint="default" w:ascii="Times New Roman" w:hAnsi="Times New Roman" w:eastAsia="宋体" w:cs="Times New Roman"/>
                      <w:color w:val="auto"/>
                      <w:lang w:val="en-US" w:eastAsia="zh-CN"/>
                    </w:rPr>
                  </w:pPr>
                  <w:r>
                    <w:rPr>
                      <w:rFonts w:hint="eastAsia" w:cs="Times New Roman"/>
                      <w:color w:val="auto"/>
                      <w:lang w:val="en-US" w:eastAsia="zh-CN"/>
                    </w:rPr>
                    <w:t>4710</w:t>
                  </w:r>
                </w:p>
              </w:tc>
              <w:tc>
                <w:tcPr>
                  <w:tcW w:w="1018" w:type="pct"/>
                  <w:tcBorders>
                    <w:tl2br w:val="nil"/>
                    <w:tr2bl w:val="nil"/>
                  </w:tcBorders>
                  <w:vAlign w:val="center"/>
                </w:tcPr>
                <w:p>
                  <w:pPr>
                    <w:adjustRightInd w:val="0"/>
                    <w:snapToGrid w:val="0"/>
                    <w:jc w:val="center"/>
                    <w:rPr>
                      <w:rFonts w:hint="default" w:ascii="Times New Roman" w:hAnsi="Times New Roman" w:eastAsia="宋体" w:cs="Times New Roman"/>
                      <w:color w:val="auto"/>
                      <w:lang w:val="en-US" w:eastAsia="zh-CN"/>
                    </w:rPr>
                  </w:pPr>
                  <w:r>
                    <w:rPr>
                      <w:rFonts w:hint="eastAsia" w:cs="Times New Roman"/>
                      <w:color w:val="auto"/>
                      <w:lang w:val="en-US" w:eastAsia="zh-CN"/>
                    </w:rPr>
                    <w:t>铁丝网围栏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57" w:hRule="atLeast"/>
                <w:jc w:val="center"/>
              </w:trPr>
              <w:tc>
                <w:tcPr>
                  <w:tcW w:w="652" w:type="pct"/>
                  <w:vMerge w:val="continue"/>
                  <w:tcBorders>
                    <w:tl2br w:val="nil"/>
                    <w:tr2bl w:val="nil"/>
                  </w:tcBorders>
                  <w:vAlign w:val="center"/>
                </w:tcPr>
                <w:p>
                  <w:pPr>
                    <w:adjustRightInd w:val="0"/>
                    <w:snapToGrid w:val="0"/>
                    <w:jc w:val="center"/>
                    <w:rPr>
                      <w:rFonts w:hint="eastAsia" w:ascii="Times New Roman" w:hAnsi="Times New Roman" w:eastAsia="宋体" w:cs="Times New Roman"/>
                      <w:color w:val="auto"/>
                      <w:kern w:val="2"/>
                      <w:sz w:val="21"/>
                      <w:szCs w:val="24"/>
                      <w:lang w:val="en-GB" w:eastAsia="zh-CN" w:bidi="ar-SA"/>
                    </w:rPr>
                  </w:pPr>
                </w:p>
              </w:tc>
              <w:tc>
                <w:tcPr>
                  <w:tcW w:w="391" w:type="pct"/>
                  <w:vMerge w:val="continue"/>
                  <w:tcBorders>
                    <w:tl2br w:val="nil"/>
                    <w:tr2bl w:val="nil"/>
                  </w:tcBorders>
                  <w:vAlign w:val="center"/>
                </w:tcPr>
                <w:p>
                  <w:pPr>
                    <w:adjustRightInd w:val="0"/>
                    <w:snapToGrid w:val="0"/>
                    <w:jc w:val="center"/>
                    <w:rPr>
                      <w:rFonts w:hint="eastAsia" w:ascii="Times New Roman" w:hAnsi="Times New Roman" w:eastAsia="宋体" w:cs="Times New Roman"/>
                      <w:color w:val="auto"/>
                      <w:kern w:val="2"/>
                      <w:sz w:val="21"/>
                      <w:szCs w:val="24"/>
                      <w:lang w:val="en-US" w:eastAsia="zh-CN" w:bidi="ar-SA"/>
                    </w:rPr>
                  </w:pPr>
                </w:p>
              </w:tc>
              <w:tc>
                <w:tcPr>
                  <w:tcW w:w="2122" w:type="dxa"/>
                  <w:tcBorders>
                    <w:tl2br w:val="nil"/>
                    <w:tr2bl w:val="nil"/>
                  </w:tcBorders>
                  <w:vAlign w:val="center"/>
                </w:tcPr>
                <w:p>
                  <w:pPr>
                    <w:adjustRightInd w:val="0"/>
                    <w:snapToGrid w:val="0"/>
                    <w:jc w:val="center"/>
                    <w:rPr>
                      <w:rFonts w:hint="default" w:ascii="Times New Roman" w:hAnsi="Times New Roman" w:eastAsia="宋体" w:cs="Times New Roman"/>
                      <w:color w:val="auto"/>
                    </w:rPr>
                  </w:pPr>
                  <w:r>
                    <w:rPr>
                      <w:rFonts w:hint="eastAsia" w:ascii="Times New Roman" w:hAnsi="Times New Roman" w:cs="Times New Roman"/>
                      <w:color w:val="auto"/>
                      <w:lang w:val="en-US" w:eastAsia="zh-CN"/>
                    </w:rPr>
                    <w:t>开关站区</w:t>
                  </w:r>
                </w:p>
              </w:tc>
              <w:tc>
                <w:tcPr>
                  <w:tcW w:w="786" w:type="pct"/>
                  <w:tcBorders>
                    <w:tl2br w:val="nil"/>
                    <w:tr2bl w:val="nil"/>
                  </w:tcBorders>
                  <w:vAlign w:val="center"/>
                </w:tcPr>
                <w:p>
                  <w:pPr>
                    <w:adjustRightInd w:val="0"/>
                    <w:snapToGrid w:val="0"/>
                    <w:jc w:val="center"/>
                    <w:rPr>
                      <w:rFonts w:hint="default" w:ascii="Times New Roman" w:hAnsi="Times New Roman" w:eastAsia="宋体" w:cs="Times New Roman"/>
                      <w:color w:val="auto"/>
                      <w:kern w:val="2"/>
                      <w:sz w:val="21"/>
                      <w:szCs w:val="24"/>
                      <w:lang w:val="en-GB" w:eastAsia="zh-TW" w:bidi="ar-SA"/>
                    </w:rPr>
                  </w:pPr>
                  <w:r>
                    <w:rPr>
                      <w:rFonts w:hint="default" w:ascii="Times New Roman" w:hAnsi="Times New Roman" w:eastAsia="宋体" w:cs="Times New Roman"/>
                      <w:color w:val="auto"/>
                    </w:rPr>
                    <w:t>m</w:t>
                  </w:r>
                </w:p>
              </w:tc>
              <w:tc>
                <w:tcPr>
                  <w:tcW w:w="1017" w:type="pct"/>
                  <w:tcBorders>
                    <w:tl2br w:val="nil"/>
                    <w:tr2bl w:val="nil"/>
                  </w:tcBorders>
                  <w:vAlign w:val="center"/>
                </w:tcPr>
                <w:p>
                  <w:pPr>
                    <w:adjustRightInd w:val="0"/>
                    <w:snapToGrid w:val="0"/>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lang w:val="en-US" w:eastAsia="zh-CN"/>
                    </w:rPr>
                    <w:t>150</w:t>
                  </w:r>
                </w:p>
              </w:tc>
              <w:tc>
                <w:tcPr>
                  <w:tcW w:w="1018" w:type="pct"/>
                  <w:tcBorders>
                    <w:tl2br w:val="nil"/>
                    <w:tr2bl w:val="nil"/>
                  </w:tcBorders>
                  <w:vAlign w:val="center"/>
                </w:tcPr>
                <w:p>
                  <w:pPr>
                    <w:adjustRightInd w:val="0"/>
                    <w:snapToGrid w:val="0"/>
                    <w:jc w:val="center"/>
                    <w:rPr>
                      <w:rFonts w:hint="default" w:ascii="Times New Roman" w:hAnsi="Times New Roman" w:eastAsia="宋体" w:cs="Times New Roman"/>
                      <w:color w:val="auto"/>
                      <w:lang w:val="en-US" w:eastAsia="zh-CN"/>
                    </w:rPr>
                  </w:pPr>
                  <w:r>
                    <w:rPr>
                      <w:rFonts w:hint="eastAsia" w:cs="Times New Roman"/>
                      <w:color w:val="auto"/>
                      <w:lang w:val="en-US" w:eastAsia="zh-CN"/>
                    </w:rPr>
                    <w:t>砖柱钢栅围墙</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57" w:hRule="atLeast"/>
                <w:jc w:val="center"/>
              </w:trPr>
              <w:tc>
                <w:tcPr>
                  <w:tcW w:w="652" w:type="pct"/>
                  <w:vMerge w:val="restart"/>
                  <w:tcBorders>
                    <w:tl2br w:val="nil"/>
                    <w:tr2bl w:val="nil"/>
                  </w:tcBorders>
                  <w:vAlign w:val="center"/>
                </w:tcPr>
                <w:p>
                  <w:pPr>
                    <w:adjustRightInd w:val="0"/>
                    <w:snapToGrid w:val="0"/>
                    <w:jc w:val="center"/>
                    <w:rPr>
                      <w:rFonts w:hint="eastAsia" w:ascii="Times New Roman" w:hAnsi="Times New Roman" w:eastAsia="宋体" w:cs="Times New Roman"/>
                      <w:color w:val="auto"/>
                      <w:lang w:eastAsia="zh-CN"/>
                    </w:rPr>
                  </w:pPr>
                  <w:r>
                    <w:rPr>
                      <w:rFonts w:hint="eastAsia" w:cs="Times New Roman"/>
                      <w:color w:val="auto"/>
                      <w:lang w:val="en-US" w:eastAsia="zh-CN"/>
                    </w:rPr>
                    <w:t>5</w:t>
                  </w:r>
                </w:p>
              </w:tc>
              <w:tc>
                <w:tcPr>
                  <w:tcW w:w="1525" w:type="pct"/>
                  <w:gridSpan w:val="2"/>
                  <w:tcBorders>
                    <w:tl2br w:val="nil"/>
                    <w:tr2bl w:val="nil"/>
                  </w:tcBorders>
                  <w:vAlign w:val="center"/>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工程静态投资</w:t>
                  </w:r>
                </w:p>
              </w:tc>
              <w:tc>
                <w:tcPr>
                  <w:tcW w:w="786" w:type="pct"/>
                  <w:tcBorders>
                    <w:tl2br w:val="nil"/>
                    <w:tr2bl w:val="nil"/>
                  </w:tcBorders>
                  <w:vAlign w:val="center"/>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万元</w:t>
                  </w:r>
                </w:p>
              </w:tc>
              <w:tc>
                <w:tcPr>
                  <w:tcW w:w="1017" w:type="pct"/>
                  <w:tcBorders>
                    <w:tl2br w:val="nil"/>
                    <w:tr2bl w:val="nil"/>
                  </w:tcBorders>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12715</w:t>
                  </w:r>
                </w:p>
              </w:tc>
              <w:tc>
                <w:tcPr>
                  <w:tcW w:w="1018" w:type="pct"/>
                  <w:tcBorders>
                    <w:tl2br w:val="nil"/>
                    <w:tr2bl w:val="nil"/>
                  </w:tcBorders>
                  <w:vAlign w:val="center"/>
                </w:tcPr>
                <w:p>
                  <w:pPr>
                    <w:adjustRightInd w:val="0"/>
                    <w:snapToGrid w:val="0"/>
                    <w:jc w:val="center"/>
                    <w:rPr>
                      <w:rFonts w:hint="default" w:ascii="Times New Roman" w:hAnsi="Times New Roman" w:eastAsia="宋体" w:cs="Times New Roman"/>
                      <w:color w:val="auto"/>
                      <w:szCs w:val="21"/>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57" w:hRule="atLeast"/>
                <w:jc w:val="center"/>
              </w:trPr>
              <w:tc>
                <w:tcPr>
                  <w:tcW w:w="652" w:type="pct"/>
                  <w:vMerge w:val="continue"/>
                  <w:tcBorders>
                    <w:tl2br w:val="nil"/>
                    <w:tr2bl w:val="nil"/>
                  </w:tcBorders>
                  <w:vAlign w:val="center"/>
                </w:tcPr>
                <w:p>
                  <w:pPr>
                    <w:adjustRightInd w:val="0"/>
                    <w:snapToGrid w:val="0"/>
                    <w:jc w:val="center"/>
                    <w:rPr>
                      <w:rFonts w:hint="default" w:ascii="Times New Roman" w:hAnsi="Times New Roman" w:eastAsia="宋体" w:cs="Times New Roman"/>
                      <w:color w:val="auto"/>
                    </w:rPr>
                  </w:pPr>
                </w:p>
              </w:tc>
              <w:tc>
                <w:tcPr>
                  <w:tcW w:w="1525" w:type="pct"/>
                  <w:gridSpan w:val="2"/>
                  <w:tcBorders>
                    <w:tl2br w:val="nil"/>
                    <w:tr2bl w:val="nil"/>
                  </w:tcBorders>
                  <w:vAlign w:val="center"/>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单位千瓦投资（动态）</w:t>
                  </w:r>
                </w:p>
              </w:tc>
              <w:tc>
                <w:tcPr>
                  <w:tcW w:w="786" w:type="pct"/>
                  <w:tcBorders>
                    <w:tl2br w:val="nil"/>
                    <w:tr2bl w:val="nil"/>
                  </w:tcBorders>
                  <w:vAlign w:val="center"/>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元/kWp</w:t>
                  </w:r>
                </w:p>
              </w:tc>
              <w:tc>
                <w:tcPr>
                  <w:tcW w:w="1017" w:type="pct"/>
                  <w:tcBorders>
                    <w:tl2br w:val="nil"/>
                    <w:tr2bl w:val="nil"/>
                  </w:tcBorders>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3845</w:t>
                  </w:r>
                </w:p>
              </w:tc>
              <w:tc>
                <w:tcPr>
                  <w:tcW w:w="1018" w:type="pct"/>
                  <w:tcBorders>
                    <w:tl2br w:val="nil"/>
                    <w:tr2bl w:val="nil"/>
                  </w:tcBorders>
                  <w:vAlign w:val="center"/>
                </w:tcPr>
                <w:p>
                  <w:pPr>
                    <w:adjustRightInd w:val="0"/>
                    <w:snapToGrid w:val="0"/>
                    <w:jc w:val="center"/>
                    <w:rPr>
                      <w:rFonts w:hint="default" w:ascii="Times New Roman" w:hAnsi="Times New Roman" w:eastAsia="宋体" w:cs="Times New Roman"/>
                      <w:color w:val="auto"/>
                      <w:szCs w:val="21"/>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57" w:hRule="atLeast"/>
                <w:jc w:val="center"/>
              </w:trPr>
              <w:tc>
                <w:tcPr>
                  <w:tcW w:w="652" w:type="pct"/>
                  <w:tcBorders>
                    <w:tl2br w:val="nil"/>
                    <w:tr2bl w:val="nil"/>
                  </w:tcBorders>
                  <w:vAlign w:val="center"/>
                </w:tcPr>
                <w:p>
                  <w:pPr>
                    <w:adjustRightInd w:val="0"/>
                    <w:snapToGrid w:val="0"/>
                    <w:jc w:val="center"/>
                    <w:rPr>
                      <w:rFonts w:hint="eastAsia" w:ascii="Times New Roman" w:hAnsi="Times New Roman" w:eastAsia="宋体" w:cs="Times New Roman"/>
                      <w:color w:val="auto"/>
                      <w:lang w:val="en-US" w:eastAsia="zh-CN"/>
                    </w:rPr>
                  </w:pPr>
                  <w:r>
                    <w:rPr>
                      <w:rFonts w:hint="eastAsia" w:cs="Times New Roman"/>
                      <w:color w:val="auto"/>
                      <w:lang w:val="en-US" w:eastAsia="zh-CN"/>
                    </w:rPr>
                    <w:t>6</w:t>
                  </w:r>
                </w:p>
              </w:tc>
              <w:tc>
                <w:tcPr>
                  <w:tcW w:w="1525" w:type="pct"/>
                  <w:gridSpan w:val="2"/>
                  <w:tcBorders>
                    <w:tl2br w:val="nil"/>
                    <w:tr2bl w:val="nil"/>
                  </w:tcBorders>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绿化面积</w:t>
                  </w:r>
                </w:p>
              </w:tc>
              <w:tc>
                <w:tcPr>
                  <w:tcW w:w="786" w:type="pct"/>
                  <w:tcBorders>
                    <w:tl2br w:val="nil"/>
                    <w:tr2bl w:val="nil"/>
                  </w:tcBorders>
                  <w:vAlign w:val="center"/>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m</w:t>
                  </w:r>
                  <w:r>
                    <w:rPr>
                      <w:rFonts w:hint="default" w:ascii="Times New Roman" w:hAnsi="Times New Roman" w:eastAsia="宋体" w:cs="Times New Roman"/>
                      <w:color w:val="auto"/>
                      <w:vertAlign w:val="superscript"/>
                    </w:rPr>
                    <w:t>2</w:t>
                  </w:r>
                </w:p>
              </w:tc>
              <w:tc>
                <w:tcPr>
                  <w:tcW w:w="1017" w:type="pct"/>
                  <w:tcBorders>
                    <w:tl2br w:val="nil"/>
                    <w:tr2bl w:val="nil"/>
                  </w:tcBorders>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180</w:t>
                  </w:r>
                </w:p>
              </w:tc>
              <w:tc>
                <w:tcPr>
                  <w:tcW w:w="1018" w:type="pct"/>
                  <w:tcBorders>
                    <w:tl2br w:val="nil"/>
                    <w:tr2bl w:val="nil"/>
                  </w:tcBorders>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开关站区</w:t>
                  </w:r>
                </w:p>
              </w:tc>
            </w:tr>
          </w:tbl>
          <w:p>
            <w:pPr>
              <w:keepNext w:val="0"/>
              <w:keepLines w:val="0"/>
              <w:pageBreakBefore w:val="0"/>
              <w:tabs>
                <w:tab w:val="left" w:pos="6645"/>
              </w:tabs>
              <w:kinsoku/>
              <w:wordWrap/>
              <w:overflowPunct/>
              <w:topLinePunct w:val="0"/>
              <w:autoSpaceDE/>
              <w:autoSpaceDN/>
              <w:bidi w:val="0"/>
              <w:adjustRightInd w:val="0"/>
              <w:snapToGrid w:val="0"/>
              <w:spacing w:line="360" w:lineRule="auto"/>
              <w:ind w:firstLine="482" w:firstLineChars="200"/>
              <w:jc w:val="both"/>
              <w:textAlignment w:val="auto"/>
              <w:rPr>
                <w:rFonts w:hint="default" w:ascii="Times New Roman" w:hAnsi="Times New Roman" w:cs="Times New Roman"/>
                <w:b/>
                <w:color w:val="auto"/>
                <w:sz w:val="24"/>
                <w:szCs w:val="24"/>
                <w:highlight w:val="none"/>
                <w:lang w:val="en-US" w:eastAsia="zh-CN"/>
              </w:rPr>
            </w:pPr>
            <w:r>
              <w:rPr>
                <w:rFonts w:hint="eastAsia" w:ascii="Times New Roman" w:hAnsi="Times New Roman" w:cs="Times New Roman"/>
                <w:b/>
                <w:color w:val="auto"/>
                <w:sz w:val="24"/>
                <w:szCs w:val="24"/>
                <w:highlight w:val="none"/>
                <w:lang w:val="en-US" w:eastAsia="zh-CN"/>
              </w:rPr>
              <w:t>7、</w:t>
            </w:r>
            <w:r>
              <w:rPr>
                <w:rFonts w:hint="default" w:ascii="Times New Roman" w:hAnsi="Times New Roman" w:cs="Times New Roman"/>
                <w:b/>
                <w:color w:val="auto"/>
                <w:sz w:val="24"/>
                <w:szCs w:val="24"/>
                <w:highlight w:val="none"/>
                <w:lang w:val="en-US" w:eastAsia="zh-CN"/>
              </w:rPr>
              <w:t>工程组成</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rPr>
            </w:pPr>
            <w:r>
              <w:rPr>
                <w:rFonts w:hint="eastAsia" w:cs="Times New Roman"/>
                <w:color w:val="auto"/>
                <w:sz w:val="24"/>
                <w:szCs w:val="24"/>
                <w:lang w:eastAsia="zh-CN"/>
              </w:rPr>
              <w:t>（</w:t>
            </w:r>
            <w:r>
              <w:rPr>
                <w:rFonts w:hint="eastAsia" w:cs="Times New Roman"/>
                <w:color w:val="auto"/>
                <w:sz w:val="24"/>
                <w:szCs w:val="24"/>
                <w:lang w:val="en-US" w:eastAsia="zh-CN"/>
              </w:rPr>
              <w:t>1</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光伏阵列</w:t>
            </w:r>
          </w:p>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本项目总容量为33.35MWp，根据不同的区域布置情况，划分为4个分区</w:t>
            </w:r>
            <w:r>
              <w:rPr>
                <w:rFonts w:hint="eastAsia" w:cs="Times New Roman"/>
                <w:color w:val="auto"/>
                <w:sz w:val="24"/>
                <w:szCs w:val="24"/>
                <w:lang w:eastAsia="zh-CN"/>
              </w:rPr>
              <w:t>：</w:t>
            </w:r>
          </w:p>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分区1：灰库北部区域，采用全模块和1/3模块，最佳朝向，倾角17°，容量约27200kWp，共设7个3125kW方阵，采用集中式逆变器。</w:t>
            </w:r>
          </w:p>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分区2：灰库西南侧坝体，采用沿坡平铺方式，暂统一按南偏西36°，倾角19°考虑，容量约1412kWp，共设1个1250kW方阵，采用集中式逆变器。</w:t>
            </w:r>
          </w:p>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分区3：灰库坝体，采用沿坡平铺方式，暂统一按南偏东51°，倾角18°考虑，容量约4011kWp，共设1个3125kW方阵，采用集中式逆变器。</w:t>
            </w:r>
          </w:p>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分区4：灰库坝底，采用1/3模块，最佳朝向，倾角24°，容量约728kWp，设1个588kW方阵，采用组串式逆变器。</w:t>
            </w:r>
          </w:p>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以上共设4个分区，10个方阵，其中9个集中式逆变器方阵，1个组串式逆变器方阵。</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本工程选用的</w:t>
            </w:r>
            <w:r>
              <w:rPr>
                <w:rFonts w:hint="default" w:ascii="Times New Roman" w:hAnsi="Times New Roman" w:eastAsia="宋体" w:cs="Times New Roman"/>
                <w:color w:val="auto"/>
                <w:sz w:val="24"/>
                <w:szCs w:val="24"/>
                <w:lang w:val="en-US" w:eastAsia="zh-CN"/>
              </w:rPr>
              <w:t>415</w:t>
            </w:r>
            <w:r>
              <w:rPr>
                <w:rFonts w:hint="default" w:ascii="Times New Roman" w:hAnsi="Times New Roman" w:eastAsia="宋体" w:cs="Times New Roman"/>
                <w:color w:val="auto"/>
                <w:sz w:val="24"/>
                <w:szCs w:val="24"/>
              </w:rPr>
              <w:t>Wp单晶硅太阳能电池组件技术参数见表</w:t>
            </w:r>
            <w:r>
              <w:rPr>
                <w:rFonts w:hint="eastAsia" w:cs="Times New Roman"/>
                <w:color w:val="auto"/>
                <w:sz w:val="24"/>
                <w:szCs w:val="24"/>
                <w:lang w:val="en-US" w:eastAsia="zh-CN"/>
              </w:rPr>
              <w:t>8</w:t>
            </w:r>
            <w:r>
              <w:rPr>
                <w:rFonts w:hint="default" w:ascii="Times New Roman" w:hAnsi="Times New Roman" w:eastAsia="宋体" w:cs="Times New Roman"/>
                <w:color w:val="auto"/>
                <w:sz w:val="24"/>
                <w:szCs w:val="24"/>
              </w:rPr>
              <w:t>。</w:t>
            </w:r>
          </w:p>
          <w:p>
            <w:pPr>
              <w:keepNext w:val="0"/>
              <w:keepLines w:val="0"/>
              <w:pageBreakBefore w:val="0"/>
              <w:widowControl/>
              <w:kinsoku/>
              <w:wordWrap/>
              <w:overflowPunct/>
              <w:topLinePunct w:val="0"/>
              <w:autoSpaceDE/>
              <w:autoSpaceDN/>
              <w:bidi w:val="0"/>
              <w:adjustRightInd w:val="0"/>
              <w:snapToGrid w:val="0"/>
              <w:spacing w:line="360" w:lineRule="auto"/>
              <w:ind w:firstLine="482" w:firstLineChars="200"/>
              <w:jc w:val="center"/>
              <w:textAlignment w:val="auto"/>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表</w:t>
            </w:r>
            <w:r>
              <w:rPr>
                <w:rFonts w:hint="eastAsia" w:cs="Times New Roman"/>
                <w:b/>
                <w:color w:val="auto"/>
                <w:sz w:val="24"/>
                <w:szCs w:val="24"/>
                <w:lang w:val="en-US" w:eastAsia="zh-CN"/>
              </w:rPr>
              <w:t xml:space="preserve">8 </w:t>
            </w:r>
            <w:r>
              <w:rPr>
                <w:rFonts w:hint="default" w:ascii="Times New Roman" w:hAnsi="Times New Roman" w:eastAsia="宋体" w:cs="Times New Roman"/>
                <w:b/>
                <w:color w:val="auto"/>
                <w:sz w:val="24"/>
                <w:szCs w:val="24"/>
                <w:lang w:val="en-US" w:eastAsia="zh-CN"/>
              </w:rPr>
              <w:t>415</w:t>
            </w:r>
            <w:r>
              <w:rPr>
                <w:rFonts w:hint="default" w:ascii="Times New Roman" w:hAnsi="Times New Roman" w:eastAsia="宋体" w:cs="Times New Roman"/>
                <w:b/>
                <w:color w:val="auto"/>
                <w:sz w:val="24"/>
                <w:szCs w:val="24"/>
              </w:rPr>
              <w:t>Wp单晶硅太阳能电池组件技术参数表</w:t>
            </w:r>
          </w:p>
          <w:tbl>
            <w:tblPr>
              <w:tblStyle w:val="30"/>
              <w:tblW w:w="5000"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4922"/>
              <w:gridCol w:w="406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2740" w:type="pct"/>
                  <w:vAlign w:val="center"/>
                </w:tcPr>
                <w:p>
                  <w:pPr>
                    <w:pStyle w:val="29"/>
                    <w:spacing w:line="4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最大工作功率(Wp)</w:t>
                  </w:r>
                </w:p>
              </w:tc>
              <w:tc>
                <w:tcPr>
                  <w:tcW w:w="2260" w:type="pct"/>
                  <w:vAlign w:val="center"/>
                </w:tcPr>
                <w:p>
                  <w:pPr>
                    <w:pStyle w:val="29"/>
                    <w:spacing w:line="4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415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2740" w:type="pct"/>
                  <w:vAlign w:val="center"/>
                </w:tcPr>
                <w:p>
                  <w:pPr>
                    <w:pStyle w:val="29"/>
                    <w:spacing w:line="4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光电转换效率</w:t>
                  </w:r>
                </w:p>
              </w:tc>
              <w:tc>
                <w:tcPr>
                  <w:tcW w:w="2260" w:type="pct"/>
                  <w:vAlign w:val="center"/>
                </w:tcPr>
                <w:p>
                  <w:pPr>
                    <w:pStyle w:val="29"/>
                    <w:spacing w:line="4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2740" w:type="pct"/>
                  <w:vAlign w:val="center"/>
                </w:tcPr>
                <w:p>
                  <w:pPr>
                    <w:pStyle w:val="29"/>
                    <w:spacing w:line="4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工作点电压(V)</w:t>
                  </w:r>
                </w:p>
              </w:tc>
              <w:tc>
                <w:tcPr>
                  <w:tcW w:w="2260" w:type="pct"/>
                  <w:vAlign w:val="center"/>
                </w:tcPr>
                <w:p>
                  <w:pPr>
                    <w:pStyle w:val="29"/>
                    <w:spacing w:line="4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42.9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2740" w:type="pct"/>
                  <w:vAlign w:val="center"/>
                </w:tcPr>
                <w:p>
                  <w:pPr>
                    <w:pStyle w:val="29"/>
                    <w:spacing w:line="4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工作点电流(A)</w:t>
                  </w:r>
                </w:p>
              </w:tc>
              <w:tc>
                <w:tcPr>
                  <w:tcW w:w="2260" w:type="pct"/>
                  <w:vAlign w:val="center"/>
                </w:tcPr>
                <w:p>
                  <w:pPr>
                    <w:pStyle w:val="29"/>
                    <w:spacing w:line="4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9.68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2740" w:type="pct"/>
                  <w:vAlign w:val="center"/>
                </w:tcPr>
                <w:p>
                  <w:pPr>
                    <w:pStyle w:val="29"/>
                    <w:spacing w:line="4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开路电压(V)</w:t>
                  </w:r>
                </w:p>
              </w:tc>
              <w:tc>
                <w:tcPr>
                  <w:tcW w:w="2260" w:type="pct"/>
                  <w:vAlign w:val="center"/>
                </w:tcPr>
                <w:p>
                  <w:pPr>
                    <w:pStyle w:val="29"/>
                    <w:spacing w:line="4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50.2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2740" w:type="pct"/>
                  <w:vAlign w:val="center"/>
                </w:tcPr>
                <w:p>
                  <w:pPr>
                    <w:pStyle w:val="29"/>
                    <w:spacing w:line="4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短路电流(A)</w:t>
                  </w:r>
                </w:p>
              </w:tc>
              <w:tc>
                <w:tcPr>
                  <w:tcW w:w="2260" w:type="pct"/>
                  <w:vAlign w:val="center"/>
                </w:tcPr>
                <w:p>
                  <w:pPr>
                    <w:pStyle w:val="29"/>
                    <w:spacing w:line="4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10.29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2740" w:type="pct"/>
                  <w:vAlign w:val="center"/>
                </w:tcPr>
                <w:p>
                  <w:pPr>
                    <w:pStyle w:val="29"/>
                    <w:spacing w:line="4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短路电流随温度变化系数(%/℃)</w:t>
                  </w:r>
                </w:p>
              </w:tc>
              <w:tc>
                <w:tcPr>
                  <w:tcW w:w="2260" w:type="pct"/>
                  <w:vAlign w:val="center"/>
                </w:tcPr>
                <w:p>
                  <w:pPr>
                    <w:pStyle w:val="29"/>
                    <w:spacing w:line="4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2740" w:type="pct"/>
                  <w:vAlign w:val="center"/>
                </w:tcPr>
                <w:p>
                  <w:pPr>
                    <w:pStyle w:val="29"/>
                    <w:spacing w:line="4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开路电压随温度变化系数(%/℃)</w:t>
                  </w:r>
                </w:p>
              </w:tc>
              <w:tc>
                <w:tcPr>
                  <w:tcW w:w="2260" w:type="pct"/>
                  <w:vAlign w:val="center"/>
                </w:tcPr>
                <w:p>
                  <w:pPr>
                    <w:pStyle w:val="29"/>
                    <w:spacing w:line="4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2740" w:type="pct"/>
                  <w:vAlign w:val="center"/>
                </w:tcPr>
                <w:p>
                  <w:pPr>
                    <w:pStyle w:val="29"/>
                    <w:spacing w:line="4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最大功率随温度变化系数(%/℃)</w:t>
                  </w:r>
                </w:p>
              </w:tc>
              <w:tc>
                <w:tcPr>
                  <w:tcW w:w="2260" w:type="pct"/>
                  <w:vAlign w:val="center"/>
                </w:tcPr>
                <w:p>
                  <w:pPr>
                    <w:pStyle w:val="29"/>
                    <w:spacing w:line="4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-0.37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2740" w:type="pct"/>
                  <w:vAlign w:val="center"/>
                </w:tcPr>
                <w:p>
                  <w:pPr>
                    <w:pStyle w:val="29"/>
                    <w:spacing w:line="4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组件规格(mm)</w:t>
                  </w:r>
                </w:p>
              </w:tc>
              <w:tc>
                <w:tcPr>
                  <w:tcW w:w="2260" w:type="pct"/>
                  <w:vAlign w:val="center"/>
                </w:tcPr>
                <w:p>
                  <w:pPr>
                    <w:pStyle w:val="29"/>
                    <w:spacing w:line="4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2024×1004×35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2740" w:type="pct"/>
                  <w:vAlign w:val="center"/>
                </w:tcPr>
                <w:p>
                  <w:pPr>
                    <w:pStyle w:val="29"/>
                    <w:spacing w:line="4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重量(kg)</w:t>
                  </w:r>
                </w:p>
              </w:tc>
              <w:tc>
                <w:tcPr>
                  <w:tcW w:w="2260" w:type="pct"/>
                  <w:vAlign w:val="center"/>
                </w:tcPr>
                <w:p>
                  <w:pPr>
                    <w:pStyle w:val="29"/>
                    <w:spacing w:line="4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22.8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2740" w:type="pct"/>
                  <w:vAlign w:val="center"/>
                </w:tcPr>
                <w:p>
                  <w:pPr>
                    <w:pStyle w:val="29"/>
                    <w:spacing w:line="4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最大系统电压</w:t>
                  </w:r>
                </w:p>
              </w:tc>
              <w:tc>
                <w:tcPr>
                  <w:tcW w:w="2260" w:type="pct"/>
                  <w:vAlign w:val="center"/>
                </w:tcPr>
                <w:p>
                  <w:pPr>
                    <w:pStyle w:val="29"/>
                    <w:spacing w:line="4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1500VDC</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2740" w:type="pct"/>
                  <w:vAlign w:val="center"/>
                </w:tcPr>
                <w:p>
                  <w:pPr>
                    <w:pStyle w:val="29"/>
                    <w:spacing w:line="4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工作温度</w:t>
                  </w:r>
                </w:p>
              </w:tc>
              <w:tc>
                <w:tcPr>
                  <w:tcW w:w="2260" w:type="pct"/>
                  <w:vAlign w:val="center"/>
                </w:tcPr>
                <w:p>
                  <w:pPr>
                    <w:pStyle w:val="29"/>
                    <w:spacing w:line="4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-40～85℃</w:t>
                  </w:r>
                </w:p>
              </w:tc>
            </w:tr>
          </w:tbl>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逆变器</w:t>
            </w:r>
          </w:p>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本工程根据光伏分区情况，采用</w:t>
            </w:r>
            <w:r>
              <w:rPr>
                <w:rFonts w:hint="default" w:ascii="Times New Roman" w:hAnsi="Times New Roman" w:eastAsia="宋体" w:cs="Times New Roman"/>
                <w:color w:val="auto"/>
                <w:sz w:val="24"/>
                <w:szCs w:val="24"/>
                <w:highlight w:val="none"/>
                <w:lang w:val="en-US" w:eastAsia="zh-CN"/>
              </w:rPr>
              <w:t>8</w:t>
            </w:r>
            <w:r>
              <w:rPr>
                <w:rFonts w:hint="default" w:ascii="Times New Roman" w:hAnsi="Times New Roman" w:eastAsia="宋体" w:cs="Times New Roman"/>
                <w:color w:val="auto"/>
                <w:sz w:val="24"/>
                <w:szCs w:val="24"/>
                <w:highlight w:val="none"/>
              </w:rPr>
              <w:t>台3</w:t>
            </w:r>
            <w:r>
              <w:rPr>
                <w:rFonts w:hint="default" w:ascii="Times New Roman" w:hAnsi="Times New Roman" w:eastAsia="宋体" w:cs="Times New Roman"/>
                <w:color w:val="auto"/>
                <w:sz w:val="24"/>
                <w:szCs w:val="24"/>
              </w:rPr>
              <w:t>125kW箱逆变一体机</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内含逆变器及35kV升压变</w:t>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rPr>
              <w:t>、1台1250kW箱逆变一体机</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内含逆变器及35kV升压变</w:t>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rPr>
              <w:t>及3台196kW组串式逆变器</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逆变器均采用直流1500V电压，可以有效降低直流侧损耗，提高发电效率。</w:t>
            </w:r>
            <w:r>
              <w:rPr>
                <w:rFonts w:hint="eastAsia" w:cs="Times New Roman"/>
                <w:color w:val="auto"/>
                <w:sz w:val="24"/>
                <w:szCs w:val="24"/>
                <w:lang w:val="en-US" w:eastAsia="zh-CN"/>
              </w:rPr>
              <w:t>逆变器技术参数表9。</w:t>
            </w:r>
          </w:p>
          <w:p>
            <w:pPr>
              <w:keepNext w:val="0"/>
              <w:keepLines w:val="0"/>
              <w:pageBreakBefore w:val="0"/>
              <w:widowControl/>
              <w:kinsoku/>
              <w:wordWrap/>
              <w:overflowPunct/>
              <w:topLinePunct w:val="0"/>
              <w:autoSpaceDE/>
              <w:autoSpaceDN/>
              <w:bidi w:val="0"/>
              <w:adjustRightInd w:val="0"/>
              <w:snapToGrid w:val="0"/>
              <w:spacing w:before="157" w:beforeLines="50" w:line="360" w:lineRule="auto"/>
              <w:ind w:firstLine="482" w:firstLineChars="20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
                <w:color w:val="auto"/>
                <w:sz w:val="24"/>
                <w:szCs w:val="24"/>
              </w:rPr>
              <w:t>表</w:t>
            </w:r>
            <w:r>
              <w:rPr>
                <w:rFonts w:hint="eastAsia" w:cs="Times New Roman"/>
                <w:b/>
                <w:color w:val="auto"/>
                <w:sz w:val="24"/>
                <w:szCs w:val="24"/>
                <w:lang w:val="en-US" w:eastAsia="zh-CN"/>
              </w:rPr>
              <w:t xml:space="preserve">9 </w:t>
            </w:r>
            <w:r>
              <w:rPr>
                <w:rFonts w:hint="default" w:ascii="Times New Roman" w:hAnsi="Times New Roman" w:eastAsia="宋体" w:cs="Times New Roman"/>
                <w:b/>
                <w:color w:val="auto"/>
                <w:sz w:val="24"/>
                <w:szCs w:val="24"/>
                <w:lang w:val="en-US" w:eastAsia="zh-CN"/>
              </w:rPr>
              <w:t>逆变器</w:t>
            </w:r>
            <w:r>
              <w:rPr>
                <w:rFonts w:hint="default" w:ascii="Times New Roman" w:hAnsi="Times New Roman" w:eastAsia="宋体" w:cs="Times New Roman"/>
                <w:b/>
                <w:color w:val="auto"/>
                <w:sz w:val="24"/>
                <w:szCs w:val="24"/>
              </w:rPr>
              <w:t>技术参数表</w:t>
            </w:r>
          </w:p>
          <w:tbl>
            <w:tblPr>
              <w:tblStyle w:val="30"/>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0"/>
              <w:gridCol w:w="1041"/>
              <w:gridCol w:w="2553"/>
              <w:gridCol w:w="2516"/>
              <w:gridCol w:w="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 w:type="pct"/>
                <w:trHeight w:val="397" w:hRule="exact"/>
              </w:trPr>
              <w:tc>
                <w:tcPr>
                  <w:tcW w:w="1583" w:type="pct"/>
                  <w:vAlign w:val="center"/>
                </w:tcPr>
                <w:p>
                  <w:pPr>
                    <w:widowControl/>
                    <w:spacing w:line="0" w:lineRule="atLeas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技术参数</w:t>
                  </w:r>
                </w:p>
              </w:tc>
              <w:tc>
                <w:tcPr>
                  <w:tcW w:w="580" w:type="pct"/>
                  <w:vAlign w:val="center"/>
                </w:tcPr>
                <w:p>
                  <w:pPr>
                    <w:widowControl/>
                    <w:spacing w:line="0" w:lineRule="atLeas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单位</w:t>
                  </w:r>
                </w:p>
              </w:tc>
              <w:tc>
                <w:tcPr>
                  <w:tcW w:w="1423" w:type="pct"/>
                  <w:tcBorders>
                    <w:right w:val="single" w:color="000000" w:sz="4" w:space="0"/>
                  </w:tcBorders>
                  <w:vAlign w:val="center"/>
                </w:tcPr>
                <w:p>
                  <w:pPr>
                    <w:widowControl/>
                    <w:spacing w:line="0" w:lineRule="atLeas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集中式</w:t>
                  </w:r>
                </w:p>
              </w:tc>
              <w:tc>
                <w:tcPr>
                  <w:tcW w:w="1402" w:type="pct"/>
                  <w:tcBorders>
                    <w:left w:val="single" w:color="000000" w:sz="4" w:space="0"/>
                  </w:tcBorders>
                  <w:vAlign w:val="center"/>
                </w:tcPr>
                <w:p>
                  <w:pPr>
                    <w:spacing w:line="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组串式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583" w:type="pct"/>
                  <w:vAlign w:val="center"/>
                </w:tcPr>
                <w:p>
                  <w:pPr>
                    <w:spacing w:line="0" w:lineRule="atLeast"/>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输入</w:t>
                  </w:r>
                </w:p>
              </w:tc>
              <w:tc>
                <w:tcPr>
                  <w:tcW w:w="3416" w:type="pct"/>
                  <w:gridSpan w:val="4"/>
                  <w:vAlign w:val="center"/>
                </w:tcPr>
                <w:p>
                  <w:pPr>
                    <w:spacing w:line="0" w:lineRule="atLeast"/>
                    <w:jc w:val="center"/>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 w:type="pct"/>
                <w:trHeight w:val="397" w:hRule="exact"/>
              </w:trPr>
              <w:tc>
                <w:tcPr>
                  <w:tcW w:w="1583" w:type="pct"/>
                  <w:vAlign w:val="center"/>
                </w:tcPr>
                <w:p>
                  <w:pPr>
                    <w:spacing w:line="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最大输入电压</w:t>
                  </w:r>
                </w:p>
              </w:tc>
              <w:tc>
                <w:tcPr>
                  <w:tcW w:w="580" w:type="pct"/>
                  <w:vAlign w:val="center"/>
                </w:tcPr>
                <w:p>
                  <w:pPr>
                    <w:spacing w:line="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V</w:t>
                  </w:r>
                </w:p>
              </w:tc>
              <w:tc>
                <w:tcPr>
                  <w:tcW w:w="1423" w:type="pct"/>
                  <w:tcBorders>
                    <w:right w:val="single" w:color="000000" w:sz="4" w:space="0"/>
                  </w:tcBorders>
                  <w:vAlign w:val="center"/>
                </w:tcPr>
                <w:p>
                  <w:pPr>
                    <w:spacing w:line="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1500</w:t>
                  </w:r>
                </w:p>
              </w:tc>
              <w:tc>
                <w:tcPr>
                  <w:tcW w:w="1402" w:type="pct"/>
                  <w:tcBorders>
                    <w:left w:val="single" w:color="000000" w:sz="4" w:space="0"/>
                  </w:tcBorders>
                  <w:vAlign w:val="center"/>
                </w:tcPr>
                <w:p>
                  <w:pPr>
                    <w:spacing w:line="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 w:type="pct"/>
                <w:trHeight w:val="437" w:hRule="exact"/>
              </w:trPr>
              <w:tc>
                <w:tcPr>
                  <w:tcW w:w="1583" w:type="pct"/>
                  <w:vAlign w:val="center"/>
                </w:tcPr>
                <w:p>
                  <w:pPr>
                    <w:spacing w:line="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最小输入/启动电压</w:t>
                  </w:r>
                </w:p>
              </w:tc>
              <w:tc>
                <w:tcPr>
                  <w:tcW w:w="580" w:type="pct"/>
                  <w:vAlign w:val="center"/>
                </w:tcPr>
                <w:p>
                  <w:pPr>
                    <w:spacing w:line="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V</w:t>
                  </w:r>
                </w:p>
              </w:tc>
              <w:tc>
                <w:tcPr>
                  <w:tcW w:w="1423" w:type="pct"/>
                  <w:vAlign w:val="center"/>
                </w:tcPr>
                <w:p>
                  <w:pPr>
                    <w:spacing w:line="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875/915</w:t>
                  </w:r>
                </w:p>
              </w:tc>
              <w:tc>
                <w:tcPr>
                  <w:tcW w:w="1402" w:type="pct"/>
                  <w:vAlign w:val="center"/>
                </w:tcPr>
                <w:p>
                  <w:pPr>
                    <w:spacing w:line="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10" w:type="pct"/>
                <w:trHeight w:val="397" w:hRule="exact"/>
              </w:trPr>
              <w:tc>
                <w:tcPr>
                  <w:tcW w:w="1583" w:type="pct"/>
                  <w:vAlign w:val="center"/>
                </w:tcPr>
                <w:p>
                  <w:pPr>
                    <w:spacing w:line="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MPPT电压范围</w:t>
                  </w:r>
                </w:p>
              </w:tc>
              <w:tc>
                <w:tcPr>
                  <w:tcW w:w="580" w:type="pct"/>
                  <w:vAlign w:val="center"/>
                </w:tcPr>
                <w:p>
                  <w:pPr>
                    <w:spacing w:line="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V</w:t>
                  </w:r>
                </w:p>
              </w:tc>
              <w:tc>
                <w:tcPr>
                  <w:tcW w:w="1423" w:type="pct"/>
                  <w:vAlign w:val="center"/>
                </w:tcPr>
                <w:p>
                  <w:pPr>
                    <w:spacing w:line="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875~1300</w:t>
                  </w:r>
                </w:p>
              </w:tc>
              <w:tc>
                <w:tcPr>
                  <w:tcW w:w="1402" w:type="pct"/>
                  <w:vAlign w:val="center"/>
                </w:tcPr>
                <w:p>
                  <w:pPr>
                    <w:spacing w:line="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500~1500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 w:type="pct"/>
                <w:trHeight w:val="397" w:hRule="exact"/>
              </w:trPr>
              <w:tc>
                <w:tcPr>
                  <w:tcW w:w="1583" w:type="pct"/>
                  <w:vAlign w:val="center"/>
                </w:tcPr>
                <w:p>
                  <w:pPr>
                    <w:spacing w:line="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MPPT数量</w:t>
                  </w:r>
                </w:p>
              </w:tc>
              <w:tc>
                <w:tcPr>
                  <w:tcW w:w="580" w:type="pct"/>
                  <w:vAlign w:val="center"/>
                </w:tcPr>
                <w:p>
                  <w:pPr>
                    <w:spacing w:line="0" w:lineRule="atLeast"/>
                    <w:jc w:val="center"/>
                    <w:rPr>
                      <w:rFonts w:hint="default" w:ascii="Times New Roman" w:hAnsi="Times New Roman" w:eastAsia="宋体" w:cs="Times New Roman"/>
                      <w:color w:val="auto"/>
                      <w:sz w:val="21"/>
                      <w:szCs w:val="21"/>
                    </w:rPr>
                  </w:pPr>
                </w:p>
              </w:tc>
              <w:tc>
                <w:tcPr>
                  <w:tcW w:w="1423" w:type="pct"/>
                  <w:vAlign w:val="center"/>
                </w:tcPr>
                <w:p>
                  <w:pPr>
                    <w:spacing w:line="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1402" w:type="pct"/>
                  <w:vAlign w:val="center"/>
                </w:tcPr>
                <w:p>
                  <w:pPr>
                    <w:spacing w:line="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 w:type="pct"/>
                <w:trHeight w:val="397" w:hRule="exact"/>
              </w:trPr>
              <w:tc>
                <w:tcPr>
                  <w:tcW w:w="1583" w:type="pct"/>
                  <w:vAlign w:val="center"/>
                </w:tcPr>
                <w:p>
                  <w:pPr>
                    <w:spacing w:line="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每路最大电流</w:t>
                  </w:r>
                </w:p>
              </w:tc>
              <w:tc>
                <w:tcPr>
                  <w:tcW w:w="580" w:type="pct"/>
                  <w:vAlign w:val="center"/>
                </w:tcPr>
                <w:p>
                  <w:pPr>
                    <w:spacing w:line="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A</w:t>
                  </w:r>
                </w:p>
              </w:tc>
              <w:tc>
                <w:tcPr>
                  <w:tcW w:w="1423" w:type="pct"/>
                  <w:tcBorders>
                    <w:right w:val="single" w:color="000000" w:sz="4" w:space="0"/>
                  </w:tcBorders>
                  <w:vAlign w:val="center"/>
                </w:tcPr>
                <w:p>
                  <w:pPr>
                    <w:spacing w:line="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4178</w:t>
                  </w:r>
                </w:p>
              </w:tc>
              <w:tc>
                <w:tcPr>
                  <w:tcW w:w="1402" w:type="pct"/>
                  <w:tcBorders>
                    <w:left w:val="single" w:color="000000" w:sz="4" w:space="0"/>
                  </w:tcBorders>
                  <w:vAlign w:val="center"/>
                </w:tcPr>
                <w:p>
                  <w:pPr>
                    <w:spacing w:line="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583" w:type="pct"/>
                  <w:vAlign w:val="center"/>
                </w:tcPr>
                <w:p>
                  <w:pPr>
                    <w:spacing w:line="0" w:lineRule="atLeast"/>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输出</w:t>
                  </w:r>
                </w:p>
              </w:tc>
              <w:tc>
                <w:tcPr>
                  <w:tcW w:w="3416" w:type="pct"/>
                  <w:gridSpan w:val="4"/>
                  <w:vAlign w:val="center"/>
                </w:tcPr>
                <w:p>
                  <w:pPr>
                    <w:spacing w:line="0" w:lineRule="atLeast"/>
                    <w:jc w:val="center"/>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 w:type="pct"/>
                <w:trHeight w:val="397" w:hRule="exact"/>
              </w:trPr>
              <w:tc>
                <w:tcPr>
                  <w:tcW w:w="1583" w:type="pct"/>
                  <w:vAlign w:val="center"/>
                </w:tcPr>
                <w:p>
                  <w:pPr>
                    <w:spacing w:line="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额定输出功率</w:t>
                  </w:r>
                </w:p>
              </w:tc>
              <w:tc>
                <w:tcPr>
                  <w:tcW w:w="580" w:type="pct"/>
                  <w:vAlign w:val="center"/>
                </w:tcPr>
                <w:p>
                  <w:pPr>
                    <w:spacing w:line="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kVA</w:t>
                  </w:r>
                </w:p>
              </w:tc>
              <w:tc>
                <w:tcPr>
                  <w:tcW w:w="1423" w:type="pct"/>
                  <w:vAlign w:val="center"/>
                </w:tcPr>
                <w:p>
                  <w:pPr>
                    <w:spacing w:line="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3125</w:t>
                  </w:r>
                </w:p>
              </w:tc>
              <w:tc>
                <w:tcPr>
                  <w:tcW w:w="1402" w:type="pct"/>
                  <w:tcBorders>
                    <w:left w:val="single" w:color="000000" w:sz="4" w:space="0"/>
                  </w:tcBorders>
                  <w:vAlign w:val="center"/>
                </w:tcPr>
                <w:p>
                  <w:pPr>
                    <w:spacing w:line="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 w:type="pct"/>
                <w:trHeight w:val="397" w:hRule="exact"/>
              </w:trPr>
              <w:tc>
                <w:tcPr>
                  <w:tcW w:w="1583" w:type="pct"/>
                  <w:vAlign w:val="center"/>
                </w:tcPr>
                <w:p>
                  <w:pPr>
                    <w:spacing w:line="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最大交流输出功率</w:t>
                  </w:r>
                </w:p>
              </w:tc>
              <w:tc>
                <w:tcPr>
                  <w:tcW w:w="580" w:type="pct"/>
                  <w:vAlign w:val="center"/>
                </w:tcPr>
                <w:p>
                  <w:pPr>
                    <w:spacing w:line="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kVA</w:t>
                  </w:r>
                </w:p>
              </w:tc>
              <w:tc>
                <w:tcPr>
                  <w:tcW w:w="1423" w:type="pct"/>
                  <w:vAlign w:val="center"/>
                </w:tcPr>
                <w:p>
                  <w:pPr>
                    <w:spacing w:line="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3593</w:t>
                  </w:r>
                </w:p>
              </w:tc>
              <w:tc>
                <w:tcPr>
                  <w:tcW w:w="1402" w:type="pct"/>
                  <w:vAlign w:val="center"/>
                </w:tcPr>
                <w:p>
                  <w:pPr>
                    <w:spacing w:line="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 w:type="pct"/>
                <w:trHeight w:val="397" w:hRule="exact"/>
              </w:trPr>
              <w:tc>
                <w:tcPr>
                  <w:tcW w:w="1583" w:type="pct"/>
                  <w:vAlign w:val="center"/>
                </w:tcPr>
                <w:p>
                  <w:pPr>
                    <w:spacing w:line="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额定电网频率</w:t>
                  </w:r>
                </w:p>
              </w:tc>
              <w:tc>
                <w:tcPr>
                  <w:tcW w:w="580" w:type="pct"/>
                  <w:vAlign w:val="center"/>
                </w:tcPr>
                <w:p>
                  <w:pPr>
                    <w:spacing w:line="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Hz</w:t>
                  </w:r>
                </w:p>
              </w:tc>
              <w:tc>
                <w:tcPr>
                  <w:tcW w:w="1423" w:type="pct"/>
                  <w:vAlign w:val="center"/>
                </w:tcPr>
                <w:p>
                  <w:pPr>
                    <w:spacing w:line="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50</w:t>
                  </w:r>
                </w:p>
              </w:tc>
              <w:tc>
                <w:tcPr>
                  <w:tcW w:w="1402" w:type="pct"/>
                  <w:vAlign w:val="center"/>
                </w:tcPr>
                <w:p>
                  <w:pPr>
                    <w:spacing w:line="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 w:type="pct"/>
                <w:trHeight w:val="397" w:hRule="exact"/>
              </w:trPr>
              <w:tc>
                <w:tcPr>
                  <w:tcW w:w="1583" w:type="pct"/>
                  <w:vAlign w:val="center"/>
                </w:tcPr>
                <w:p>
                  <w:pPr>
                    <w:spacing w:line="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功率因素范围</w:t>
                  </w:r>
                </w:p>
              </w:tc>
              <w:tc>
                <w:tcPr>
                  <w:tcW w:w="580" w:type="pct"/>
                  <w:vAlign w:val="center"/>
                </w:tcPr>
                <w:p>
                  <w:pPr>
                    <w:spacing w:line="0" w:lineRule="atLeast"/>
                    <w:jc w:val="center"/>
                    <w:rPr>
                      <w:rFonts w:hint="default" w:ascii="Times New Roman" w:hAnsi="Times New Roman" w:eastAsia="宋体" w:cs="Times New Roman"/>
                      <w:color w:val="auto"/>
                      <w:sz w:val="21"/>
                      <w:szCs w:val="21"/>
                    </w:rPr>
                  </w:pPr>
                </w:p>
              </w:tc>
              <w:tc>
                <w:tcPr>
                  <w:tcW w:w="1423" w:type="pct"/>
                  <w:tcBorders>
                    <w:right w:val="single" w:color="000000" w:sz="4" w:space="0"/>
                  </w:tcBorders>
                  <w:vAlign w:val="center"/>
                </w:tcPr>
                <w:p>
                  <w:pPr>
                    <w:widowControl/>
                    <w:spacing w:line="0" w:lineRule="atLeas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-0.8~+0.8</w:t>
                  </w:r>
                </w:p>
              </w:tc>
              <w:tc>
                <w:tcPr>
                  <w:tcW w:w="1402" w:type="pct"/>
                  <w:tcBorders>
                    <w:left w:val="single" w:color="000000" w:sz="4" w:space="0"/>
                  </w:tcBorders>
                  <w:vAlign w:val="center"/>
                </w:tcPr>
                <w:p>
                  <w:pPr>
                    <w:spacing w:line="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-0.8~0.8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583" w:type="pct"/>
                  <w:vAlign w:val="center"/>
                </w:tcPr>
                <w:p>
                  <w:pPr>
                    <w:spacing w:line="0" w:lineRule="atLeast"/>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效率</w:t>
                  </w:r>
                </w:p>
              </w:tc>
              <w:tc>
                <w:tcPr>
                  <w:tcW w:w="3416" w:type="pct"/>
                  <w:gridSpan w:val="4"/>
                  <w:vAlign w:val="center"/>
                </w:tcPr>
                <w:p>
                  <w:pPr>
                    <w:spacing w:line="0" w:lineRule="atLeast"/>
                    <w:jc w:val="center"/>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 w:type="pct"/>
                <w:trHeight w:val="397" w:hRule="exact"/>
              </w:trPr>
              <w:tc>
                <w:tcPr>
                  <w:tcW w:w="1583" w:type="pct"/>
                  <w:vAlign w:val="center"/>
                </w:tcPr>
                <w:p>
                  <w:pPr>
                    <w:spacing w:line="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最大效率</w:t>
                  </w:r>
                </w:p>
              </w:tc>
              <w:tc>
                <w:tcPr>
                  <w:tcW w:w="580" w:type="pct"/>
                  <w:vAlign w:val="center"/>
                </w:tcPr>
                <w:p>
                  <w:pPr>
                    <w:spacing w:line="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423" w:type="pct"/>
                  <w:tcBorders>
                    <w:right w:val="single" w:color="000000" w:sz="4" w:space="0"/>
                  </w:tcBorders>
                  <w:vAlign w:val="center"/>
                </w:tcPr>
                <w:p>
                  <w:pPr>
                    <w:spacing w:line="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99.0</w:t>
                  </w:r>
                </w:p>
              </w:tc>
              <w:tc>
                <w:tcPr>
                  <w:tcW w:w="1402" w:type="pct"/>
                  <w:tcBorders>
                    <w:left w:val="single" w:color="000000" w:sz="4" w:space="0"/>
                  </w:tcBorders>
                  <w:vAlign w:val="center"/>
                </w:tcPr>
                <w:p>
                  <w:pPr>
                    <w:spacing w:line="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583" w:type="pct"/>
                  <w:vAlign w:val="center"/>
                </w:tcPr>
                <w:p>
                  <w:pPr>
                    <w:spacing w:line="0" w:lineRule="atLeast"/>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常规数据</w:t>
                  </w:r>
                </w:p>
              </w:tc>
              <w:tc>
                <w:tcPr>
                  <w:tcW w:w="3416" w:type="pct"/>
                  <w:gridSpan w:val="4"/>
                  <w:vAlign w:val="center"/>
                </w:tcPr>
                <w:p>
                  <w:pPr>
                    <w:spacing w:line="0" w:lineRule="atLeast"/>
                    <w:jc w:val="center"/>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 w:type="pct"/>
                <w:trHeight w:val="641" w:hRule="exact"/>
              </w:trPr>
              <w:tc>
                <w:tcPr>
                  <w:tcW w:w="1583" w:type="pct"/>
                  <w:vAlign w:val="center"/>
                </w:tcPr>
                <w:p>
                  <w:pPr>
                    <w:spacing w:line="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尺寸（宽×高×深）</w:t>
                  </w:r>
                </w:p>
              </w:tc>
              <w:tc>
                <w:tcPr>
                  <w:tcW w:w="580" w:type="pct"/>
                  <w:vAlign w:val="center"/>
                </w:tcPr>
                <w:p>
                  <w:pPr>
                    <w:spacing w:line="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mm</w:t>
                  </w:r>
                </w:p>
              </w:tc>
              <w:tc>
                <w:tcPr>
                  <w:tcW w:w="1423" w:type="pct"/>
                  <w:vAlign w:val="center"/>
                </w:tcPr>
                <w:p>
                  <w:pPr>
                    <w:spacing w:line="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6058×2896×2438</w:t>
                  </w:r>
                </w:p>
              </w:tc>
              <w:tc>
                <w:tcPr>
                  <w:tcW w:w="1402" w:type="pct"/>
                  <w:vAlign w:val="center"/>
                </w:tcPr>
                <w:p>
                  <w:pPr>
                    <w:spacing w:line="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1035×700×365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 w:type="pct"/>
                <w:trHeight w:val="397" w:hRule="exact"/>
              </w:trPr>
              <w:tc>
                <w:tcPr>
                  <w:tcW w:w="1583" w:type="pct"/>
                  <w:vAlign w:val="center"/>
                </w:tcPr>
                <w:p>
                  <w:pPr>
                    <w:spacing w:line="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重量</w:t>
                  </w:r>
                </w:p>
              </w:tc>
              <w:tc>
                <w:tcPr>
                  <w:tcW w:w="580" w:type="pct"/>
                  <w:vAlign w:val="center"/>
                </w:tcPr>
                <w:p>
                  <w:pPr>
                    <w:spacing w:line="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kg</w:t>
                  </w:r>
                </w:p>
              </w:tc>
              <w:tc>
                <w:tcPr>
                  <w:tcW w:w="1423" w:type="pct"/>
                  <w:vAlign w:val="center"/>
                </w:tcPr>
                <w:p>
                  <w:pPr>
                    <w:spacing w:line="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18000（含箱变）</w:t>
                  </w:r>
                </w:p>
              </w:tc>
              <w:tc>
                <w:tcPr>
                  <w:tcW w:w="1402" w:type="pct"/>
                  <w:vAlign w:val="center"/>
                </w:tcPr>
                <w:p>
                  <w:pPr>
                    <w:spacing w:line="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 w:type="pct"/>
                <w:trHeight w:val="397" w:hRule="exact"/>
              </w:trPr>
              <w:tc>
                <w:tcPr>
                  <w:tcW w:w="1583" w:type="pct"/>
                  <w:vAlign w:val="center"/>
                </w:tcPr>
                <w:p>
                  <w:pPr>
                    <w:spacing w:line="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工作温度范围</w:t>
                  </w:r>
                </w:p>
              </w:tc>
              <w:tc>
                <w:tcPr>
                  <w:tcW w:w="580" w:type="pct"/>
                  <w:vAlign w:val="center"/>
                </w:tcPr>
                <w:p>
                  <w:pPr>
                    <w:spacing w:line="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423" w:type="pct"/>
                  <w:vAlign w:val="center"/>
                </w:tcPr>
                <w:p>
                  <w:pPr>
                    <w:spacing w:line="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-35~60</w:t>
                  </w:r>
                </w:p>
              </w:tc>
              <w:tc>
                <w:tcPr>
                  <w:tcW w:w="1402" w:type="pct"/>
                  <w:vAlign w:val="center"/>
                </w:tcPr>
                <w:p>
                  <w:pPr>
                    <w:spacing w:line="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-25~60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 w:type="pct"/>
                <w:trHeight w:val="397" w:hRule="exact"/>
              </w:trPr>
              <w:tc>
                <w:tcPr>
                  <w:tcW w:w="1583" w:type="pct"/>
                  <w:vAlign w:val="center"/>
                </w:tcPr>
                <w:p>
                  <w:pPr>
                    <w:spacing w:line="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散热方式</w:t>
                  </w:r>
                </w:p>
              </w:tc>
              <w:tc>
                <w:tcPr>
                  <w:tcW w:w="580" w:type="pct"/>
                  <w:vAlign w:val="center"/>
                </w:tcPr>
                <w:p>
                  <w:pPr>
                    <w:spacing w:line="0" w:lineRule="atLeast"/>
                    <w:jc w:val="center"/>
                    <w:rPr>
                      <w:rFonts w:hint="default" w:ascii="Times New Roman" w:hAnsi="Times New Roman" w:eastAsia="宋体" w:cs="Times New Roman"/>
                      <w:color w:val="auto"/>
                      <w:sz w:val="21"/>
                      <w:szCs w:val="21"/>
                    </w:rPr>
                  </w:pPr>
                </w:p>
              </w:tc>
              <w:tc>
                <w:tcPr>
                  <w:tcW w:w="1423" w:type="pct"/>
                  <w:vAlign w:val="center"/>
                </w:tcPr>
                <w:p>
                  <w:pPr>
                    <w:spacing w:line="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温控强制风冷</w:t>
                  </w:r>
                </w:p>
              </w:tc>
              <w:tc>
                <w:tcPr>
                  <w:tcW w:w="1402" w:type="pct"/>
                  <w:vAlign w:val="center"/>
                </w:tcPr>
                <w:p>
                  <w:pPr>
                    <w:spacing w:line="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温控强制风冷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 w:type="pct"/>
                <w:trHeight w:val="397" w:hRule="exact"/>
              </w:trPr>
              <w:tc>
                <w:tcPr>
                  <w:tcW w:w="1583" w:type="pct"/>
                  <w:vAlign w:val="center"/>
                </w:tcPr>
                <w:p>
                  <w:pPr>
                    <w:spacing w:line="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防护等级</w:t>
                  </w:r>
                </w:p>
              </w:tc>
              <w:tc>
                <w:tcPr>
                  <w:tcW w:w="580" w:type="pct"/>
                  <w:vAlign w:val="center"/>
                </w:tcPr>
                <w:p>
                  <w:pPr>
                    <w:spacing w:line="0" w:lineRule="atLeast"/>
                    <w:jc w:val="center"/>
                    <w:rPr>
                      <w:rFonts w:hint="default" w:ascii="Times New Roman" w:hAnsi="Times New Roman" w:eastAsia="宋体" w:cs="Times New Roman"/>
                      <w:color w:val="auto"/>
                      <w:sz w:val="21"/>
                      <w:szCs w:val="21"/>
                    </w:rPr>
                  </w:pPr>
                </w:p>
              </w:tc>
              <w:tc>
                <w:tcPr>
                  <w:tcW w:w="1423" w:type="pct"/>
                  <w:vAlign w:val="center"/>
                </w:tcPr>
                <w:p>
                  <w:pPr>
                    <w:spacing w:line="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IP55</w:t>
                  </w:r>
                </w:p>
              </w:tc>
              <w:tc>
                <w:tcPr>
                  <w:tcW w:w="1402" w:type="pct"/>
                  <w:vAlign w:val="center"/>
                </w:tcPr>
                <w:p>
                  <w:pPr>
                    <w:spacing w:line="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IP65</w:t>
                  </w:r>
                </w:p>
              </w:tc>
            </w:tr>
          </w:tbl>
          <w:p>
            <w:pPr>
              <w:keepNext w:val="0"/>
              <w:keepLines w:val="0"/>
              <w:pageBreakBefore w:val="0"/>
              <w:kinsoku/>
              <w:wordWrap/>
              <w:overflowPunct/>
              <w:topLinePunct w:val="0"/>
              <w:bidi w:val="0"/>
              <w:adjustRightInd w:val="0"/>
              <w:snapToGrid w:val="0"/>
              <w:spacing w:line="360" w:lineRule="auto"/>
              <w:ind w:leftChars="0" w:firstLine="480" w:firstLineChars="200"/>
              <w:textAlignment w:val="auto"/>
              <w:rPr>
                <w:rFonts w:hint="default" w:ascii="Times New Roman" w:hAnsi="Times New Roman" w:eastAsia="宋体" w:cs="Times New Roman"/>
                <w:color w:val="auto"/>
                <w:sz w:val="24"/>
                <w:szCs w:val="24"/>
              </w:rPr>
            </w:pPr>
            <w:r>
              <w:rPr>
                <w:rFonts w:hint="eastAsia" w:cs="Times New Roman"/>
                <w:color w:val="auto"/>
                <w:sz w:val="24"/>
                <w:szCs w:val="24"/>
                <w:lang w:eastAsia="zh-CN"/>
              </w:rPr>
              <w:t>（</w:t>
            </w:r>
            <w:r>
              <w:rPr>
                <w:rFonts w:hint="eastAsia" w:cs="Times New Roman"/>
                <w:color w:val="auto"/>
                <w:sz w:val="24"/>
                <w:szCs w:val="24"/>
                <w:lang w:val="en-US" w:eastAsia="zh-CN"/>
              </w:rPr>
              <w:t>3</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箱变</w:t>
            </w:r>
          </w:p>
          <w:p>
            <w:pPr>
              <w:keepNext w:val="0"/>
              <w:keepLines w:val="0"/>
              <w:pageBreakBefore w:val="0"/>
              <w:kinsoku/>
              <w:wordWrap/>
              <w:overflowPunct/>
              <w:topLinePunct w:val="0"/>
              <w:bidi w:val="0"/>
              <w:adjustRightInd w:val="0"/>
              <w:snapToGrid w:val="0"/>
              <w:spacing w:line="360" w:lineRule="auto"/>
              <w:ind w:leftChars="0" w:firstLine="480"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箱式变压器中的升压变压器选用35kV油浸式S11升压变压器</w:t>
            </w:r>
            <w:r>
              <w:rPr>
                <w:rFonts w:hint="default" w:ascii="Times New Roman" w:hAnsi="Times New Roman" w:eastAsia="宋体" w:cs="Times New Roman"/>
                <w:color w:val="auto"/>
                <w:sz w:val="24"/>
                <w:szCs w:val="24"/>
                <w:lang w:eastAsia="zh-CN"/>
              </w:rPr>
              <w:t>。</w:t>
            </w:r>
          </w:p>
          <w:p>
            <w:pPr>
              <w:keepNext w:val="0"/>
              <w:keepLines w:val="0"/>
              <w:pageBreakBefore w:val="0"/>
              <w:kinsoku/>
              <w:wordWrap/>
              <w:overflowPunct/>
              <w:topLinePunct w:val="0"/>
              <w:bidi w:val="0"/>
              <w:adjustRightInd w:val="0"/>
              <w:snapToGrid w:val="0"/>
              <w:spacing w:line="360" w:lineRule="auto"/>
              <w:ind w:leftChars="0" w:firstLine="480" w:firstLineChars="200"/>
              <w:textAlignment w:val="auto"/>
              <w:rPr>
                <w:rFonts w:hint="default" w:ascii="Times New Roman" w:hAnsi="Times New Roman" w:eastAsia="宋体" w:cs="Times New Roman"/>
                <w:color w:val="auto"/>
                <w:sz w:val="24"/>
                <w:szCs w:val="24"/>
              </w:rPr>
            </w:pPr>
            <w:r>
              <w:rPr>
                <w:rFonts w:hint="eastAsia" w:cs="Times New Roman"/>
                <w:color w:val="auto"/>
                <w:sz w:val="24"/>
                <w:szCs w:val="24"/>
                <w:lang w:eastAsia="zh-CN"/>
              </w:rPr>
              <w:t>（</w:t>
            </w:r>
            <w:r>
              <w:rPr>
                <w:rFonts w:hint="eastAsia" w:cs="Times New Roman"/>
                <w:color w:val="auto"/>
                <w:sz w:val="24"/>
                <w:szCs w:val="24"/>
                <w:lang w:val="en-US" w:eastAsia="zh-CN"/>
              </w:rPr>
              <w:t>4</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集电线路</w:t>
            </w:r>
          </w:p>
          <w:p>
            <w:pPr>
              <w:pStyle w:val="177"/>
              <w:keepNext w:val="0"/>
              <w:keepLines w:val="0"/>
              <w:pageBreakBefore w:val="0"/>
              <w:kinsoku/>
              <w:wordWrap/>
              <w:overflowPunct/>
              <w:topLinePunct w:val="0"/>
              <w:bidi w:val="0"/>
              <w:adjustRightInd w:val="0"/>
              <w:snapToGrid w:val="0"/>
              <w:spacing w:line="360" w:lineRule="auto"/>
              <w:ind w:leftChars="0" w:firstLine="480" w:firstLineChars="200"/>
              <w:jc w:val="both"/>
              <w:textAlignment w:val="auto"/>
              <w:rPr>
                <w:rFonts w:hint="default" w:ascii="Times New Roman" w:hAnsi="Times New Roman" w:eastAsia="宋体" w:cs="Times New Roman"/>
                <w:color w:val="0000FF"/>
                <w:sz w:val="24"/>
                <w:szCs w:val="24"/>
              </w:rPr>
            </w:pPr>
            <w:r>
              <w:rPr>
                <w:rFonts w:hint="default" w:ascii="Times New Roman" w:hAnsi="Times New Roman" w:eastAsia="宋体" w:cs="Times New Roman"/>
                <w:color w:val="auto"/>
                <w:sz w:val="24"/>
                <w:szCs w:val="24"/>
              </w:rPr>
              <w:t>本项目35kV汇流采用电缆方案</w:t>
            </w:r>
            <w:r>
              <w:rPr>
                <w:rFonts w:hint="default" w:ascii="Times New Roman" w:hAnsi="Times New Roman" w:eastAsia="宋体" w:cs="Times New Roman"/>
                <w:color w:val="0000FF"/>
                <w:sz w:val="24"/>
                <w:szCs w:val="24"/>
                <w:lang w:eastAsia="zh-CN"/>
              </w:rPr>
              <w:t>，</w:t>
            </w:r>
            <w:r>
              <w:rPr>
                <w:rFonts w:hint="default" w:ascii="Times New Roman" w:hAnsi="Times New Roman" w:eastAsia="宋体" w:cs="Times New Roman"/>
                <w:color w:val="0000FF"/>
                <w:kern w:val="0"/>
                <w:sz w:val="24"/>
                <w:szCs w:val="24"/>
              </w:rPr>
              <w:t>光伏专用电缆1×4mm</w:t>
            </w:r>
            <w:r>
              <w:rPr>
                <w:rFonts w:hint="default" w:ascii="Times New Roman" w:hAnsi="Times New Roman" w:eastAsia="宋体" w:cs="Times New Roman"/>
                <w:color w:val="0000FF"/>
                <w:kern w:val="0"/>
                <w:sz w:val="24"/>
                <w:szCs w:val="24"/>
                <w:vertAlign w:val="superscript"/>
              </w:rPr>
              <w:t>2</w:t>
            </w:r>
            <w:r>
              <w:rPr>
                <w:rFonts w:hint="eastAsia" w:ascii="Times New Roman" w:hAnsi="Times New Roman" w:eastAsia="宋体" w:cs="Times New Roman"/>
                <w:color w:val="0000FF"/>
                <w:kern w:val="0"/>
                <w:sz w:val="24"/>
                <w:szCs w:val="24"/>
                <w:vertAlign w:val="baseline"/>
                <w:lang w:val="en-US" w:eastAsia="zh-CN"/>
              </w:rPr>
              <w:t>共</w:t>
            </w:r>
            <w:r>
              <w:rPr>
                <w:rFonts w:hint="default" w:ascii="Times New Roman" w:hAnsi="Times New Roman" w:eastAsia="宋体" w:cs="Times New Roman"/>
                <w:color w:val="0000FF"/>
                <w:kern w:val="0"/>
                <w:sz w:val="24"/>
                <w:szCs w:val="24"/>
              </w:rPr>
              <w:t>486000</w:t>
            </w:r>
            <w:r>
              <w:rPr>
                <w:rFonts w:hint="default" w:ascii="Times New Roman" w:hAnsi="Times New Roman" w:eastAsia="宋体" w:cs="Times New Roman"/>
                <w:color w:val="0000FF"/>
                <w:kern w:val="0"/>
                <w:sz w:val="24"/>
                <w:szCs w:val="24"/>
                <w:lang w:val="en-US" w:eastAsia="zh-CN"/>
              </w:rPr>
              <w:t>m，</w:t>
            </w:r>
            <w:r>
              <w:rPr>
                <w:rFonts w:hint="default" w:ascii="Times New Roman" w:hAnsi="Times New Roman" w:eastAsia="宋体" w:cs="Times New Roman"/>
                <w:color w:val="0000FF"/>
                <w:kern w:val="0"/>
                <w:sz w:val="24"/>
                <w:szCs w:val="24"/>
              </w:rPr>
              <w:t>直流汇流箱输出电缆ZRC-YJV22-1.8/3kV 2×120</w:t>
            </w:r>
            <w:r>
              <w:rPr>
                <w:rFonts w:hint="eastAsia" w:ascii="Times New Roman" w:hAnsi="Times New Roman" w:eastAsia="宋体" w:cs="Times New Roman"/>
                <w:color w:val="0000FF"/>
                <w:kern w:val="0"/>
                <w:sz w:val="24"/>
                <w:szCs w:val="24"/>
                <w:lang w:val="en-US" w:eastAsia="zh-CN"/>
              </w:rPr>
              <w:t>共</w:t>
            </w:r>
            <w:r>
              <w:rPr>
                <w:rFonts w:hint="default" w:ascii="Times New Roman" w:hAnsi="Times New Roman" w:eastAsia="宋体" w:cs="Times New Roman"/>
                <w:color w:val="0000FF"/>
                <w:kern w:val="0"/>
                <w:sz w:val="24"/>
                <w:szCs w:val="24"/>
                <w:lang w:val="en-US" w:eastAsia="zh-CN"/>
              </w:rPr>
              <w:t>100000m</w:t>
            </w:r>
            <w:r>
              <w:rPr>
                <w:rFonts w:hint="default" w:ascii="Times New Roman" w:hAnsi="Times New Roman" w:eastAsia="宋体" w:cs="Times New Roman"/>
                <w:color w:val="0000FF"/>
                <w:sz w:val="24"/>
                <w:szCs w:val="24"/>
              </w:rPr>
              <w:t>。</w:t>
            </w:r>
          </w:p>
          <w:p>
            <w:pPr>
              <w:pStyle w:val="177"/>
              <w:keepNext w:val="0"/>
              <w:keepLines w:val="0"/>
              <w:pageBreakBefore w:val="0"/>
              <w:kinsoku/>
              <w:wordWrap/>
              <w:overflowPunct/>
              <w:topLinePunct w:val="0"/>
              <w:bidi w:val="0"/>
              <w:adjustRightInd w:val="0"/>
              <w:snapToGrid w:val="0"/>
              <w:spacing w:line="360" w:lineRule="auto"/>
              <w:ind w:leftChars="0"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为了降低电缆故障造成的影响，提高集电线路的可靠性，各分区串联方式如下：</w:t>
            </w:r>
          </w:p>
          <w:p>
            <w:pPr>
              <w:pStyle w:val="177"/>
              <w:keepNext w:val="0"/>
              <w:keepLines w:val="0"/>
              <w:pageBreakBefore w:val="0"/>
              <w:numPr>
                <w:ilvl w:val="0"/>
                <w:numId w:val="0"/>
              </w:numPr>
              <w:kinsoku/>
              <w:wordWrap/>
              <w:overflowPunct/>
              <w:topLinePunct w:val="0"/>
              <w:bidi w:val="0"/>
              <w:adjustRightInd w:val="0"/>
              <w:snapToGrid w:val="0"/>
              <w:spacing w:line="360" w:lineRule="auto"/>
              <w:ind w:leftChars="0" w:firstLine="480" w:firstLineChars="200"/>
              <w:jc w:val="both"/>
              <w:textAlignment w:val="auto"/>
              <w:rPr>
                <w:rFonts w:hint="default" w:ascii="Times New Roman" w:hAnsi="Times New Roman" w:eastAsia="宋体" w:cs="Times New Roman"/>
                <w:color w:val="auto"/>
                <w:sz w:val="24"/>
                <w:szCs w:val="24"/>
              </w:rPr>
            </w:pPr>
            <w:r>
              <w:rPr>
                <w:rFonts w:hint="eastAsia" w:ascii="Times New Roman" w:cs="Times New Roman"/>
                <w:color w:val="auto"/>
                <w:sz w:val="24"/>
                <w:szCs w:val="24"/>
                <w:lang w:val="en-US" w:eastAsia="zh-CN"/>
              </w:rPr>
              <w:t>1）</w:t>
            </w:r>
            <w:r>
              <w:rPr>
                <w:rFonts w:hint="default" w:ascii="Times New Roman" w:hAnsi="Times New Roman" w:eastAsia="宋体" w:cs="Times New Roman"/>
                <w:color w:val="auto"/>
                <w:sz w:val="24"/>
                <w:szCs w:val="24"/>
              </w:rPr>
              <w:t xml:space="preserve"> 4台3125kVA变压器串联成一组；</w:t>
            </w:r>
          </w:p>
          <w:p>
            <w:pPr>
              <w:pStyle w:val="177"/>
              <w:keepNext w:val="0"/>
              <w:keepLines w:val="0"/>
              <w:pageBreakBefore w:val="0"/>
              <w:numPr>
                <w:ilvl w:val="0"/>
                <w:numId w:val="0"/>
              </w:numPr>
              <w:kinsoku/>
              <w:wordWrap/>
              <w:overflowPunct/>
              <w:topLinePunct w:val="0"/>
              <w:bidi w:val="0"/>
              <w:adjustRightInd w:val="0"/>
              <w:snapToGrid w:val="0"/>
              <w:spacing w:line="360" w:lineRule="auto"/>
              <w:ind w:leftChars="0" w:firstLine="480" w:firstLineChars="200"/>
              <w:jc w:val="both"/>
              <w:textAlignment w:val="auto"/>
              <w:rPr>
                <w:rFonts w:hint="default" w:ascii="Times New Roman" w:hAnsi="Times New Roman" w:eastAsia="宋体" w:cs="Times New Roman"/>
                <w:color w:val="auto"/>
                <w:sz w:val="24"/>
                <w:szCs w:val="24"/>
              </w:rPr>
            </w:pPr>
            <w:r>
              <w:rPr>
                <w:rFonts w:hint="eastAsia" w:ascii="Times New Roman" w:cs="Times New Roman"/>
                <w:color w:val="auto"/>
                <w:sz w:val="24"/>
                <w:szCs w:val="24"/>
                <w:lang w:val="en-US" w:eastAsia="zh-CN"/>
              </w:rPr>
              <w:t>2）</w:t>
            </w:r>
            <w:r>
              <w:rPr>
                <w:rFonts w:hint="default" w:ascii="Times New Roman" w:hAnsi="Times New Roman" w:eastAsia="宋体" w:cs="Times New Roman"/>
                <w:color w:val="auto"/>
                <w:sz w:val="24"/>
                <w:szCs w:val="24"/>
              </w:rPr>
              <w:t xml:space="preserve"> 4台3125kVA变压器、1台1250kVA变压器和1台630kVA变压器串联成一组；</w:t>
            </w:r>
          </w:p>
          <w:p>
            <w:pPr>
              <w:pStyle w:val="177"/>
              <w:keepNext w:val="0"/>
              <w:keepLines w:val="0"/>
              <w:pageBreakBefore w:val="0"/>
              <w:kinsoku/>
              <w:wordWrap/>
              <w:overflowPunct/>
              <w:topLinePunct w:val="0"/>
              <w:bidi w:val="0"/>
              <w:adjustRightInd w:val="0"/>
              <w:snapToGrid w:val="0"/>
              <w:spacing w:line="360" w:lineRule="auto"/>
              <w:ind w:leftChars="0"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以上10个光伏方阵共汇流成2组，接入35kV配电室汇流母线，35kV母线采用单母线，汇流后通过1台出线断路器接入公共电网。</w:t>
            </w:r>
          </w:p>
          <w:p>
            <w:pPr>
              <w:pStyle w:val="178"/>
              <w:keepNext w:val="0"/>
              <w:keepLines w:val="0"/>
              <w:pageBreakBefore w:val="0"/>
              <w:kinsoku/>
              <w:wordWrap/>
              <w:overflowPunct/>
              <w:topLinePunct w:val="0"/>
              <w:bidi w:val="0"/>
              <w:adjustRightInd w:val="0"/>
              <w:snapToGrid w:val="0"/>
              <w:spacing w:line="360" w:lineRule="auto"/>
              <w:ind w:leftChars="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本项目大部分电缆采用直埋方式进行敷设，局部设电缆沟，部分采用电缆埋管。</w:t>
            </w:r>
          </w:p>
          <w:p>
            <w:pPr>
              <w:keepNext w:val="0"/>
              <w:keepLines w:val="0"/>
              <w:pageBreakBefore w:val="0"/>
              <w:kinsoku/>
              <w:wordWrap/>
              <w:overflowPunct/>
              <w:topLinePunct w:val="0"/>
              <w:bidi w:val="0"/>
              <w:adjustRightInd w:val="0"/>
              <w:snapToGrid w:val="0"/>
              <w:spacing w:line="360" w:lineRule="auto"/>
              <w:ind w:leftChars="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选用阻燃铜芯电缆，微机保护所用电缆选用屏蔽电缆，其余电缆以铠装电缆为主，电缆布线时从上到下排列顺序为从高压到低压，从强电到弱电，由主到次，由远到近。通讯线采用光缆，为抗干扰和保护通讯线，通讯线全程穿钢管。</w:t>
            </w:r>
          </w:p>
          <w:p>
            <w:pPr>
              <w:keepNext w:val="0"/>
              <w:keepLines w:val="0"/>
              <w:pageBreakBefore w:val="0"/>
              <w:kinsoku/>
              <w:wordWrap/>
              <w:overflowPunct/>
              <w:topLinePunct w:val="0"/>
              <w:bidi w:val="0"/>
              <w:adjustRightInd w:val="0"/>
              <w:snapToGrid w:val="0"/>
              <w:spacing w:line="360" w:lineRule="auto"/>
              <w:ind w:leftChars="0" w:firstLine="480" w:firstLineChars="200"/>
              <w:textAlignment w:val="auto"/>
              <w:rPr>
                <w:rFonts w:hint="default" w:ascii="Times New Roman" w:hAnsi="Times New Roman" w:eastAsia="宋体" w:cs="Times New Roman"/>
                <w:color w:val="auto"/>
                <w:sz w:val="24"/>
                <w:szCs w:val="24"/>
              </w:rPr>
            </w:pPr>
            <w:r>
              <w:rPr>
                <w:rFonts w:hint="eastAsia" w:cs="Times New Roman"/>
                <w:color w:val="auto"/>
                <w:sz w:val="24"/>
                <w:szCs w:val="24"/>
                <w:lang w:eastAsia="zh-CN"/>
              </w:rPr>
              <w:t>（</w:t>
            </w:r>
            <w:r>
              <w:rPr>
                <w:rFonts w:hint="eastAsia" w:cs="Times New Roman"/>
                <w:color w:val="auto"/>
                <w:sz w:val="24"/>
                <w:szCs w:val="24"/>
                <w:lang w:val="en-US" w:eastAsia="zh-CN"/>
              </w:rPr>
              <w:t>5</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35kV开关站</w:t>
            </w:r>
          </w:p>
          <w:p>
            <w:pPr>
              <w:keepNext w:val="0"/>
              <w:keepLines w:val="0"/>
              <w:pageBreakBefore w:val="0"/>
              <w:kinsoku/>
              <w:wordWrap/>
              <w:overflowPunct/>
              <w:topLinePunct w:val="0"/>
              <w:bidi w:val="0"/>
              <w:adjustRightInd w:val="0"/>
              <w:snapToGrid w:val="0"/>
              <w:spacing w:line="360" w:lineRule="auto"/>
              <w:ind w:leftChars="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本工程开关站总布置总体考虑了进站道路、进出线走廊等各方面因素，进行统筹安排，统一布局。站区总布置在满足生产要求的前提下，尽量减小占地面积。</w:t>
            </w:r>
          </w:p>
          <w:p>
            <w:pPr>
              <w:keepNext w:val="0"/>
              <w:keepLines w:val="0"/>
              <w:pageBreakBefore w:val="0"/>
              <w:kinsoku/>
              <w:wordWrap/>
              <w:overflowPunct/>
              <w:topLinePunct w:val="0"/>
              <w:bidi w:val="0"/>
              <w:adjustRightInd w:val="0"/>
              <w:snapToGrid w:val="0"/>
              <w:spacing w:line="360" w:lineRule="auto"/>
              <w:ind w:leftChars="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开关站中心线长</w:t>
            </w:r>
            <w:r>
              <w:rPr>
                <w:rFonts w:hint="default" w:ascii="Times New Roman" w:hAnsi="Times New Roman" w:eastAsia="宋体" w:cs="Times New Roman"/>
                <w:color w:val="auto"/>
                <w:sz w:val="24"/>
                <w:szCs w:val="24"/>
                <w:lang w:val="en-US" w:eastAsia="zh-CN"/>
              </w:rPr>
              <w:t>67</w:t>
            </w:r>
            <w:r>
              <w:rPr>
                <w:rFonts w:hint="default" w:ascii="Times New Roman" w:hAnsi="Times New Roman" w:eastAsia="宋体" w:cs="Times New Roman"/>
                <w:color w:val="auto"/>
                <w:sz w:val="24"/>
                <w:szCs w:val="24"/>
              </w:rPr>
              <w:t>m，宽</w:t>
            </w:r>
            <w:r>
              <w:rPr>
                <w:rFonts w:hint="default" w:ascii="Times New Roman" w:hAnsi="Times New Roman" w:eastAsia="宋体" w:cs="Times New Roman"/>
                <w:color w:val="auto"/>
                <w:sz w:val="24"/>
                <w:szCs w:val="24"/>
                <w:lang w:val="en-US" w:eastAsia="zh-CN"/>
              </w:rPr>
              <w:t>23</w:t>
            </w:r>
            <w:r>
              <w:rPr>
                <w:rFonts w:hint="default" w:ascii="Times New Roman" w:hAnsi="Times New Roman" w:eastAsia="宋体" w:cs="Times New Roman"/>
                <w:color w:val="auto"/>
                <w:sz w:val="24"/>
                <w:szCs w:val="24"/>
              </w:rPr>
              <w:t>m，实际占地面积</w:t>
            </w:r>
            <w:r>
              <w:rPr>
                <w:rFonts w:hint="default" w:ascii="Times New Roman" w:hAnsi="Times New Roman" w:eastAsia="宋体" w:cs="Times New Roman"/>
                <w:color w:val="auto"/>
                <w:sz w:val="24"/>
                <w:szCs w:val="24"/>
                <w:lang w:val="en-US" w:eastAsia="zh-CN"/>
              </w:rPr>
              <w:t>1200</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2</w:t>
            </w:r>
            <w:r>
              <w:rPr>
                <w:rFonts w:hint="default" w:ascii="Times New Roman" w:hAnsi="Times New Roman" w:eastAsia="宋体" w:cs="Times New Roman"/>
                <w:color w:val="auto"/>
                <w:sz w:val="24"/>
                <w:szCs w:val="24"/>
              </w:rPr>
              <w:t>。开关站四周围墙为砖柱钢栅围墙，大门为电动推拉门。为利于生产、便于管理，在满足工艺要求、自然条件、安全、防火、卫生、运行检修、交通运输、环境保护、各建筑物之间的联系等因素的前提下，进行站区的总体布置。</w:t>
            </w:r>
          </w:p>
          <w:p>
            <w:pPr>
              <w:keepNext w:val="0"/>
              <w:keepLines w:val="0"/>
              <w:pageBreakBefore w:val="0"/>
              <w:widowControl/>
              <w:kinsoku/>
              <w:wordWrap/>
              <w:overflowPunct/>
              <w:topLinePunct w:val="0"/>
              <w:bidi w:val="0"/>
              <w:adjustRightInd w:val="0"/>
              <w:snapToGrid w:val="0"/>
              <w:spacing w:line="360" w:lineRule="auto"/>
              <w:ind w:leftChars="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开关站区</w:t>
            </w:r>
            <w:r>
              <w:rPr>
                <w:rFonts w:hint="default" w:ascii="Times New Roman" w:hAnsi="Times New Roman" w:eastAsia="宋体" w:cs="Times New Roman"/>
                <w:color w:val="auto"/>
                <w:sz w:val="24"/>
                <w:szCs w:val="24"/>
                <w:lang w:val="en-US" w:eastAsia="zh-CN"/>
              </w:rPr>
              <w:t>从西向东依次布置</w:t>
            </w:r>
            <w:r>
              <w:rPr>
                <w:rFonts w:hint="default" w:ascii="Times New Roman" w:hAnsi="Times New Roman" w:eastAsia="宋体" w:cs="Times New Roman"/>
                <w:color w:val="auto"/>
                <w:sz w:val="24"/>
                <w:szCs w:val="24"/>
              </w:rPr>
              <w:t>避雷针、SVG舱、</w:t>
            </w:r>
            <w:r>
              <w:rPr>
                <w:rFonts w:hint="default" w:ascii="Times New Roman" w:hAnsi="Times New Roman" w:eastAsia="宋体" w:cs="Times New Roman"/>
                <w:color w:val="auto"/>
                <w:sz w:val="24"/>
                <w:szCs w:val="24"/>
                <w:lang w:val="en-US" w:eastAsia="zh-CN"/>
              </w:rPr>
              <w:t>干式降压变压器、</w:t>
            </w:r>
            <w:r>
              <w:rPr>
                <w:rFonts w:hint="default" w:ascii="Times New Roman" w:hAnsi="Times New Roman" w:eastAsia="宋体" w:cs="Times New Roman"/>
                <w:color w:val="auto"/>
                <w:sz w:val="24"/>
                <w:szCs w:val="24"/>
              </w:rPr>
              <w:t>配电舱、</w:t>
            </w:r>
            <w:r>
              <w:rPr>
                <w:rFonts w:hint="default" w:ascii="Times New Roman" w:hAnsi="Times New Roman" w:eastAsia="宋体" w:cs="Times New Roman"/>
                <w:color w:val="auto"/>
                <w:sz w:val="24"/>
                <w:szCs w:val="24"/>
                <w:lang w:val="en-US" w:eastAsia="zh-CN"/>
              </w:rPr>
              <w:t>35kV预制</w:t>
            </w:r>
            <w:r>
              <w:rPr>
                <w:rFonts w:hint="default" w:ascii="Times New Roman" w:hAnsi="Times New Roman" w:eastAsia="宋体" w:cs="Times New Roman"/>
                <w:color w:val="auto"/>
                <w:sz w:val="24"/>
                <w:szCs w:val="24"/>
              </w:rPr>
              <w:t>舱</w:t>
            </w:r>
            <w:r>
              <w:rPr>
                <w:rFonts w:hint="default" w:ascii="Times New Roman" w:hAnsi="Times New Roman" w:eastAsia="宋体" w:cs="Times New Roman"/>
                <w:color w:val="auto"/>
                <w:sz w:val="24"/>
                <w:szCs w:val="24"/>
                <w:lang w:val="en-US" w:eastAsia="zh-CN"/>
              </w:rPr>
              <w:t>等</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由于无人值守，开关站内不设置生活区，设备维护时产生少量生活垃圾和生活污水，可利用泵站内原有生活设施</w:t>
            </w:r>
            <w:r>
              <w:rPr>
                <w:rFonts w:hint="eastAsia" w:cs="Times New Roman"/>
                <w:color w:val="auto"/>
                <w:sz w:val="24"/>
                <w:szCs w:val="24"/>
                <w:lang w:val="en-US" w:eastAsia="zh-CN"/>
              </w:rPr>
              <w:t>，</w:t>
            </w:r>
            <w:r>
              <w:rPr>
                <w:rFonts w:hint="eastAsia" w:cs="Times New Roman"/>
                <w:color w:val="0000FF"/>
                <w:sz w:val="24"/>
                <w:szCs w:val="24"/>
                <w:lang w:val="en-US" w:eastAsia="zh-CN"/>
              </w:rPr>
              <w:t>生活污水进化粪池，定期清运</w:t>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rPr>
              <w:t>开关站设置了路面宽度为4.0m的场内公路供设备运输用。站区内未利用空地规划为绿地。</w:t>
            </w:r>
          </w:p>
          <w:p>
            <w:pPr>
              <w:keepNext w:val="0"/>
              <w:keepLines w:val="0"/>
              <w:pageBreakBefore w:val="0"/>
              <w:widowControl/>
              <w:kinsoku/>
              <w:wordWrap/>
              <w:overflowPunct/>
              <w:topLinePunct w:val="0"/>
              <w:bidi w:val="0"/>
              <w:adjustRightInd w:val="0"/>
              <w:snapToGrid w:val="0"/>
              <w:spacing w:line="360" w:lineRule="auto"/>
              <w:ind w:leftChars="0" w:firstLine="480" w:firstLineChars="200"/>
              <w:textAlignment w:val="auto"/>
              <w:rPr>
                <w:rFonts w:hint="eastAsia" w:ascii="Times New Roman" w:cs="Times New Roman"/>
                <w:color w:val="auto"/>
                <w:sz w:val="24"/>
                <w:szCs w:val="24"/>
                <w:lang w:val="en-US" w:eastAsia="zh-CN"/>
              </w:rPr>
            </w:pPr>
            <w:r>
              <w:rPr>
                <w:rFonts w:hint="default" w:ascii="Times New Roman" w:hAnsi="Times New Roman" w:eastAsia="宋体" w:cs="Times New Roman"/>
                <w:color w:val="auto"/>
                <w:sz w:val="24"/>
                <w:szCs w:val="24"/>
              </w:rPr>
              <w:t>本工程</w:t>
            </w:r>
            <w:r>
              <w:rPr>
                <w:rFonts w:hint="eastAsia" w:ascii="Times New Roman" w:hAnsi="Times New Roman" w:cs="Times New Roman"/>
                <w:color w:val="auto"/>
                <w:sz w:val="24"/>
                <w:szCs w:val="24"/>
                <w:lang w:val="en-US" w:eastAsia="zh-CN"/>
              </w:rPr>
              <w:t>35kV</w:t>
            </w:r>
            <w:r>
              <w:rPr>
                <w:rFonts w:hint="eastAsia" w:ascii="Times New Roman" w:cs="Times New Roman"/>
                <w:color w:val="auto"/>
                <w:sz w:val="24"/>
                <w:szCs w:val="24"/>
                <w:lang w:val="en-US" w:eastAsia="zh-CN"/>
              </w:rPr>
              <w:t>开关站</w:t>
            </w:r>
            <w:r>
              <w:rPr>
                <w:rFonts w:hint="default" w:ascii="Times New Roman" w:hAnsi="Times New Roman" w:eastAsia="宋体" w:cs="Times New Roman"/>
                <w:color w:val="auto"/>
                <w:sz w:val="24"/>
                <w:szCs w:val="24"/>
              </w:rPr>
              <w:t>总平面布置图见</w:t>
            </w:r>
            <w:r>
              <w:rPr>
                <w:rFonts w:hint="eastAsia" w:ascii="Times New Roman" w:cs="Times New Roman"/>
                <w:color w:val="auto"/>
                <w:sz w:val="24"/>
                <w:szCs w:val="24"/>
                <w:lang w:val="en-US" w:eastAsia="zh-CN"/>
              </w:rPr>
              <w:t>附图4。</w:t>
            </w:r>
          </w:p>
          <w:p>
            <w:pPr>
              <w:keepNext w:val="0"/>
              <w:keepLines w:val="0"/>
              <w:pageBreakBefore w:val="0"/>
              <w:widowControl/>
              <w:kinsoku/>
              <w:wordWrap/>
              <w:overflowPunct/>
              <w:topLinePunct w:val="0"/>
              <w:bidi w:val="0"/>
              <w:adjustRightInd w:val="0"/>
              <w:snapToGrid w:val="0"/>
              <w:spacing w:line="360" w:lineRule="auto"/>
              <w:ind w:leftChars="0" w:firstLine="480" w:firstLineChars="200"/>
              <w:textAlignment w:val="auto"/>
              <w:rPr>
                <w:rFonts w:hint="default" w:ascii="Times New Roman" w:hAnsi="Times New Roman" w:eastAsia="宋体" w:cs="Times New Roman"/>
                <w:color w:val="auto"/>
                <w:sz w:val="24"/>
                <w:szCs w:val="24"/>
              </w:rPr>
            </w:pPr>
            <w:r>
              <w:rPr>
                <w:rFonts w:hint="eastAsia" w:cs="Times New Roman"/>
                <w:color w:val="auto"/>
                <w:sz w:val="24"/>
                <w:szCs w:val="24"/>
                <w:lang w:eastAsia="zh-CN"/>
              </w:rPr>
              <w:t>（</w:t>
            </w:r>
            <w:r>
              <w:rPr>
                <w:rFonts w:hint="eastAsia" w:cs="Times New Roman"/>
                <w:color w:val="auto"/>
                <w:sz w:val="24"/>
                <w:szCs w:val="24"/>
                <w:lang w:val="en-US" w:eastAsia="zh-CN"/>
              </w:rPr>
              <w:t>6）</w:t>
            </w:r>
            <w:r>
              <w:rPr>
                <w:rFonts w:hint="default" w:ascii="Times New Roman" w:hAnsi="Times New Roman" w:eastAsia="宋体" w:cs="Times New Roman"/>
                <w:color w:val="auto"/>
                <w:sz w:val="24"/>
                <w:szCs w:val="24"/>
              </w:rPr>
              <w:t>交通道路</w:t>
            </w:r>
          </w:p>
          <w:p>
            <w:pPr>
              <w:keepNext w:val="0"/>
              <w:keepLines w:val="0"/>
              <w:pageBreakBefore w:val="0"/>
              <w:kinsoku/>
              <w:wordWrap/>
              <w:overflowPunct/>
              <w:topLinePunct w:val="0"/>
              <w:autoSpaceDE w:val="0"/>
              <w:autoSpaceDN w:val="0"/>
              <w:bidi w:val="0"/>
              <w:adjustRightInd w:val="0"/>
              <w:snapToGrid w:val="0"/>
              <w:spacing w:line="360" w:lineRule="auto"/>
              <w:ind w:leftChars="0" w:firstLine="480" w:firstLineChars="200"/>
              <w:jc w:val="left"/>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交通道路由场外交通和场内交通组成。</w:t>
            </w:r>
          </w:p>
          <w:p>
            <w:pPr>
              <w:pStyle w:val="175"/>
              <w:keepNext w:val="0"/>
              <w:keepLines w:val="0"/>
              <w:pageBreakBefore w:val="0"/>
              <w:kinsoku/>
              <w:wordWrap/>
              <w:overflowPunct/>
              <w:topLinePunct w:val="0"/>
              <w:bidi w:val="0"/>
              <w:adjustRightInd w:val="0"/>
              <w:snapToGrid w:val="0"/>
              <w:spacing w:line="360" w:lineRule="auto"/>
              <w:ind w:leftChars="0" w:firstLine="482" w:firstLineChars="200"/>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b/>
                <w:color w:val="auto"/>
                <w:kern w:val="0"/>
                <w:sz w:val="24"/>
                <w:szCs w:val="24"/>
              </w:rPr>
              <w:t xml:space="preserve">场外交通条件  </w:t>
            </w:r>
            <w:r>
              <w:rPr>
                <w:rFonts w:hint="default" w:ascii="Times New Roman" w:hAnsi="Times New Roman" w:eastAsia="宋体" w:cs="Times New Roman"/>
                <w:color w:val="auto"/>
                <w:sz w:val="24"/>
                <w:szCs w:val="24"/>
              </w:rPr>
              <w:t>根据目前的场外交通条件，</w:t>
            </w:r>
            <w:r>
              <w:rPr>
                <w:rFonts w:hint="default" w:ascii="Times New Roman" w:hAnsi="Times New Roman" w:eastAsia="宋体" w:cs="Times New Roman"/>
                <w:color w:val="auto"/>
                <w:kern w:val="0"/>
                <w:sz w:val="24"/>
                <w:szCs w:val="24"/>
              </w:rPr>
              <w:t>乡道道路的宽度和承载力均可以满足运输要求，无需改建。其他建筑材料也可用汽车直接运送至工地。</w:t>
            </w:r>
          </w:p>
          <w:p>
            <w:pPr>
              <w:pStyle w:val="175"/>
              <w:keepNext w:val="0"/>
              <w:keepLines w:val="0"/>
              <w:pageBreakBefore w:val="0"/>
              <w:kinsoku/>
              <w:wordWrap/>
              <w:overflowPunct/>
              <w:topLinePunct w:val="0"/>
              <w:bidi w:val="0"/>
              <w:adjustRightInd w:val="0"/>
              <w:snapToGrid w:val="0"/>
              <w:spacing w:line="360" w:lineRule="auto"/>
              <w:ind w:leftChars="0" w:firstLine="482"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
                <w:color w:val="auto"/>
                <w:sz w:val="24"/>
                <w:szCs w:val="24"/>
              </w:rPr>
              <w:t xml:space="preserve">场内交通运输  </w:t>
            </w:r>
            <w:r>
              <w:rPr>
                <w:rFonts w:hint="default" w:ascii="Times New Roman" w:hAnsi="Times New Roman" w:eastAsia="宋体" w:cs="Times New Roman"/>
                <w:color w:val="auto"/>
                <w:sz w:val="24"/>
                <w:szCs w:val="24"/>
              </w:rPr>
              <w:t>太阳能光伏电场道路设计以满足消防、检修维护和巡视需要为主要目的。本设计充分利用布置太阳能电池板矩阵之间的有效距离和现有道路，作为场区道路，以减少场区的用地。</w:t>
            </w:r>
          </w:p>
          <w:p>
            <w:pPr>
              <w:keepNext w:val="0"/>
              <w:keepLines w:val="0"/>
              <w:pageBreakBefore w:val="0"/>
              <w:kinsoku/>
              <w:wordWrap/>
              <w:overflowPunct/>
              <w:topLinePunct w:val="0"/>
              <w:bidi w:val="0"/>
              <w:adjustRightInd w:val="0"/>
              <w:snapToGrid w:val="0"/>
              <w:spacing w:line="360" w:lineRule="auto"/>
              <w:ind w:leftChars="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本工程尽量利用现有道</w:t>
            </w:r>
            <w:r>
              <w:rPr>
                <w:rFonts w:hint="default" w:ascii="Times New Roman" w:hAnsi="Times New Roman" w:eastAsia="宋体" w:cs="Times New Roman"/>
                <w:color w:val="auto"/>
                <w:sz w:val="24"/>
                <w:szCs w:val="24"/>
                <w:lang w:val="en-US" w:eastAsia="zh-CN"/>
              </w:rPr>
              <w:t>路</w:t>
            </w:r>
            <w:r>
              <w:rPr>
                <w:rFonts w:hint="default" w:ascii="Times New Roman" w:hAnsi="Times New Roman" w:eastAsia="宋体" w:cs="Times New Roman"/>
                <w:color w:val="auto"/>
                <w:sz w:val="24"/>
                <w:szCs w:val="24"/>
              </w:rPr>
              <w:t>，新建场内道路</w:t>
            </w:r>
            <w:r>
              <w:rPr>
                <w:rFonts w:hint="default" w:ascii="Times New Roman" w:hAnsi="Times New Roman" w:eastAsia="宋体" w:cs="Times New Roman"/>
                <w:color w:val="auto"/>
                <w:sz w:val="24"/>
                <w:szCs w:val="24"/>
                <w:lang w:val="en-US" w:eastAsia="zh-CN"/>
              </w:rPr>
              <w:t>采用</w:t>
            </w:r>
            <w:r>
              <w:rPr>
                <w:rFonts w:hint="eastAsia" w:cs="Times New Roman"/>
                <w:color w:val="auto"/>
                <w:sz w:val="24"/>
                <w:szCs w:val="24"/>
                <w:lang w:val="en-US" w:eastAsia="zh-CN"/>
              </w:rPr>
              <w:t>碎石</w:t>
            </w:r>
            <w:r>
              <w:rPr>
                <w:rFonts w:hint="default" w:ascii="Times New Roman" w:hAnsi="Times New Roman" w:eastAsia="宋体" w:cs="Times New Roman"/>
                <w:color w:val="auto"/>
                <w:sz w:val="24"/>
                <w:szCs w:val="24"/>
                <w:lang w:val="en-US" w:eastAsia="zh-CN"/>
              </w:rPr>
              <w:t>铺路约22000</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2</w:t>
            </w:r>
            <w:r>
              <w:rPr>
                <w:rFonts w:hint="default" w:ascii="Times New Roman" w:hAnsi="Times New Roman" w:eastAsia="宋体" w:cs="Times New Roman"/>
                <w:color w:val="auto"/>
                <w:sz w:val="24"/>
                <w:szCs w:val="24"/>
              </w:rPr>
              <w:t>。</w:t>
            </w:r>
          </w:p>
          <w:p>
            <w:pPr>
              <w:pStyle w:val="29"/>
              <w:keepNext w:val="0"/>
              <w:keepLines w:val="0"/>
              <w:pageBreakBefore w:val="0"/>
              <w:kinsoku/>
              <w:wordWrap/>
              <w:overflowPunct/>
              <w:topLinePunct w:val="0"/>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rPr>
            </w:pPr>
            <w:r>
              <w:rPr>
                <w:rFonts w:hint="eastAsia" w:ascii="Times New Roman" w:cs="Times New Roman"/>
                <w:color w:val="auto"/>
                <w:lang w:eastAsia="zh-CN"/>
              </w:rPr>
              <w:t>（</w:t>
            </w:r>
            <w:r>
              <w:rPr>
                <w:rFonts w:hint="eastAsia" w:ascii="Times New Roman" w:cs="Times New Roman"/>
                <w:color w:val="auto"/>
                <w:lang w:val="en-US" w:eastAsia="zh-CN"/>
              </w:rPr>
              <w:t>7</w:t>
            </w:r>
            <w:r>
              <w:rPr>
                <w:rFonts w:hint="eastAsia" w:ascii="Times New Roman" w:cs="Times New Roman"/>
                <w:color w:val="auto"/>
                <w:lang w:eastAsia="zh-CN"/>
              </w:rPr>
              <w:t>）</w:t>
            </w:r>
            <w:r>
              <w:rPr>
                <w:rFonts w:hint="default" w:ascii="Times New Roman" w:hAnsi="Times New Roman" w:eastAsia="宋体" w:cs="Times New Roman"/>
                <w:color w:val="auto"/>
              </w:rPr>
              <w:t>主要配套工程</w:t>
            </w:r>
          </w:p>
          <w:p>
            <w:pPr>
              <w:keepNext w:val="0"/>
              <w:keepLines w:val="0"/>
              <w:pageBreakBefore w:val="0"/>
              <w:kinsoku/>
              <w:wordWrap/>
              <w:overflowPunct/>
              <w:topLinePunct w:val="0"/>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rPr>
            </w:pPr>
            <w:r>
              <w:rPr>
                <w:rFonts w:hint="eastAsia" w:cs="Times New Roman"/>
                <w:color w:val="auto"/>
                <w:sz w:val="24"/>
                <w:lang w:val="en-US" w:eastAsia="zh-CN"/>
              </w:rPr>
              <w:t>1）</w:t>
            </w:r>
            <w:r>
              <w:rPr>
                <w:rFonts w:hint="default" w:ascii="Times New Roman" w:hAnsi="Times New Roman" w:eastAsia="宋体" w:cs="Times New Roman"/>
                <w:color w:val="auto"/>
                <w:sz w:val="24"/>
              </w:rPr>
              <w:t>供水水源</w:t>
            </w:r>
          </w:p>
          <w:p>
            <w:pPr>
              <w:keepNext w:val="0"/>
              <w:keepLines w:val="0"/>
              <w:pageBreakBefore w:val="0"/>
              <w:kinsoku/>
              <w:wordWrap/>
              <w:overflowPunct/>
              <w:topLinePunct w:val="0"/>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rPr>
            </w:pPr>
            <w:r>
              <w:rPr>
                <w:rFonts w:hint="eastAsia" w:cs="Times New Roman"/>
                <w:color w:val="0000FF"/>
                <w:sz w:val="24"/>
                <w:lang w:val="en-US" w:eastAsia="zh-CN"/>
              </w:rPr>
              <w:t>清洗用水</w:t>
            </w:r>
            <w:r>
              <w:rPr>
                <w:rFonts w:hint="default" w:ascii="Times New Roman" w:hAnsi="Times New Roman" w:eastAsia="宋体" w:cs="Times New Roman"/>
                <w:color w:val="auto"/>
                <w:sz w:val="24"/>
                <w:lang w:val="en-US" w:eastAsia="zh-CN"/>
              </w:rPr>
              <w:t>拟采用市政自来水</w:t>
            </w:r>
            <w:r>
              <w:rPr>
                <w:rFonts w:hint="default" w:ascii="Times New Roman" w:hAnsi="Times New Roman" w:eastAsia="宋体" w:cs="Times New Roman"/>
                <w:color w:val="auto"/>
                <w:sz w:val="24"/>
              </w:rPr>
              <w:t>。</w:t>
            </w:r>
          </w:p>
          <w:p>
            <w:pPr>
              <w:keepNext w:val="0"/>
              <w:keepLines w:val="0"/>
              <w:pageBreakBefore w:val="0"/>
              <w:kinsoku/>
              <w:wordWrap/>
              <w:overflowPunct/>
              <w:topLinePunct w:val="0"/>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rPr>
            </w:pPr>
            <w:r>
              <w:rPr>
                <w:rFonts w:hint="eastAsia" w:cs="Times New Roman"/>
                <w:color w:val="auto"/>
                <w:sz w:val="24"/>
                <w:lang w:val="en-US" w:eastAsia="zh-CN"/>
              </w:rPr>
              <w:t>2）</w:t>
            </w:r>
            <w:r>
              <w:rPr>
                <w:rFonts w:hint="default" w:ascii="Times New Roman" w:hAnsi="Times New Roman" w:eastAsia="宋体" w:cs="Times New Roman"/>
                <w:color w:val="auto"/>
                <w:sz w:val="24"/>
              </w:rPr>
              <w:t>排水及污水处理系统</w:t>
            </w:r>
          </w:p>
          <w:p>
            <w:pPr>
              <w:keepNext w:val="0"/>
              <w:keepLines w:val="0"/>
              <w:pageBreakBefore w:val="0"/>
              <w:kinsoku/>
              <w:wordWrap/>
              <w:overflowPunct/>
              <w:topLinePunct w:val="0"/>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场地坡度较大，雨水通过自然渗透及散排至厂址东南方向地势低洼处</w:t>
            </w:r>
            <w:r>
              <w:rPr>
                <w:rFonts w:hint="eastAsia" w:cs="Times New Roman"/>
                <w:color w:val="auto"/>
                <w:sz w:val="24"/>
                <w:lang w:val="en-US" w:eastAsia="zh-CN"/>
              </w:rPr>
              <w:t>设置的</w:t>
            </w:r>
            <w:r>
              <w:rPr>
                <w:rFonts w:hint="default" w:ascii="Times New Roman" w:hAnsi="Times New Roman" w:eastAsia="宋体" w:cs="Times New Roman"/>
                <w:color w:val="auto"/>
                <w:sz w:val="24"/>
              </w:rPr>
              <w:t>集水池。</w:t>
            </w:r>
          </w:p>
          <w:p>
            <w:pPr>
              <w:keepNext w:val="0"/>
              <w:keepLines w:val="0"/>
              <w:pageBreakBefore w:val="0"/>
              <w:kinsoku/>
              <w:wordWrap/>
              <w:overflowPunct/>
              <w:topLinePunct w:val="0"/>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lang w:val="en-US" w:eastAsia="zh-CN"/>
              </w:rPr>
              <w:t>运行期本光伏电站按无人值守考虑，无生活污水产生。</w:t>
            </w:r>
          </w:p>
          <w:p>
            <w:pPr>
              <w:keepNext w:val="0"/>
              <w:keepLines w:val="0"/>
              <w:pageBreakBefore w:val="0"/>
              <w:kinsoku/>
              <w:wordWrap/>
              <w:overflowPunct/>
              <w:topLinePunct w:val="0"/>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rPr>
            </w:pPr>
            <w:r>
              <w:rPr>
                <w:rFonts w:hint="eastAsia" w:cs="Times New Roman"/>
                <w:color w:val="auto"/>
                <w:sz w:val="24"/>
                <w:lang w:val="en-US" w:eastAsia="zh-CN"/>
              </w:rPr>
              <w:t>3）</w:t>
            </w:r>
            <w:r>
              <w:rPr>
                <w:rFonts w:hint="default" w:ascii="Times New Roman" w:hAnsi="Times New Roman" w:eastAsia="宋体" w:cs="Times New Roman"/>
                <w:color w:val="auto"/>
                <w:sz w:val="24"/>
              </w:rPr>
              <w:t>光伏组件清洗方案</w:t>
            </w:r>
          </w:p>
          <w:p>
            <w:pPr>
              <w:keepNext w:val="0"/>
              <w:keepLines w:val="0"/>
              <w:pageBreakBefore w:val="0"/>
              <w:kinsoku/>
              <w:wordWrap/>
              <w:overflowPunct/>
              <w:topLinePunct w:val="0"/>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光伏组件上的污浊物主要为小沙石，对发电量影响显著，主要表现为：一是会影响光线的透射率，进而影响组件表面接收到的辐射量；二是组件表面的污浊因为距离电池片的距离很近，会形成阴影，并在光伏组件局部形成热斑效应，进而降低组件的发电效率，甚至烧毁组件。电站运行过程中必须对电池组件进行清洗，以保证电池组件的发电效率和防止由于污垢引起的热斑对电池组件造成烧毁。</w:t>
            </w:r>
          </w:p>
          <w:p>
            <w:pPr>
              <w:keepNext w:val="0"/>
              <w:keepLines w:val="0"/>
              <w:pageBreakBefore w:val="0"/>
              <w:kinsoku/>
              <w:wordWrap/>
              <w:overflowPunct/>
              <w:topLinePunct w:val="0"/>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本工程太阳能电池板采用气水结合的冲洗方式，光伏电池板的冲洗用水使用罐车从</w:t>
            </w:r>
            <w:r>
              <w:rPr>
                <w:rFonts w:hint="default" w:ascii="Times New Roman" w:hAnsi="Times New Roman" w:eastAsia="宋体" w:cs="Times New Roman"/>
                <w:color w:val="auto"/>
                <w:sz w:val="24"/>
                <w:lang w:val="en-US" w:eastAsia="zh-CN"/>
              </w:rPr>
              <w:t>开关</w:t>
            </w:r>
            <w:r>
              <w:rPr>
                <w:rFonts w:hint="default" w:ascii="Times New Roman" w:hAnsi="Times New Roman" w:eastAsia="宋体" w:cs="Times New Roman"/>
                <w:color w:val="auto"/>
                <w:sz w:val="24"/>
              </w:rPr>
              <w:t>站运水定期进行人工冲洗。配置1台移动冲洗水车，采用移动式节能喷水设施进行精洗。冲洗水车和维护人员配合，利用车载水箱、水泵及水管对组件表面进行冲洗。车载水箱的容积为5m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，1MW组件冲洗需约3箱。按每月冲洗一次计算，33.35MW组件每年耗水6003m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w:t>
            </w:r>
          </w:p>
          <w:p>
            <w:pPr>
              <w:keepNext w:val="0"/>
              <w:keepLines w:val="0"/>
              <w:pageBreakBefore w:val="0"/>
              <w:kinsoku/>
              <w:wordWrap/>
              <w:overflowPunct/>
              <w:topLinePunct w:val="0"/>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rPr>
            </w:pPr>
            <w:r>
              <w:rPr>
                <w:rFonts w:hint="eastAsia" w:cs="Times New Roman"/>
                <w:color w:val="auto"/>
                <w:sz w:val="24"/>
                <w:lang w:eastAsia="zh-CN"/>
              </w:rPr>
              <w:t>（</w:t>
            </w:r>
            <w:r>
              <w:rPr>
                <w:rFonts w:hint="eastAsia" w:cs="Times New Roman"/>
                <w:color w:val="auto"/>
                <w:sz w:val="24"/>
                <w:lang w:val="en-US" w:eastAsia="zh-CN"/>
              </w:rPr>
              <w:t>8</w:t>
            </w:r>
            <w:r>
              <w:rPr>
                <w:rFonts w:hint="eastAsia" w:cs="Times New Roman"/>
                <w:color w:val="auto"/>
                <w:sz w:val="24"/>
                <w:lang w:eastAsia="zh-CN"/>
              </w:rPr>
              <w:t>）</w:t>
            </w:r>
            <w:r>
              <w:rPr>
                <w:rFonts w:hint="default" w:ascii="Times New Roman" w:hAnsi="Times New Roman" w:eastAsia="宋体" w:cs="Times New Roman"/>
                <w:color w:val="auto"/>
                <w:sz w:val="24"/>
              </w:rPr>
              <w:t>占地面积</w:t>
            </w:r>
          </w:p>
          <w:p>
            <w:pPr>
              <w:keepNext w:val="0"/>
              <w:keepLines w:val="0"/>
              <w:pageBreakBefore w:val="0"/>
              <w:kinsoku/>
              <w:wordWrap/>
              <w:overflowPunct/>
              <w:topLinePunct w:val="0"/>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本项目工程占地分永久占地和临时占地，占地类型为建设用地。</w:t>
            </w:r>
          </w:p>
          <w:p>
            <w:pPr>
              <w:keepNext w:val="0"/>
              <w:keepLines w:val="0"/>
              <w:pageBreakBefore w:val="0"/>
              <w:kinsoku/>
              <w:wordWrap/>
              <w:overflowPunct/>
              <w:topLinePunct w:val="0"/>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永久占地包括光伏阵列、逆变器、开关站及厂区道路等，约</w:t>
            </w:r>
            <w:r>
              <w:rPr>
                <w:rFonts w:hint="default" w:ascii="Times New Roman" w:hAnsi="Times New Roman" w:eastAsia="宋体" w:cs="Times New Roman"/>
                <w:color w:val="auto"/>
                <w:sz w:val="24"/>
                <w:lang w:val="en-US" w:eastAsia="zh-CN"/>
              </w:rPr>
              <w:t>326900</w:t>
            </w:r>
            <w:r>
              <w:rPr>
                <w:rFonts w:hint="default" w:ascii="Times New Roman" w:hAnsi="Times New Roman" w:eastAsia="宋体" w:cs="Times New Roman"/>
                <w:color w:val="auto"/>
                <w:sz w:val="24"/>
              </w:rPr>
              <w:t>m</w:t>
            </w:r>
            <w:r>
              <w:rPr>
                <w:rFonts w:hint="default" w:ascii="Times New Roman" w:hAnsi="Times New Roman" w:eastAsia="宋体" w:cs="Times New Roman"/>
                <w:color w:val="auto"/>
                <w:sz w:val="24"/>
                <w:vertAlign w:val="superscript"/>
              </w:rPr>
              <w:t>2</w:t>
            </w:r>
            <w:r>
              <w:rPr>
                <w:rFonts w:hint="default" w:ascii="Times New Roman" w:hAnsi="Times New Roman" w:eastAsia="宋体" w:cs="Times New Roman"/>
                <w:color w:val="auto"/>
                <w:sz w:val="24"/>
              </w:rPr>
              <w:t>。</w:t>
            </w:r>
          </w:p>
          <w:p>
            <w:pPr>
              <w:keepNext w:val="0"/>
              <w:keepLines w:val="0"/>
              <w:pageBreakBefore w:val="0"/>
              <w:kinsoku/>
              <w:wordWrap/>
              <w:overflowPunct/>
              <w:topLinePunct w:val="0"/>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临时占地包括临时施工生活区、</w:t>
            </w:r>
            <w:r>
              <w:rPr>
                <w:rFonts w:hint="default" w:ascii="Times New Roman" w:hAnsi="Times New Roman" w:eastAsia="宋体" w:cs="Times New Roman"/>
                <w:color w:val="auto"/>
                <w:sz w:val="24"/>
                <w:lang w:val="en-US" w:eastAsia="zh-CN"/>
              </w:rPr>
              <w:t>综合加工厂</w:t>
            </w:r>
            <w:r>
              <w:rPr>
                <w:rFonts w:hint="default" w:ascii="Times New Roman" w:hAnsi="Times New Roman" w:eastAsia="宋体" w:cs="Times New Roman"/>
                <w:color w:val="auto"/>
                <w:sz w:val="24"/>
              </w:rPr>
              <w:t>等生产、生活分区，占地面积约</w:t>
            </w:r>
            <w:r>
              <w:rPr>
                <w:rFonts w:hint="default" w:ascii="Times New Roman" w:hAnsi="Times New Roman" w:eastAsia="宋体" w:cs="Times New Roman"/>
                <w:color w:val="auto"/>
                <w:sz w:val="24"/>
                <w:lang w:val="en-US" w:eastAsia="zh-CN"/>
              </w:rPr>
              <w:t>50</w:t>
            </w:r>
            <w:r>
              <w:rPr>
                <w:rFonts w:hint="default" w:ascii="Times New Roman" w:hAnsi="Times New Roman" w:eastAsia="宋体" w:cs="Times New Roman"/>
                <w:color w:val="auto"/>
                <w:sz w:val="24"/>
              </w:rPr>
              <w:t>00m</w:t>
            </w:r>
            <w:r>
              <w:rPr>
                <w:rFonts w:hint="default" w:ascii="Times New Roman" w:hAnsi="Times New Roman" w:eastAsia="宋体" w:cs="Times New Roman"/>
                <w:color w:val="auto"/>
                <w:sz w:val="24"/>
                <w:vertAlign w:val="superscript"/>
              </w:rPr>
              <w:t>2</w:t>
            </w:r>
            <w:r>
              <w:rPr>
                <w:rFonts w:hint="default" w:ascii="Times New Roman" w:hAnsi="Times New Roman" w:eastAsia="宋体" w:cs="Times New Roman"/>
                <w:color w:val="auto"/>
                <w:sz w:val="24"/>
              </w:rPr>
              <w:t>。临时性占地均在永久占地范围内，不需要额外占用土地。</w:t>
            </w:r>
          </w:p>
          <w:bookmarkEnd w:id="4"/>
          <w:p>
            <w:pPr>
              <w:keepNext w:val="0"/>
              <w:keepLines w:val="0"/>
              <w:pageBreakBefore w:val="0"/>
              <w:tabs>
                <w:tab w:val="left" w:pos="6645"/>
              </w:tabs>
              <w:kinsoku/>
              <w:wordWrap/>
              <w:overflowPunct/>
              <w:topLinePunct w:val="0"/>
              <w:autoSpaceDE/>
              <w:autoSpaceDN/>
              <w:bidi w:val="0"/>
              <w:adjustRightInd w:val="0"/>
              <w:snapToGrid w:val="0"/>
              <w:spacing w:line="360" w:lineRule="auto"/>
              <w:ind w:firstLine="482" w:firstLineChars="200"/>
              <w:jc w:val="both"/>
              <w:textAlignment w:val="auto"/>
              <w:rPr>
                <w:rFonts w:hint="default" w:ascii="Times New Roman" w:hAnsi="Times New Roman" w:cs="Times New Roman"/>
                <w:b/>
                <w:color w:val="auto"/>
                <w:sz w:val="24"/>
                <w:szCs w:val="24"/>
                <w:highlight w:val="none"/>
                <w:lang w:val="en-US" w:eastAsia="zh-CN"/>
              </w:rPr>
            </w:pPr>
            <w:r>
              <w:rPr>
                <w:rFonts w:hint="eastAsia" w:ascii="Times New Roman" w:hAnsi="Times New Roman" w:cs="Times New Roman"/>
                <w:b/>
                <w:color w:val="auto"/>
                <w:sz w:val="24"/>
                <w:szCs w:val="24"/>
                <w:highlight w:val="none"/>
                <w:lang w:val="en-US" w:eastAsia="zh-CN"/>
              </w:rPr>
              <w:t>8、</w:t>
            </w:r>
            <w:r>
              <w:rPr>
                <w:rFonts w:hint="default" w:ascii="Times New Roman" w:hAnsi="Times New Roman" w:cs="Times New Roman"/>
                <w:b/>
                <w:color w:val="auto"/>
                <w:sz w:val="24"/>
                <w:szCs w:val="24"/>
                <w:highlight w:val="none"/>
                <w:lang w:val="en-US" w:eastAsia="zh-CN"/>
              </w:rPr>
              <w:t>相关专题及附件</w:t>
            </w:r>
          </w:p>
          <w:p>
            <w:pPr>
              <w:keepNext w:val="0"/>
              <w:keepLines w:val="0"/>
              <w:pageBreakBefore w:val="0"/>
              <w:kinsoku/>
              <w:wordWrap/>
              <w:overflowPunct/>
              <w:topLinePunct w:val="0"/>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rPr>
            </w:pPr>
            <w:r>
              <w:rPr>
                <w:rFonts w:hint="eastAsia" w:cs="Times New Roman"/>
                <w:color w:val="auto"/>
                <w:sz w:val="24"/>
                <w:lang w:eastAsia="zh-CN"/>
              </w:rPr>
              <w:t>（</w:t>
            </w:r>
            <w:r>
              <w:rPr>
                <w:rFonts w:hint="eastAsia" w:cs="Times New Roman"/>
                <w:color w:val="auto"/>
                <w:sz w:val="24"/>
                <w:lang w:val="en-US" w:eastAsia="zh-CN"/>
              </w:rPr>
              <w:t>1</w:t>
            </w:r>
            <w:r>
              <w:rPr>
                <w:rFonts w:hint="eastAsia" w:cs="Times New Roman"/>
                <w:color w:val="auto"/>
                <w:sz w:val="24"/>
                <w:lang w:eastAsia="zh-CN"/>
              </w:rPr>
              <w:t>）</w:t>
            </w:r>
            <w:r>
              <w:rPr>
                <w:rFonts w:hint="default" w:ascii="Times New Roman" w:hAnsi="Times New Roman" w:eastAsia="宋体" w:cs="Times New Roman"/>
                <w:color w:val="auto"/>
                <w:sz w:val="24"/>
              </w:rPr>
              <w:t>可研及相关专题报告</w:t>
            </w:r>
          </w:p>
          <w:p>
            <w:pPr>
              <w:keepNext w:val="0"/>
              <w:keepLines w:val="0"/>
              <w:pageBreakBefore w:val="0"/>
              <w:kinsoku/>
              <w:wordWrap/>
              <w:overflowPunct/>
              <w:topLinePunct w:val="0"/>
              <w:bidi w:val="0"/>
              <w:adjustRightInd w:val="0"/>
              <w:snapToGrid w:val="0"/>
              <w:spacing w:line="360" w:lineRule="auto"/>
              <w:ind w:firstLine="480" w:firstLineChars="200"/>
              <w:textAlignment w:val="auto"/>
              <w:rPr>
                <w:rFonts w:hint="eastAsia" w:ascii="Times New Roman" w:hAnsi="Times New Roman" w:eastAsia="宋体" w:cs="Times New Roman"/>
                <w:color w:val="auto"/>
                <w:sz w:val="24"/>
                <w:lang w:eastAsia="zh-CN"/>
              </w:rPr>
            </w:pPr>
            <w:r>
              <w:rPr>
                <w:rFonts w:hint="default" w:ascii="Times New Roman" w:hAnsi="Times New Roman" w:eastAsia="宋体" w:cs="Times New Roman"/>
                <w:color w:val="auto"/>
                <w:sz w:val="24"/>
              </w:rPr>
              <w:t>《国家能源集团贞观山灰场光伏电站项目工程可行性研究报告》，中国电力工程顾问集团华东电力设计院有限公司，</w:t>
            </w:r>
            <w:r>
              <w:rPr>
                <w:rFonts w:hint="default" w:ascii="Times New Roman" w:hAnsi="Times New Roman" w:eastAsia="宋体" w:cs="Times New Roman"/>
                <w:color w:val="auto"/>
                <w:sz w:val="24"/>
                <w:lang w:val="en-US" w:eastAsia="zh-CN"/>
              </w:rPr>
              <w:t>2020</w:t>
            </w:r>
            <w:r>
              <w:rPr>
                <w:rFonts w:hint="default" w:ascii="Times New Roman" w:hAnsi="Times New Roman" w:eastAsia="宋体" w:cs="Times New Roman"/>
                <w:color w:val="auto"/>
                <w:sz w:val="24"/>
              </w:rPr>
              <w:t>年</w:t>
            </w:r>
            <w:r>
              <w:rPr>
                <w:rFonts w:hint="default" w:ascii="Times New Roman" w:hAnsi="Times New Roman" w:eastAsia="宋体" w:cs="Times New Roman"/>
                <w:color w:val="auto"/>
                <w:sz w:val="24"/>
                <w:lang w:val="en-US" w:eastAsia="zh-CN"/>
              </w:rPr>
              <w:t>9</w:t>
            </w:r>
            <w:r>
              <w:rPr>
                <w:rFonts w:hint="default" w:ascii="Times New Roman" w:hAnsi="Times New Roman" w:eastAsia="宋体" w:cs="Times New Roman"/>
                <w:color w:val="auto"/>
                <w:sz w:val="24"/>
              </w:rPr>
              <w:t>月</w:t>
            </w:r>
          </w:p>
          <w:p>
            <w:pPr>
              <w:keepNext w:val="0"/>
              <w:keepLines w:val="0"/>
              <w:pageBreakBefore w:val="0"/>
              <w:kinsoku/>
              <w:wordWrap/>
              <w:overflowPunct/>
              <w:topLinePunct w:val="0"/>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rPr>
            </w:pPr>
            <w:r>
              <w:rPr>
                <w:rFonts w:hint="eastAsia" w:cs="Times New Roman"/>
                <w:color w:val="auto"/>
                <w:sz w:val="24"/>
                <w:lang w:eastAsia="zh-CN"/>
              </w:rPr>
              <w:t>（</w:t>
            </w:r>
            <w:r>
              <w:rPr>
                <w:rFonts w:hint="eastAsia" w:cs="Times New Roman"/>
                <w:color w:val="auto"/>
                <w:sz w:val="24"/>
                <w:lang w:val="en-US" w:eastAsia="zh-CN"/>
              </w:rPr>
              <w:t>2</w:t>
            </w:r>
            <w:r>
              <w:rPr>
                <w:rFonts w:hint="eastAsia" w:cs="Times New Roman"/>
                <w:color w:val="auto"/>
                <w:sz w:val="24"/>
                <w:lang w:eastAsia="zh-CN"/>
              </w:rPr>
              <w:t>）</w:t>
            </w:r>
            <w:r>
              <w:rPr>
                <w:rFonts w:hint="default" w:ascii="Times New Roman" w:hAnsi="Times New Roman" w:eastAsia="宋体" w:cs="Times New Roman"/>
                <w:color w:val="auto"/>
                <w:sz w:val="24"/>
              </w:rPr>
              <w:t>附件</w:t>
            </w:r>
          </w:p>
          <w:p>
            <w:pPr>
              <w:keepNext w:val="0"/>
              <w:keepLines w:val="0"/>
              <w:pageBreakBefore w:val="0"/>
              <w:kinsoku/>
              <w:wordWrap/>
              <w:overflowPunct/>
              <w:topLinePunct w:val="0"/>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rPr>
            </w:pPr>
            <w:bookmarkStart w:id="5" w:name="_Hlk518924892"/>
            <w:bookmarkStart w:id="6" w:name="_Hlk516162990"/>
            <w:r>
              <w:rPr>
                <w:rFonts w:hint="default" w:ascii="Times New Roman" w:hAnsi="Times New Roman" w:eastAsia="宋体" w:cs="Times New Roman"/>
                <w:color w:val="auto"/>
                <w:sz w:val="24"/>
              </w:rPr>
              <w:t>附件1 委托书</w:t>
            </w:r>
          </w:p>
          <w:p>
            <w:pPr>
              <w:keepNext w:val="0"/>
              <w:keepLines w:val="0"/>
              <w:pageBreakBefore w:val="0"/>
              <w:kinsoku/>
              <w:wordWrap/>
              <w:overflowPunct/>
              <w:topLinePunct w:val="0"/>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附件2 项目备案证</w:t>
            </w:r>
          </w:p>
          <w:p>
            <w:pPr>
              <w:keepNext w:val="0"/>
              <w:keepLines w:val="0"/>
              <w:pageBreakBefore w:val="0"/>
              <w:kinsoku/>
              <w:wordWrap/>
              <w:overflowPunct/>
              <w:topLinePunct w:val="0"/>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附件3 国家发展改革委、国家能源局，发改办能源〔2020〕588号，《国家发展改革委办公厅 国家能源局综合司关于公布2020年风电、光伏发电平价上网项目的通知》</w:t>
            </w:r>
          </w:p>
          <w:p>
            <w:pPr>
              <w:keepNext w:val="0"/>
              <w:keepLines w:val="0"/>
              <w:pageBreakBefore w:val="0"/>
              <w:kinsoku/>
              <w:wordWrap/>
              <w:overflowPunct/>
              <w:topLinePunct w:val="0"/>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附件4 镇江市人民政府出具的《关于国家能源集团贞观山灰场光伏电站项前期工作开展确认和土地落实承诺函》</w:t>
            </w:r>
          </w:p>
          <w:p>
            <w:pPr>
              <w:keepNext w:val="0"/>
              <w:keepLines w:val="0"/>
              <w:pageBreakBefore w:val="0"/>
              <w:kinsoku/>
              <w:wordWrap/>
              <w:overflowPunct/>
              <w:topLinePunct w:val="0"/>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附件5 镇江市自然资源和规划局，镇自然资函[2020]293号，《关于国家额能源集团贞观山灰场光伏电站项目的规划意见》</w:t>
            </w:r>
          </w:p>
          <w:p>
            <w:pPr>
              <w:keepNext w:val="0"/>
              <w:keepLines w:val="0"/>
              <w:pageBreakBefore w:val="0"/>
              <w:kinsoku/>
              <w:wordWrap/>
              <w:overflowPunct/>
              <w:topLinePunct w:val="0"/>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附件6 监测报告</w:t>
            </w:r>
          </w:p>
          <w:bookmarkEnd w:id="5"/>
          <w:p>
            <w:pPr>
              <w:keepNext w:val="0"/>
              <w:keepLines w:val="0"/>
              <w:pageBreakBefore w:val="0"/>
              <w:tabs>
                <w:tab w:val="left" w:pos="6645"/>
              </w:tabs>
              <w:kinsoku/>
              <w:wordWrap/>
              <w:overflowPunct/>
              <w:topLinePunct w:val="0"/>
              <w:autoSpaceDE/>
              <w:autoSpaceDN/>
              <w:bidi w:val="0"/>
              <w:adjustRightInd w:val="0"/>
              <w:snapToGrid w:val="0"/>
              <w:spacing w:line="360" w:lineRule="auto"/>
              <w:ind w:firstLine="482" w:firstLineChars="200"/>
              <w:jc w:val="both"/>
              <w:textAlignment w:val="auto"/>
              <w:rPr>
                <w:rFonts w:hint="default" w:ascii="Times New Roman" w:hAnsi="Times New Roman" w:cs="Times New Roman"/>
                <w:b/>
                <w:color w:val="auto"/>
                <w:sz w:val="24"/>
                <w:szCs w:val="24"/>
                <w:highlight w:val="none"/>
                <w:lang w:val="en-US" w:eastAsia="zh-CN"/>
              </w:rPr>
            </w:pPr>
            <w:r>
              <w:rPr>
                <w:rFonts w:hint="eastAsia" w:cs="Times New Roman"/>
                <w:b/>
                <w:color w:val="auto"/>
                <w:sz w:val="24"/>
                <w:szCs w:val="24"/>
                <w:highlight w:val="none"/>
                <w:lang w:val="en-US" w:eastAsia="zh-CN"/>
              </w:rPr>
              <w:t>三</w:t>
            </w:r>
            <w:r>
              <w:rPr>
                <w:rFonts w:hint="eastAsia" w:ascii="Times New Roman" w:hAnsi="Times New Roman" w:cs="Times New Roman"/>
                <w:b/>
                <w:color w:val="auto"/>
                <w:sz w:val="24"/>
                <w:szCs w:val="24"/>
                <w:highlight w:val="none"/>
                <w:lang w:val="en-US" w:eastAsia="zh-CN"/>
              </w:rPr>
              <w:t>、</w:t>
            </w:r>
            <w:r>
              <w:rPr>
                <w:rFonts w:hint="default" w:ascii="Times New Roman" w:hAnsi="Times New Roman" w:cs="Times New Roman"/>
                <w:b/>
                <w:color w:val="auto"/>
                <w:sz w:val="24"/>
                <w:szCs w:val="24"/>
                <w:highlight w:val="none"/>
                <w:lang w:val="en-US" w:eastAsia="zh-CN"/>
              </w:rPr>
              <w:t>评价等级</w:t>
            </w:r>
          </w:p>
          <w:p>
            <w:pPr>
              <w:keepNext w:val="0"/>
              <w:keepLines w:val="0"/>
              <w:pageBreakBefore w:val="0"/>
              <w:kinsoku/>
              <w:wordWrap/>
              <w:overflowPunct/>
              <w:topLinePunct w:val="0"/>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工程为清洁能源工业，产生少量组件清洗废水，主要污染因子为SS，散排就地蒸发，不外排；位于声环境3类区，选用低噪声设备，声级值控制在60dB(A)以内，并合理进行总平面布置，同时场界外200m范围内无声环境敏感目标；因此，本工程对气态污染物、废水、声环境进行影响分析。光伏发电为地下水Ⅳ类建设项目，不需开展地下水环境影响评价。光伏发电为</w:t>
            </w:r>
            <w:r>
              <w:rPr>
                <w:rFonts w:hint="default" w:ascii="Times New Roman" w:hAnsi="Times New Roman" w:eastAsia="宋体" w:cs="Times New Roman"/>
                <w:color w:val="auto"/>
                <w:sz w:val="24"/>
                <w:lang w:val="en-US" w:eastAsia="zh-CN"/>
              </w:rPr>
              <w:t>土壤</w:t>
            </w:r>
            <w:r>
              <w:rPr>
                <w:rFonts w:hint="default" w:ascii="Times New Roman" w:hAnsi="Times New Roman" w:eastAsia="宋体" w:cs="Times New Roman"/>
                <w:color w:val="auto"/>
                <w:sz w:val="24"/>
              </w:rPr>
              <w:t>Ⅳ类建设项目，不需开展</w:t>
            </w:r>
            <w:r>
              <w:rPr>
                <w:rFonts w:hint="default" w:ascii="Times New Roman" w:hAnsi="Times New Roman" w:eastAsia="宋体" w:cs="Times New Roman"/>
                <w:color w:val="auto"/>
                <w:sz w:val="24"/>
                <w:lang w:val="en-US" w:eastAsia="zh-CN"/>
              </w:rPr>
              <w:t>土壤</w:t>
            </w:r>
            <w:r>
              <w:rPr>
                <w:rFonts w:hint="default" w:ascii="Times New Roman" w:hAnsi="Times New Roman" w:eastAsia="宋体" w:cs="Times New Roman"/>
                <w:color w:val="auto"/>
                <w:sz w:val="24"/>
              </w:rPr>
              <w:t>环境影响评价。</w:t>
            </w:r>
          </w:p>
          <w:p>
            <w:pPr>
              <w:keepNext w:val="0"/>
              <w:keepLines w:val="0"/>
              <w:pageBreakBefore w:val="0"/>
              <w:kinsoku/>
              <w:wordWrap/>
              <w:overflowPunct/>
              <w:topLinePunct w:val="0"/>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本工程主要的环境影响为生态影响，根据《环境影响评价技术导则生态影响》（HJ19-2011），本工程生态环境影响评价等级为三级。</w:t>
            </w:r>
          </w:p>
          <w:bookmarkEnd w:id="6"/>
          <w:p>
            <w:pPr>
              <w:keepNext w:val="0"/>
              <w:keepLines w:val="0"/>
              <w:pageBreakBefore w:val="0"/>
              <w:tabs>
                <w:tab w:val="left" w:pos="6645"/>
              </w:tabs>
              <w:kinsoku/>
              <w:wordWrap/>
              <w:overflowPunct/>
              <w:topLinePunct w:val="0"/>
              <w:autoSpaceDE/>
              <w:autoSpaceDN/>
              <w:bidi w:val="0"/>
              <w:adjustRightInd w:val="0"/>
              <w:snapToGrid w:val="0"/>
              <w:spacing w:line="360" w:lineRule="auto"/>
              <w:ind w:firstLine="482" w:firstLineChars="200"/>
              <w:jc w:val="both"/>
              <w:textAlignment w:val="auto"/>
              <w:rPr>
                <w:rFonts w:hint="default" w:ascii="Times New Roman" w:hAnsi="Times New Roman" w:cs="Times New Roman"/>
                <w:b/>
                <w:color w:val="auto"/>
                <w:sz w:val="24"/>
                <w:szCs w:val="24"/>
                <w:highlight w:val="none"/>
                <w:lang w:val="en-US" w:eastAsia="zh-CN"/>
              </w:rPr>
            </w:pPr>
            <w:bookmarkStart w:id="7" w:name="_Toc438135165"/>
            <w:r>
              <w:rPr>
                <w:rFonts w:hint="eastAsia" w:cs="Times New Roman"/>
                <w:b/>
                <w:color w:val="auto"/>
                <w:sz w:val="24"/>
                <w:szCs w:val="24"/>
                <w:highlight w:val="none"/>
                <w:lang w:val="en-US" w:eastAsia="zh-CN"/>
              </w:rPr>
              <w:t>四</w:t>
            </w:r>
            <w:r>
              <w:rPr>
                <w:rFonts w:hint="eastAsia" w:ascii="Times New Roman" w:hAnsi="Times New Roman" w:cs="Times New Roman"/>
                <w:b/>
                <w:color w:val="auto"/>
                <w:sz w:val="24"/>
                <w:szCs w:val="24"/>
                <w:highlight w:val="none"/>
                <w:lang w:val="en-US" w:eastAsia="zh-CN"/>
              </w:rPr>
              <w:t>、</w:t>
            </w:r>
            <w:r>
              <w:rPr>
                <w:rFonts w:hint="default" w:ascii="Times New Roman" w:hAnsi="Times New Roman" w:cs="Times New Roman"/>
                <w:b/>
                <w:color w:val="auto"/>
                <w:sz w:val="24"/>
                <w:szCs w:val="24"/>
                <w:highlight w:val="none"/>
                <w:lang w:val="en-US" w:eastAsia="zh-CN"/>
              </w:rPr>
              <w:t>环保投资</w:t>
            </w:r>
            <w:bookmarkEnd w:id="7"/>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color w:val="auto"/>
                <w:kern w:val="0"/>
                <w:sz w:val="24"/>
                <w:szCs w:val="24"/>
              </w:rPr>
            </w:pPr>
            <w:r>
              <w:rPr>
                <w:rFonts w:hint="default" w:ascii="Times New Roman" w:hAnsi="Times New Roman" w:eastAsia="宋体" w:cs="Times New Roman"/>
                <w:color w:val="auto"/>
                <w:sz w:val="24"/>
              </w:rPr>
              <w:t>本工程</w:t>
            </w:r>
            <w:r>
              <w:rPr>
                <w:rFonts w:hint="eastAsia" w:cs="Times New Roman"/>
                <w:color w:val="auto"/>
                <w:sz w:val="24"/>
                <w:lang w:eastAsia="zh-CN"/>
              </w:rPr>
              <w:t>运行期</w:t>
            </w:r>
            <w:r>
              <w:rPr>
                <w:rFonts w:hint="default" w:ascii="Times New Roman" w:hAnsi="Times New Roman" w:eastAsia="宋体" w:cs="Times New Roman"/>
                <w:color w:val="auto"/>
                <w:sz w:val="24"/>
              </w:rPr>
              <w:t>25年，静态工程总投资约为</w:t>
            </w:r>
            <w:r>
              <w:rPr>
                <w:rFonts w:hint="default" w:ascii="Times New Roman" w:hAnsi="Times New Roman" w:eastAsia="宋体" w:cs="Times New Roman"/>
                <w:color w:val="auto"/>
                <w:sz w:val="24"/>
                <w:lang w:val="en-US" w:eastAsia="zh-CN"/>
              </w:rPr>
              <w:t>12715</w:t>
            </w:r>
            <w:r>
              <w:rPr>
                <w:rFonts w:hint="default" w:ascii="Times New Roman" w:hAnsi="Times New Roman" w:eastAsia="宋体" w:cs="Times New Roman"/>
                <w:color w:val="auto"/>
                <w:sz w:val="24"/>
              </w:rPr>
              <w:t>万元，其中环保投资约为</w:t>
            </w:r>
            <w:r>
              <w:rPr>
                <w:rFonts w:hint="default" w:ascii="Times New Roman" w:hAnsi="Times New Roman" w:eastAsia="宋体" w:cs="Times New Roman"/>
                <w:color w:val="auto"/>
                <w:sz w:val="24"/>
                <w:lang w:val="en-US" w:eastAsia="zh-CN"/>
              </w:rPr>
              <w:t>49</w:t>
            </w:r>
            <w:r>
              <w:rPr>
                <w:rFonts w:hint="default" w:ascii="Times New Roman" w:hAnsi="Times New Roman" w:eastAsia="宋体" w:cs="Times New Roman"/>
                <w:color w:val="auto"/>
                <w:sz w:val="24"/>
              </w:rPr>
              <w:t>万元，占工程静态工程总投资的0.</w:t>
            </w:r>
            <w:r>
              <w:rPr>
                <w:rFonts w:hint="default" w:ascii="Times New Roman" w:hAnsi="Times New Roman" w:eastAsia="宋体" w:cs="Times New Roman"/>
                <w:color w:val="auto"/>
                <w:sz w:val="24"/>
                <w:lang w:val="en-US" w:eastAsia="zh-CN"/>
              </w:rPr>
              <w:t>4</w:t>
            </w:r>
            <w:r>
              <w:rPr>
                <w:rFonts w:hint="default" w:ascii="Times New Roman" w:hAnsi="Times New Roman" w:eastAsia="宋体" w:cs="Times New Roman"/>
                <w:color w:val="auto"/>
                <w:sz w:val="24"/>
              </w:rPr>
              <w:t>%。本工程环保投资见表</w:t>
            </w:r>
            <w:r>
              <w:rPr>
                <w:rFonts w:hint="eastAsia" w:cs="Times New Roman"/>
                <w:color w:val="auto"/>
                <w:sz w:val="24"/>
                <w:lang w:val="en-US" w:eastAsia="zh-CN"/>
              </w:rPr>
              <w:t>10</w:t>
            </w:r>
            <w:r>
              <w:rPr>
                <w:rFonts w:hint="default" w:ascii="Times New Roman" w:hAnsi="Times New Roman" w:eastAsia="宋体" w:cs="Times New Roman"/>
                <w:color w:val="auto"/>
                <w:sz w:val="24"/>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b/>
                <w:color w:val="auto"/>
                <w:kern w:val="0"/>
                <w:sz w:val="24"/>
                <w:szCs w:val="24"/>
              </w:rPr>
            </w:pPr>
            <w:r>
              <w:rPr>
                <w:rFonts w:hint="default" w:ascii="Times New Roman" w:hAnsi="Times New Roman" w:eastAsia="宋体" w:cs="Times New Roman"/>
                <w:b/>
                <w:color w:val="auto"/>
                <w:kern w:val="0"/>
                <w:sz w:val="24"/>
                <w:szCs w:val="24"/>
              </w:rPr>
              <w:t>表</w:t>
            </w:r>
            <w:r>
              <w:rPr>
                <w:rFonts w:hint="eastAsia" w:cs="Times New Roman"/>
                <w:b/>
                <w:color w:val="auto"/>
                <w:kern w:val="0"/>
                <w:sz w:val="24"/>
                <w:szCs w:val="24"/>
                <w:lang w:val="en-US" w:eastAsia="zh-CN"/>
              </w:rPr>
              <w:t xml:space="preserve">10 </w:t>
            </w:r>
            <w:r>
              <w:rPr>
                <w:rFonts w:hint="default" w:ascii="Times New Roman" w:hAnsi="Times New Roman" w:eastAsia="宋体" w:cs="Times New Roman"/>
                <w:b/>
                <w:color w:val="auto"/>
                <w:kern w:val="0"/>
                <w:sz w:val="24"/>
                <w:szCs w:val="24"/>
              </w:rPr>
              <w:t>环境保护投资估算</w:t>
            </w:r>
          </w:p>
          <w:tbl>
            <w:tblPr>
              <w:tblStyle w:val="30"/>
              <w:tblW w:w="499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497"/>
              <w:gridCol w:w="1259"/>
              <w:gridCol w:w="1959"/>
              <w:gridCol w:w="4834"/>
              <w:gridCol w:w="4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90" w:type="pct"/>
                  <w:shd w:val="clear" w:color="000000" w:fill="FFFFFF"/>
                  <w:tcMar>
                    <w:left w:w="108" w:type="dxa"/>
                    <w:right w:w="108" w:type="dxa"/>
                  </w:tcMar>
                  <w:vAlign w:val="center"/>
                </w:tcPr>
                <w:p>
                  <w:pPr>
                    <w:tabs>
                      <w:tab w:val="left" w:pos="1940"/>
                    </w:tabs>
                    <w:adjustRightInd w:val="0"/>
                    <w:snapToGrid w:val="0"/>
                    <w:jc w:val="center"/>
                    <w:rPr>
                      <w:rFonts w:hint="default" w:ascii="Times New Roman" w:hAnsi="Times New Roman" w:eastAsia="宋体" w:cs="Times New Roman"/>
                      <w:color w:val="auto"/>
                      <w:szCs w:val="21"/>
                    </w:rPr>
                  </w:pPr>
                </w:p>
              </w:tc>
              <w:tc>
                <w:tcPr>
                  <w:tcW w:w="1817" w:type="pct"/>
                  <w:gridSpan w:val="2"/>
                  <w:shd w:val="clear" w:color="000000" w:fill="FFFFFF"/>
                  <w:tcMar>
                    <w:left w:w="108" w:type="dxa"/>
                    <w:right w:w="108" w:type="dxa"/>
                  </w:tcMar>
                  <w:vAlign w:val="center"/>
                </w:tcPr>
                <w:p>
                  <w:pPr>
                    <w:tabs>
                      <w:tab w:val="left" w:pos="1940"/>
                    </w:tabs>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项目</w:t>
                  </w:r>
                </w:p>
              </w:tc>
              <w:tc>
                <w:tcPr>
                  <w:tcW w:w="2705" w:type="pct"/>
                  <w:shd w:val="clear" w:color="000000" w:fill="FFFFFF"/>
                  <w:tcMar>
                    <w:left w:w="108" w:type="dxa"/>
                    <w:right w:w="108" w:type="dxa"/>
                  </w:tcMar>
                  <w:vAlign w:val="center"/>
                </w:tcPr>
                <w:p>
                  <w:pPr>
                    <w:tabs>
                      <w:tab w:val="left" w:pos="1940"/>
                    </w:tabs>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内容</w:t>
                  </w:r>
                </w:p>
              </w:tc>
              <w:tc>
                <w:tcPr>
                  <w:tcW w:w="186" w:type="pct"/>
                  <w:shd w:val="clear" w:color="000000" w:fill="FFFFFF"/>
                  <w:tcMar>
                    <w:left w:w="108" w:type="dxa"/>
                    <w:right w:w="108" w:type="dxa"/>
                  </w:tcMar>
                  <w:vAlign w:val="center"/>
                </w:tcPr>
                <w:p>
                  <w:pPr>
                    <w:tabs>
                      <w:tab w:val="left" w:pos="1940"/>
                    </w:tabs>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估算投资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90" w:type="pct"/>
                  <w:vMerge w:val="restart"/>
                  <w:shd w:val="clear" w:color="000000" w:fill="FFFFFF"/>
                  <w:tcMar>
                    <w:left w:w="108" w:type="dxa"/>
                    <w:right w:w="108" w:type="dxa"/>
                  </w:tcMar>
                  <w:vAlign w:val="center"/>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施</w:t>
                  </w:r>
                </w:p>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工</w:t>
                  </w:r>
                </w:p>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期</w:t>
                  </w:r>
                </w:p>
              </w:tc>
              <w:tc>
                <w:tcPr>
                  <w:tcW w:w="714" w:type="pct"/>
                  <w:vMerge w:val="restart"/>
                  <w:shd w:val="clear" w:color="000000" w:fill="FFFFFF"/>
                  <w:tcMar>
                    <w:left w:w="108" w:type="dxa"/>
                    <w:right w:w="108" w:type="dxa"/>
                  </w:tcMar>
                  <w:vAlign w:val="center"/>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废气</w:t>
                  </w:r>
                </w:p>
              </w:tc>
              <w:tc>
                <w:tcPr>
                  <w:tcW w:w="1103" w:type="pct"/>
                  <w:shd w:val="clear" w:color="000000" w:fill="FFFFFF"/>
                  <w:tcMar>
                    <w:left w:w="108" w:type="dxa"/>
                    <w:right w:w="108" w:type="dxa"/>
                  </w:tcMar>
                  <w:vAlign w:val="center"/>
                </w:tcPr>
                <w:p>
                  <w:pPr>
                    <w:adjustRightInd w:val="0"/>
                    <w:snapToGrid w:val="0"/>
                    <w:ind w:left="-113" w:leftChars="-54" w:right="-113" w:rightChars="-54" w:firstLine="1"/>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作业区扬尘</w:t>
                  </w:r>
                </w:p>
              </w:tc>
              <w:tc>
                <w:tcPr>
                  <w:tcW w:w="2705" w:type="pct"/>
                  <w:shd w:val="clear" w:color="000000" w:fill="FFFFFF"/>
                  <w:tcMar>
                    <w:left w:w="108" w:type="dxa"/>
                    <w:right w:w="108" w:type="dxa"/>
                  </w:tcMar>
                  <w:vAlign w:val="center"/>
                </w:tcPr>
                <w:p>
                  <w:pPr>
                    <w:adjustRightInd w:val="0"/>
                    <w:snapToGrid w:val="0"/>
                    <w:ind w:leftChars="-51" w:right="-101" w:rightChars="-48" w:hanging="107" w:hangingChars="51"/>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遮盖、洒水等</w:t>
                  </w:r>
                </w:p>
              </w:tc>
              <w:tc>
                <w:tcPr>
                  <w:tcW w:w="186" w:type="pct"/>
                  <w:vMerge w:val="restart"/>
                  <w:shd w:val="clear" w:color="000000" w:fill="FFFFFF"/>
                  <w:tcMar>
                    <w:left w:w="108" w:type="dxa"/>
                    <w:right w:w="108" w:type="dxa"/>
                  </w:tcMar>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90" w:type="pct"/>
                  <w:vMerge w:val="continue"/>
                  <w:shd w:val="clear" w:color="000000" w:fill="FFFFFF"/>
                  <w:tcMar>
                    <w:left w:w="108" w:type="dxa"/>
                    <w:right w:w="108" w:type="dxa"/>
                  </w:tcMar>
                  <w:vAlign w:val="center"/>
                </w:tcPr>
                <w:p>
                  <w:pPr>
                    <w:adjustRightInd w:val="0"/>
                    <w:snapToGrid w:val="0"/>
                    <w:jc w:val="center"/>
                    <w:rPr>
                      <w:rFonts w:hint="default" w:ascii="Times New Roman" w:hAnsi="Times New Roman" w:eastAsia="宋体" w:cs="Times New Roman"/>
                      <w:color w:val="auto"/>
                      <w:szCs w:val="21"/>
                    </w:rPr>
                  </w:pPr>
                </w:p>
              </w:tc>
              <w:tc>
                <w:tcPr>
                  <w:tcW w:w="714" w:type="pct"/>
                  <w:vMerge w:val="continue"/>
                  <w:shd w:val="clear" w:color="000000" w:fill="FFFFFF"/>
                  <w:tcMar>
                    <w:left w:w="108" w:type="dxa"/>
                    <w:right w:w="108" w:type="dxa"/>
                  </w:tcMar>
                  <w:vAlign w:val="center"/>
                </w:tcPr>
                <w:p>
                  <w:pPr>
                    <w:adjustRightInd w:val="0"/>
                    <w:snapToGrid w:val="0"/>
                    <w:jc w:val="center"/>
                    <w:rPr>
                      <w:rFonts w:hint="default" w:ascii="Times New Roman" w:hAnsi="Times New Roman" w:eastAsia="宋体" w:cs="Times New Roman"/>
                      <w:color w:val="auto"/>
                      <w:szCs w:val="21"/>
                    </w:rPr>
                  </w:pPr>
                </w:p>
              </w:tc>
              <w:tc>
                <w:tcPr>
                  <w:tcW w:w="1103" w:type="pct"/>
                  <w:shd w:val="clear" w:color="000000" w:fill="FFFFFF"/>
                  <w:tcMar>
                    <w:left w:w="108" w:type="dxa"/>
                    <w:right w:w="108" w:type="dxa"/>
                  </w:tcMar>
                  <w:vAlign w:val="center"/>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道路扬尘</w:t>
                  </w:r>
                </w:p>
              </w:tc>
              <w:tc>
                <w:tcPr>
                  <w:tcW w:w="2705" w:type="pct"/>
                  <w:shd w:val="clear" w:color="000000" w:fill="FFFFFF"/>
                  <w:tcMar>
                    <w:left w:w="108" w:type="dxa"/>
                    <w:right w:w="108" w:type="dxa"/>
                  </w:tcMar>
                  <w:vAlign w:val="center"/>
                </w:tcPr>
                <w:p>
                  <w:pPr>
                    <w:adjustRightInd w:val="0"/>
                    <w:snapToGrid w:val="0"/>
                    <w:ind w:leftChars="-51" w:right="-101" w:rightChars="-48" w:hanging="107" w:hangingChars="51"/>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洒水、清扫等</w:t>
                  </w:r>
                </w:p>
              </w:tc>
              <w:tc>
                <w:tcPr>
                  <w:tcW w:w="186" w:type="pct"/>
                  <w:vMerge w:val="continue"/>
                  <w:shd w:val="clear" w:color="000000" w:fill="FFFFFF"/>
                  <w:tcMar>
                    <w:left w:w="108" w:type="dxa"/>
                    <w:right w:w="108" w:type="dxa"/>
                  </w:tcMar>
                  <w:vAlign w:val="center"/>
                </w:tcPr>
                <w:p>
                  <w:pPr>
                    <w:adjustRightInd w:val="0"/>
                    <w:snapToGrid w:val="0"/>
                    <w:jc w:val="center"/>
                    <w:rPr>
                      <w:rFonts w:hint="default" w:ascii="Times New Roman" w:hAnsi="Times New Roman" w:eastAsia="宋体" w:cs="Times New Roman"/>
                      <w:color w:val="auto"/>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90" w:type="pct"/>
                  <w:vMerge w:val="continue"/>
                  <w:shd w:val="clear" w:color="000000" w:fill="FFFFFF"/>
                  <w:tcMar>
                    <w:left w:w="108" w:type="dxa"/>
                    <w:right w:w="108" w:type="dxa"/>
                  </w:tcMar>
                  <w:vAlign w:val="center"/>
                </w:tcPr>
                <w:p>
                  <w:pPr>
                    <w:adjustRightInd w:val="0"/>
                    <w:snapToGrid w:val="0"/>
                    <w:jc w:val="center"/>
                    <w:rPr>
                      <w:rFonts w:hint="default" w:ascii="Times New Roman" w:hAnsi="Times New Roman" w:eastAsia="宋体" w:cs="Times New Roman"/>
                      <w:color w:val="auto"/>
                      <w:szCs w:val="21"/>
                    </w:rPr>
                  </w:pPr>
                </w:p>
              </w:tc>
              <w:tc>
                <w:tcPr>
                  <w:tcW w:w="714" w:type="pct"/>
                  <w:vMerge w:val="restart"/>
                  <w:shd w:val="clear" w:color="000000" w:fill="FFFFFF"/>
                  <w:tcMar>
                    <w:left w:w="108" w:type="dxa"/>
                    <w:right w:w="108" w:type="dxa"/>
                  </w:tcMar>
                  <w:vAlign w:val="center"/>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废水</w:t>
                  </w:r>
                </w:p>
              </w:tc>
              <w:tc>
                <w:tcPr>
                  <w:tcW w:w="1103" w:type="pct"/>
                  <w:shd w:val="clear" w:color="000000" w:fill="FFFFFF"/>
                  <w:tcMar>
                    <w:left w:w="108" w:type="dxa"/>
                    <w:right w:w="108" w:type="dxa"/>
                  </w:tcMar>
                  <w:vAlign w:val="center"/>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施工废水</w:t>
                  </w:r>
                </w:p>
              </w:tc>
              <w:tc>
                <w:tcPr>
                  <w:tcW w:w="2705" w:type="pct"/>
                  <w:shd w:val="clear" w:color="000000" w:fill="FFFFFF"/>
                  <w:tcMar>
                    <w:left w:w="108" w:type="dxa"/>
                    <w:right w:w="108" w:type="dxa"/>
                  </w:tcMar>
                  <w:vAlign w:val="center"/>
                </w:tcPr>
                <w:p>
                  <w:pPr>
                    <w:adjustRightInd w:val="0"/>
                    <w:snapToGrid w:val="0"/>
                    <w:ind w:leftChars="-51" w:right="-101" w:rightChars="-48" w:hanging="107" w:hangingChars="51"/>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隔油池、沉淀池</w:t>
                  </w:r>
                </w:p>
              </w:tc>
              <w:tc>
                <w:tcPr>
                  <w:tcW w:w="186" w:type="pct"/>
                  <w:shd w:val="clear" w:color="000000" w:fill="FFFFFF"/>
                  <w:tcMar>
                    <w:left w:w="108" w:type="dxa"/>
                    <w:right w:w="108" w:type="dxa"/>
                  </w:tcMar>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90" w:type="pct"/>
                  <w:vMerge w:val="continue"/>
                  <w:shd w:val="clear" w:color="000000" w:fill="FFFFFF"/>
                  <w:tcMar>
                    <w:left w:w="108" w:type="dxa"/>
                    <w:right w:w="108" w:type="dxa"/>
                  </w:tcMar>
                  <w:vAlign w:val="center"/>
                </w:tcPr>
                <w:p>
                  <w:pPr>
                    <w:adjustRightInd w:val="0"/>
                    <w:snapToGrid w:val="0"/>
                    <w:jc w:val="center"/>
                    <w:rPr>
                      <w:rFonts w:hint="default" w:ascii="Times New Roman" w:hAnsi="Times New Roman" w:eastAsia="宋体" w:cs="Times New Roman"/>
                      <w:color w:val="auto"/>
                      <w:szCs w:val="21"/>
                    </w:rPr>
                  </w:pPr>
                </w:p>
              </w:tc>
              <w:tc>
                <w:tcPr>
                  <w:tcW w:w="714" w:type="pct"/>
                  <w:vMerge w:val="continue"/>
                  <w:shd w:val="clear" w:color="000000" w:fill="FFFFFF"/>
                  <w:tcMar>
                    <w:left w:w="108" w:type="dxa"/>
                    <w:right w:w="108" w:type="dxa"/>
                  </w:tcMar>
                  <w:vAlign w:val="center"/>
                </w:tcPr>
                <w:p>
                  <w:pPr>
                    <w:adjustRightInd w:val="0"/>
                    <w:snapToGrid w:val="0"/>
                    <w:jc w:val="center"/>
                    <w:rPr>
                      <w:rFonts w:hint="default" w:ascii="Times New Roman" w:hAnsi="Times New Roman" w:eastAsia="宋体" w:cs="Times New Roman"/>
                      <w:color w:val="auto"/>
                      <w:szCs w:val="21"/>
                    </w:rPr>
                  </w:pPr>
                </w:p>
              </w:tc>
              <w:tc>
                <w:tcPr>
                  <w:tcW w:w="1103" w:type="pct"/>
                  <w:shd w:val="clear" w:color="000000" w:fill="FFFFFF"/>
                  <w:tcMar>
                    <w:left w:w="108" w:type="dxa"/>
                    <w:right w:w="108" w:type="dxa"/>
                  </w:tcMar>
                  <w:vAlign w:val="center"/>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生活污水</w:t>
                  </w:r>
                </w:p>
              </w:tc>
              <w:tc>
                <w:tcPr>
                  <w:tcW w:w="2705" w:type="pct"/>
                  <w:shd w:val="clear" w:color="000000" w:fill="FFFFFF"/>
                  <w:tcMar>
                    <w:left w:w="108" w:type="dxa"/>
                    <w:right w:w="108" w:type="dxa"/>
                  </w:tcMar>
                  <w:vAlign w:val="center"/>
                </w:tcPr>
                <w:p>
                  <w:pPr>
                    <w:adjustRightInd w:val="0"/>
                    <w:snapToGrid w:val="0"/>
                    <w:ind w:leftChars="-51" w:right="-101" w:rightChars="-48" w:hanging="107" w:hangingChars="51"/>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防渗旱厕</w:t>
                  </w:r>
                </w:p>
              </w:tc>
              <w:tc>
                <w:tcPr>
                  <w:tcW w:w="186" w:type="pct"/>
                  <w:shd w:val="clear" w:color="000000" w:fill="FFFFFF"/>
                  <w:tcMar>
                    <w:left w:w="108" w:type="dxa"/>
                    <w:right w:w="108" w:type="dxa"/>
                  </w:tcMar>
                  <w:vAlign w:val="center"/>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90" w:type="pct"/>
                  <w:vMerge w:val="continue"/>
                  <w:shd w:val="clear" w:color="000000" w:fill="FFFFFF"/>
                  <w:tcMar>
                    <w:left w:w="108" w:type="dxa"/>
                    <w:right w:w="108" w:type="dxa"/>
                  </w:tcMar>
                  <w:vAlign w:val="center"/>
                </w:tcPr>
                <w:p>
                  <w:pPr>
                    <w:adjustRightInd w:val="0"/>
                    <w:snapToGrid w:val="0"/>
                    <w:jc w:val="center"/>
                    <w:rPr>
                      <w:rFonts w:hint="default" w:ascii="Times New Roman" w:hAnsi="Times New Roman" w:eastAsia="宋体" w:cs="Times New Roman"/>
                      <w:color w:val="auto"/>
                      <w:szCs w:val="21"/>
                    </w:rPr>
                  </w:pPr>
                </w:p>
              </w:tc>
              <w:tc>
                <w:tcPr>
                  <w:tcW w:w="714" w:type="pct"/>
                  <w:shd w:val="clear" w:color="000000" w:fill="FFFFFF"/>
                  <w:tcMar>
                    <w:left w:w="108" w:type="dxa"/>
                    <w:right w:w="108" w:type="dxa"/>
                  </w:tcMar>
                  <w:vAlign w:val="center"/>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噪声</w:t>
                  </w:r>
                </w:p>
              </w:tc>
              <w:tc>
                <w:tcPr>
                  <w:tcW w:w="1103" w:type="pct"/>
                  <w:shd w:val="clear" w:color="000000" w:fill="FFFFFF"/>
                  <w:tcMar>
                    <w:left w:w="108" w:type="dxa"/>
                    <w:right w:w="108" w:type="dxa"/>
                  </w:tcMar>
                  <w:vAlign w:val="center"/>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施工噪声</w:t>
                  </w:r>
                </w:p>
              </w:tc>
              <w:tc>
                <w:tcPr>
                  <w:tcW w:w="2705" w:type="pct"/>
                  <w:shd w:val="clear" w:color="000000" w:fill="FFFFFF"/>
                  <w:tcMar>
                    <w:left w:w="108" w:type="dxa"/>
                    <w:right w:w="108" w:type="dxa"/>
                  </w:tcMar>
                  <w:vAlign w:val="center"/>
                </w:tcPr>
                <w:p>
                  <w:pPr>
                    <w:adjustRightInd w:val="0"/>
                    <w:snapToGrid w:val="0"/>
                    <w:ind w:leftChars="-51" w:right="-101" w:rightChars="-48" w:hanging="107" w:hangingChars="51"/>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选择低噪设备、合理总图布局，合理安排作业时间</w:t>
                  </w:r>
                </w:p>
              </w:tc>
              <w:tc>
                <w:tcPr>
                  <w:tcW w:w="186" w:type="pct"/>
                  <w:shd w:val="clear" w:color="000000" w:fill="FFFFFF"/>
                  <w:tcMar>
                    <w:left w:w="108" w:type="dxa"/>
                    <w:right w:w="108" w:type="dxa"/>
                  </w:tcMar>
                  <w:vAlign w:val="center"/>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90" w:type="pct"/>
                  <w:vMerge w:val="continue"/>
                  <w:shd w:val="clear" w:color="000000" w:fill="FFFFFF"/>
                  <w:tcMar>
                    <w:left w:w="108" w:type="dxa"/>
                    <w:right w:w="108" w:type="dxa"/>
                  </w:tcMar>
                  <w:vAlign w:val="center"/>
                </w:tcPr>
                <w:p>
                  <w:pPr>
                    <w:adjustRightInd w:val="0"/>
                    <w:snapToGrid w:val="0"/>
                    <w:jc w:val="center"/>
                    <w:rPr>
                      <w:rFonts w:hint="default" w:ascii="Times New Roman" w:hAnsi="Times New Roman" w:eastAsia="宋体" w:cs="Times New Roman"/>
                      <w:color w:val="auto"/>
                      <w:szCs w:val="21"/>
                    </w:rPr>
                  </w:pPr>
                </w:p>
              </w:tc>
              <w:tc>
                <w:tcPr>
                  <w:tcW w:w="714" w:type="pct"/>
                  <w:vMerge w:val="restart"/>
                  <w:shd w:val="clear" w:color="000000" w:fill="FFFFFF"/>
                  <w:tcMar>
                    <w:left w:w="108" w:type="dxa"/>
                    <w:right w:w="108" w:type="dxa"/>
                  </w:tcMar>
                  <w:vAlign w:val="center"/>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固废</w:t>
                  </w:r>
                </w:p>
              </w:tc>
              <w:tc>
                <w:tcPr>
                  <w:tcW w:w="1103" w:type="pct"/>
                  <w:shd w:val="clear" w:color="000000" w:fill="FFFFFF"/>
                  <w:tcMar>
                    <w:left w:w="108" w:type="dxa"/>
                    <w:right w:w="108" w:type="dxa"/>
                  </w:tcMar>
                  <w:vAlign w:val="center"/>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建筑垃圾</w:t>
                  </w:r>
                </w:p>
              </w:tc>
              <w:tc>
                <w:tcPr>
                  <w:tcW w:w="2705" w:type="pct"/>
                  <w:shd w:val="clear" w:color="000000" w:fill="FFFFFF"/>
                  <w:tcMar>
                    <w:left w:w="108" w:type="dxa"/>
                    <w:right w:w="108" w:type="dxa"/>
                  </w:tcMar>
                  <w:vAlign w:val="center"/>
                </w:tcPr>
                <w:p>
                  <w:pPr>
                    <w:adjustRightInd w:val="0"/>
                    <w:snapToGrid w:val="0"/>
                    <w:ind w:leftChars="-51" w:right="-101" w:rightChars="-48" w:hanging="107" w:hangingChars="51"/>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送有关部门指定建筑垃圾堆放场</w:t>
                  </w:r>
                </w:p>
              </w:tc>
              <w:tc>
                <w:tcPr>
                  <w:tcW w:w="186" w:type="pct"/>
                  <w:vMerge w:val="restart"/>
                  <w:shd w:val="clear" w:color="000000" w:fill="FFFFFF"/>
                  <w:tcMar>
                    <w:left w:w="108" w:type="dxa"/>
                    <w:right w:w="108" w:type="dxa"/>
                  </w:tcMar>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90" w:type="pct"/>
                  <w:vMerge w:val="continue"/>
                  <w:shd w:val="clear" w:color="000000" w:fill="FFFFFF"/>
                  <w:tcMar>
                    <w:left w:w="108" w:type="dxa"/>
                    <w:right w:w="108" w:type="dxa"/>
                  </w:tcMar>
                  <w:vAlign w:val="center"/>
                </w:tcPr>
                <w:p>
                  <w:pPr>
                    <w:adjustRightInd w:val="0"/>
                    <w:snapToGrid w:val="0"/>
                    <w:jc w:val="center"/>
                    <w:rPr>
                      <w:rFonts w:hint="default" w:ascii="Times New Roman" w:hAnsi="Times New Roman" w:eastAsia="宋体" w:cs="Times New Roman"/>
                      <w:color w:val="auto"/>
                      <w:szCs w:val="21"/>
                    </w:rPr>
                  </w:pPr>
                </w:p>
              </w:tc>
              <w:tc>
                <w:tcPr>
                  <w:tcW w:w="714" w:type="pct"/>
                  <w:vMerge w:val="continue"/>
                  <w:shd w:val="clear" w:color="000000" w:fill="FFFFFF"/>
                  <w:tcMar>
                    <w:left w:w="108" w:type="dxa"/>
                    <w:right w:w="108" w:type="dxa"/>
                  </w:tcMar>
                  <w:vAlign w:val="center"/>
                </w:tcPr>
                <w:p>
                  <w:pPr>
                    <w:adjustRightInd w:val="0"/>
                    <w:snapToGrid w:val="0"/>
                    <w:jc w:val="center"/>
                    <w:rPr>
                      <w:rFonts w:hint="default" w:ascii="Times New Roman" w:hAnsi="Times New Roman" w:eastAsia="宋体" w:cs="Times New Roman"/>
                      <w:color w:val="auto"/>
                      <w:szCs w:val="21"/>
                    </w:rPr>
                  </w:pPr>
                </w:p>
              </w:tc>
              <w:tc>
                <w:tcPr>
                  <w:tcW w:w="1103" w:type="pct"/>
                  <w:shd w:val="clear" w:color="000000" w:fill="FFFFFF"/>
                  <w:tcMar>
                    <w:left w:w="108" w:type="dxa"/>
                    <w:right w:w="108" w:type="dxa"/>
                  </w:tcMar>
                  <w:vAlign w:val="center"/>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生活垃圾</w:t>
                  </w:r>
                </w:p>
              </w:tc>
              <w:tc>
                <w:tcPr>
                  <w:tcW w:w="2705" w:type="pct"/>
                  <w:shd w:val="clear" w:color="000000" w:fill="FFFFFF"/>
                  <w:tcMar>
                    <w:left w:w="108" w:type="dxa"/>
                    <w:right w:w="108" w:type="dxa"/>
                  </w:tcMar>
                  <w:vAlign w:val="center"/>
                </w:tcPr>
                <w:p>
                  <w:pPr>
                    <w:adjustRightInd w:val="0"/>
                    <w:snapToGrid w:val="0"/>
                    <w:ind w:leftChars="-51" w:right="-101" w:rightChars="-48" w:hanging="107" w:hangingChars="51"/>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收集清运</w:t>
                  </w:r>
                </w:p>
              </w:tc>
              <w:tc>
                <w:tcPr>
                  <w:tcW w:w="186" w:type="pct"/>
                  <w:vMerge w:val="continue"/>
                  <w:shd w:val="clear" w:color="000000" w:fill="FFFFFF"/>
                  <w:tcMar>
                    <w:left w:w="108" w:type="dxa"/>
                    <w:right w:w="108" w:type="dxa"/>
                  </w:tcMar>
                  <w:vAlign w:val="center"/>
                </w:tcPr>
                <w:p>
                  <w:pPr>
                    <w:adjustRightInd w:val="0"/>
                    <w:snapToGrid w:val="0"/>
                    <w:jc w:val="center"/>
                    <w:rPr>
                      <w:rFonts w:hint="default" w:ascii="Times New Roman" w:hAnsi="Times New Roman" w:eastAsia="宋体" w:cs="Times New Roman"/>
                      <w:color w:val="auto"/>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90" w:type="pct"/>
                  <w:vMerge w:val="continue"/>
                  <w:shd w:val="clear" w:color="000000" w:fill="FFFFFF"/>
                  <w:tcMar>
                    <w:left w:w="108" w:type="dxa"/>
                    <w:right w:w="108" w:type="dxa"/>
                  </w:tcMar>
                  <w:vAlign w:val="center"/>
                </w:tcPr>
                <w:p>
                  <w:pPr>
                    <w:adjustRightInd w:val="0"/>
                    <w:snapToGrid w:val="0"/>
                    <w:jc w:val="center"/>
                    <w:rPr>
                      <w:rFonts w:hint="default" w:ascii="Times New Roman" w:hAnsi="Times New Roman" w:eastAsia="宋体" w:cs="Times New Roman"/>
                      <w:color w:val="auto"/>
                      <w:szCs w:val="21"/>
                    </w:rPr>
                  </w:pPr>
                </w:p>
              </w:tc>
              <w:tc>
                <w:tcPr>
                  <w:tcW w:w="1817" w:type="pct"/>
                  <w:gridSpan w:val="2"/>
                  <w:shd w:val="clear" w:color="000000" w:fill="FFFFFF"/>
                  <w:tcMar>
                    <w:left w:w="108" w:type="dxa"/>
                    <w:right w:w="108" w:type="dxa"/>
                  </w:tcMar>
                  <w:vAlign w:val="center"/>
                </w:tcPr>
                <w:p>
                  <w:pPr>
                    <w:adjustRightInd w:val="0"/>
                    <w:snapToGrid w:val="0"/>
                    <w:jc w:val="center"/>
                    <w:rPr>
                      <w:rFonts w:hint="default" w:ascii="Times New Roman" w:hAnsi="Times New Roman" w:eastAsia="宋体" w:cs="Times New Roman"/>
                      <w:color w:val="0000FF"/>
                      <w:kern w:val="2"/>
                      <w:sz w:val="21"/>
                      <w:szCs w:val="21"/>
                      <w:lang w:val="en-US" w:eastAsia="zh-CN" w:bidi="ar-SA"/>
                    </w:rPr>
                  </w:pPr>
                  <w:r>
                    <w:rPr>
                      <w:rFonts w:hint="default" w:ascii="Times New Roman" w:hAnsi="Times New Roman" w:eastAsia="宋体" w:cs="Times New Roman"/>
                      <w:color w:val="0000FF"/>
                      <w:szCs w:val="21"/>
                      <w:lang w:val="en-US" w:eastAsia="zh-CN"/>
                    </w:rPr>
                    <w:t>生态恢复</w:t>
                  </w:r>
                </w:p>
              </w:tc>
              <w:tc>
                <w:tcPr>
                  <w:tcW w:w="2705" w:type="pct"/>
                  <w:shd w:val="clear" w:color="000000" w:fill="FFFFFF"/>
                  <w:tcMar>
                    <w:left w:w="108" w:type="dxa"/>
                    <w:right w:w="108" w:type="dxa"/>
                  </w:tcMar>
                  <w:vAlign w:val="center"/>
                </w:tcPr>
                <w:p>
                  <w:pPr>
                    <w:adjustRightInd w:val="0"/>
                    <w:snapToGrid w:val="0"/>
                    <w:jc w:val="center"/>
                    <w:rPr>
                      <w:rFonts w:hint="default" w:ascii="Times New Roman" w:hAnsi="Times New Roman" w:eastAsia="宋体" w:cs="Times New Roman"/>
                      <w:color w:val="0000FF"/>
                      <w:kern w:val="2"/>
                      <w:sz w:val="21"/>
                      <w:szCs w:val="21"/>
                      <w:lang w:val="en-US" w:eastAsia="zh-CN" w:bidi="ar-SA"/>
                    </w:rPr>
                  </w:pPr>
                  <w:r>
                    <w:rPr>
                      <w:rFonts w:hint="default" w:ascii="Times New Roman" w:hAnsi="Times New Roman" w:eastAsia="宋体" w:cs="Times New Roman"/>
                      <w:color w:val="0000FF"/>
                      <w:szCs w:val="21"/>
                      <w:lang w:val="en-US" w:eastAsia="zh-CN"/>
                    </w:rPr>
                    <w:t>播撒草籽恢复植被，设置绿化带</w:t>
                  </w:r>
                </w:p>
              </w:tc>
              <w:tc>
                <w:tcPr>
                  <w:tcW w:w="186" w:type="pct"/>
                  <w:shd w:val="clear" w:color="000000" w:fill="FFFFFF"/>
                  <w:tcMar>
                    <w:left w:w="108" w:type="dxa"/>
                    <w:right w:w="108" w:type="dxa"/>
                  </w:tcMar>
                  <w:vAlign w:val="center"/>
                </w:tcPr>
                <w:p>
                  <w:pPr>
                    <w:adjustRightInd w:val="0"/>
                    <w:snapToGrid w:val="0"/>
                    <w:jc w:val="center"/>
                    <w:rPr>
                      <w:rFonts w:hint="eastAsia" w:ascii="Times New Roman" w:hAnsi="Times New Roman" w:eastAsia="宋体" w:cs="Times New Roman"/>
                      <w:color w:val="0000FF"/>
                      <w:szCs w:val="21"/>
                      <w:lang w:val="en-US" w:eastAsia="zh-CN"/>
                    </w:rPr>
                  </w:pPr>
                  <w:r>
                    <w:rPr>
                      <w:rFonts w:hint="eastAsia" w:cs="Times New Roman"/>
                      <w:color w:val="0000FF"/>
                      <w:szCs w:val="21"/>
                      <w:lang w:val="en-US" w:eastAsia="zh-CN"/>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9" w:hRule="atLeast"/>
                <w:jc w:val="center"/>
              </w:trPr>
              <w:tc>
                <w:tcPr>
                  <w:tcW w:w="290" w:type="pct"/>
                  <w:vMerge w:val="restart"/>
                  <w:shd w:val="clear" w:color="000000" w:fill="FFFFFF"/>
                  <w:tcMar>
                    <w:left w:w="108" w:type="dxa"/>
                    <w:right w:w="108" w:type="dxa"/>
                  </w:tcMar>
                  <w:vAlign w:val="center"/>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运</w:t>
                  </w:r>
                </w:p>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营</w:t>
                  </w:r>
                </w:p>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期</w:t>
                  </w:r>
                </w:p>
              </w:tc>
              <w:tc>
                <w:tcPr>
                  <w:tcW w:w="714" w:type="pct"/>
                  <w:vMerge w:val="restart"/>
                  <w:shd w:val="clear" w:color="000000" w:fill="FFFFFF"/>
                  <w:tcMar>
                    <w:left w:w="108" w:type="dxa"/>
                    <w:right w:w="108" w:type="dxa"/>
                  </w:tcMar>
                  <w:vAlign w:val="center"/>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固废</w:t>
                  </w:r>
                </w:p>
              </w:tc>
              <w:tc>
                <w:tcPr>
                  <w:tcW w:w="1103" w:type="pct"/>
                  <w:shd w:val="clear" w:color="000000" w:fill="FFFFFF"/>
                  <w:tcMar>
                    <w:left w:w="108" w:type="dxa"/>
                    <w:right w:w="108" w:type="dxa"/>
                  </w:tcMar>
                  <w:vAlign w:val="center"/>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废变压器油</w:t>
                  </w:r>
                </w:p>
              </w:tc>
              <w:tc>
                <w:tcPr>
                  <w:tcW w:w="2705" w:type="pct"/>
                  <w:vMerge w:val="restart"/>
                  <w:shd w:val="clear" w:color="000000" w:fill="FFFFFF"/>
                  <w:tcMar>
                    <w:left w:w="108" w:type="dxa"/>
                    <w:right w:w="108" w:type="dxa"/>
                  </w:tcMar>
                  <w:vAlign w:val="center"/>
                </w:tcPr>
                <w:p>
                  <w:pPr>
                    <w:adjustRightInd w:val="0"/>
                    <w:snapToGrid w:val="0"/>
                    <w:ind w:leftChars="-51" w:right="-101" w:rightChars="-48" w:hanging="107" w:hangingChars="51"/>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具有防渗、防风、防雨功能的危废暂存间</w:t>
                  </w:r>
                </w:p>
              </w:tc>
              <w:tc>
                <w:tcPr>
                  <w:tcW w:w="186" w:type="pct"/>
                  <w:vMerge w:val="restart"/>
                  <w:shd w:val="clear" w:color="000000" w:fill="FFFFFF"/>
                  <w:tcMar>
                    <w:left w:w="108" w:type="dxa"/>
                    <w:right w:w="108" w:type="dxa"/>
                  </w:tcMar>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90" w:type="pct"/>
                  <w:vMerge w:val="continue"/>
                  <w:shd w:val="clear" w:color="000000" w:fill="FFFFFF"/>
                  <w:tcMar>
                    <w:left w:w="108" w:type="dxa"/>
                    <w:right w:w="108" w:type="dxa"/>
                  </w:tcMar>
                  <w:vAlign w:val="center"/>
                </w:tcPr>
                <w:p>
                  <w:pPr>
                    <w:adjustRightInd w:val="0"/>
                    <w:snapToGrid w:val="0"/>
                    <w:jc w:val="center"/>
                    <w:rPr>
                      <w:rFonts w:hint="default" w:ascii="Times New Roman" w:hAnsi="Times New Roman" w:eastAsia="宋体" w:cs="Times New Roman"/>
                      <w:color w:val="auto"/>
                      <w:szCs w:val="21"/>
                    </w:rPr>
                  </w:pPr>
                </w:p>
              </w:tc>
              <w:tc>
                <w:tcPr>
                  <w:tcW w:w="714" w:type="pct"/>
                  <w:vMerge w:val="continue"/>
                  <w:shd w:val="clear" w:color="000000" w:fill="FFFFFF"/>
                  <w:tcMar>
                    <w:left w:w="108" w:type="dxa"/>
                    <w:right w:w="108" w:type="dxa"/>
                  </w:tcMar>
                  <w:vAlign w:val="center"/>
                </w:tcPr>
                <w:p>
                  <w:pPr>
                    <w:adjustRightInd w:val="0"/>
                    <w:snapToGrid w:val="0"/>
                    <w:jc w:val="center"/>
                    <w:rPr>
                      <w:rFonts w:hint="default" w:ascii="Times New Roman" w:hAnsi="Times New Roman" w:eastAsia="宋体" w:cs="Times New Roman"/>
                      <w:color w:val="auto"/>
                      <w:szCs w:val="21"/>
                    </w:rPr>
                  </w:pPr>
                </w:p>
              </w:tc>
              <w:tc>
                <w:tcPr>
                  <w:tcW w:w="1103" w:type="pct"/>
                  <w:shd w:val="clear" w:color="000000" w:fill="FFFFFF"/>
                  <w:tcMar>
                    <w:left w:w="108" w:type="dxa"/>
                    <w:right w:w="108" w:type="dxa"/>
                  </w:tcMar>
                  <w:vAlign w:val="center"/>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废蓄电池</w:t>
                  </w:r>
                </w:p>
              </w:tc>
              <w:tc>
                <w:tcPr>
                  <w:tcW w:w="2705" w:type="pct"/>
                  <w:vMerge w:val="continue"/>
                  <w:shd w:val="clear" w:color="000000" w:fill="FFFFFF"/>
                  <w:tcMar>
                    <w:left w:w="108" w:type="dxa"/>
                    <w:right w:w="108" w:type="dxa"/>
                  </w:tcMar>
                  <w:vAlign w:val="center"/>
                </w:tcPr>
                <w:p>
                  <w:pPr>
                    <w:adjustRightInd w:val="0"/>
                    <w:snapToGrid w:val="0"/>
                    <w:ind w:leftChars="-51" w:right="-101" w:rightChars="-48" w:hanging="107" w:hangingChars="51"/>
                    <w:jc w:val="center"/>
                    <w:rPr>
                      <w:rFonts w:hint="default" w:ascii="Times New Roman" w:hAnsi="Times New Roman" w:eastAsia="宋体" w:cs="Times New Roman"/>
                      <w:color w:val="auto"/>
                      <w:szCs w:val="21"/>
                    </w:rPr>
                  </w:pPr>
                </w:p>
              </w:tc>
              <w:tc>
                <w:tcPr>
                  <w:tcW w:w="186" w:type="pct"/>
                  <w:vMerge w:val="continue"/>
                  <w:shd w:val="clear" w:color="000000" w:fill="FFFFFF"/>
                  <w:tcMar>
                    <w:left w:w="108" w:type="dxa"/>
                    <w:right w:w="108" w:type="dxa"/>
                  </w:tcMar>
                  <w:vAlign w:val="center"/>
                </w:tcPr>
                <w:p>
                  <w:pPr>
                    <w:adjustRightInd w:val="0"/>
                    <w:snapToGrid w:val="0"/>
                    <w:jc w:val="center"/>
                    <w:rPr>
                      <w:rFonts w:hint="default" w:ascii="Times New Roman" w:hAnsi="Times New Roman" w:eastAsia="宋体" w:cs="Times New Roman"/>
                      <w:color w:val="auto"/>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6" w:hRule="atLeast"/>
                <w:jc w:val="center"/>
              </w:trPr>
              <w:tc>
                <w:tcPr>
                  <w:tcW w:w="290" w:type="pct"/>
                  <w:vMerge w:val="continue"/>
                  <w:shd w:val="clear" w:color="000000" w:fill="FFFFFF"/>
                  <w:tcMar>
                    <w:left w:w="108" w:type="dxa"/>
                    <w:right w:w="108" w:type="dxa"/>
                  </w:tcMar>
                  <w:vAlign w:val="center"/>
                </w:tcPr>
                <w:p>
                  <w:pPr>
                    <w:adjustRightInd w:val="0"/>
                    <w:snapToGrid w:val="0"/>
                    <w:jc w:val="center"/>
                    <w:rPr>
                      <w:rFonts w:hint="default" w:ascii="Times New Roman" w:hAnsi="Times New Roman" w:eastAsia="宋体" w:cs="Times New Roman"/>
                      <w:color w:val="auto"/>
                      <w:szCs w:val="21"/>
                    </w:rPr>
                  </w:pPr>
                </w:p>
              </w:tc>
              <w:tc>
                <w:tcPr>
                  <w:tcW w:w="1817" w:type="pct"/>
                  <w:gridSpan w:val="2"/>
                  <w:shd w:val="clear" w:color="000000" w:fill="FFFFFF"/>
                  <w:tcMar>
                    <w:left w:w="108" w:type="dxa"/>
                    <w:right w:w="108" w:type="dxa"/>
                  </w:tcMar>
                  <w:vAlign w:val="center"/>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事故油池</w:t>
                  </w:r>
                </w:p>
              </w:tc>
              <w:tc>
                <w:tcPr>
                  <w:tcW w:w="2705" w:type="pct"/>
                  <w:shd w:val="clear" w:color="000000" w:fill="FFFFFF"/>
                  <w:tcMar>
                    <w:left w:w="108" w:type="dxa"/>
                    <w:right w:w="108" w:type="dxa"/>
                  </w:tcMar>
                  <w:vAlign w:val="center"/>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能</w:t>
                  </w:r>
                  <w:r>
                    <w:rPr>
                      <w:rFonts w:hint="default" w:ascii="Times New Roman" w:hAnsi="Times New Roman" w:eastAsia="宋体" w:cs="Times New Roman"/>
                      <w:color w:val="auto"/>
                      <w:szCs w:val="21"/>
                    </w:rPr>
                    <w:t>1</w:t>
                  </w:r>
                  <w:r>
                    <w:rPr>
                      <w:rFonts w:hint="default" w:ascii="Times New Roman" w:hAnsi="Times New Roman" w:eastAsia="宋体" w:cs="Times New Roman"/>
                      <w:color w:val="auto"/>
                      <w:szCs w:val="21"/>
                      <w:lang w:val="en-US" w:eastAsia="zh-CN"/>
                    </w:rPr>
                    <w:t>0</w:t>
                  </w:r>
                  <w:r>
                    <w:rPr>
                      <w:rFonts w:hint="default" w:ascii="Times New Roman" w:hAnsi="Times New Roman" w:eastAsia="宋体" w:cs="Times New Roman"/>
                      <w:color w:val="auto"/>
                      <w:szCs w:val="21"/>
                    </w:rPr>
                    <w:t>0%</w:t>
                  </w:r>
                  <w:r>
                    <w:rPr>
                      <w:rFonts w:hint="default" w:ascii="Times New Roman" w:hAnsi="Times New Roman" w:eastAsia="宋体" w:cs="Times New Roman"/>
                      <w:color w:val="auto"/>
                      <w:szCs w:val="21"/>
                      <w:lang w:val="en-US" w:eastAsia="zh-CN"/>
                    </w:rPr>
                    <w:t>容纳对应箱式变压器</w:t>
                  </w:r>
                  <w:r>
                    <w:rPr>
                      <w:rFonts w:hint="default" w:ascii="Times New Roman" w:hAnsi="Times New Roman" w:eastAsia="宋体" w:cs="Times New Roman"/>
                      <w:color w:val="auto"/>
                      <w:szCs w:val="21"/>
                    </w:rPr>
                    <w:t>事故油的事故油池</w:t>
                  </w:r>
                  <w:r>
                    <w:rPr>
                      <w:rFonts w:hint="default" w:ascii="Times New Roman" w:hAnsi="Times New Roman" w:eastAsia="宋体" w:cs="Times New Roman"/>
                      <w:color w:val="auto"/>
                      <w:szCs w:val="21"/>
                      <w:lang w:val="en-US" w:eastAsia="zh-CN"/>
                    </w:rPr>
                    <w:t>10</w:t>
                  </w:r>
                  <w:r>
                    <w:rPr>
                      <w:rFonts w:hint="default" w:ascii="Times New Roman" w:hAnsi="Times New Roman" w:eastAsia="宋体" w:cs="Times New Roman"/>
                      <w:color w:val="auto"/>
                      <w:szCs w:val="21"/>
                    </w:rPr>
                    <w:t>个，具有防渗、防风、防雨功能。</w:t>
                  </w:r>
                </w:p>
              </w:tc>
              <w:tc>
                <w:tcPr>
                  <w:tcW w:w="186" w:type="pct"/>
                  <w:shd w:val="clear" w:color="000000" w:fill="FFFFFF"/>
                  <w:tcMar>
                    <w:left w:w="108" w:type="dxa"/>
                    <w:right w:w="108" w:type="dxa"/>
                  </w:tcMar>
                  <w:vAlign w:val="center"/>
                </w:tcPr>
                <w:p>
                  <w:pPr>
                    <w:adjustRightInd w:val="0"/>
                    <w:snapToGrid w:val="0"/>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val="en-US" w:eastAsia="zh-CN"/>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108" w:type="pct"/>
                  <w:gridSpan w:val="3"/>
                  <w:shd w:val="clear" w:color="000000" w:fill="FFFFFF"/>
                  <w:tcMar>
                    <w:left w:w="108" w:type="dxa"/>
                    <w:right w:w="108" w:type="dxa"/>
                  </w:tcMar>
                  <w:vAlign w:val="center"/>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合计</w:t>
                  </w:r>
                </w:p>
              </w:tc>
              <w:tc>
                <w:tcPr>
                  <w:tcW w:w="2705" w:type="pct"/>
                  <w:shd w:val="clear" w:color="000000" w:fill="FFFFFF"/>
                  <w:tcMar>
                    <w:left w:w="108" w:type="dxa"/>
                    <w:right w:w="108" w:type="dxa"/>
                  </w:tcMar>
                  <w:vAlign w:val="center"/>
                </w:tcPr>
                <w:p>
                  <w:pPr>
                    <w:adjustRightInd w:val="0"/>
                    <w:snapToGrid w:val="0"/>
                    <w:jc w:val="center"/>
                    <w:rPr>
                      <w:rFonts w:hint="default" w:ascii="Times New Roman" w:hAnsi="Times New Roman" w:eastAsia="宋体" w:cs="Times New Roman"/>
                      <w:color w:val="auto"/>
                      <w:kern w:val="2"/>
                      <w:sz w:val="21"/>
                      <w:szCs w:val="21"/>
                      <w:lang w:val="en-GB" w:eastAsia="zh-TW" w:bidi="ar-SA"/>
                    </w:rPr>
                  </w:pPr>
                </w:p>
              </w:tc>
              <w:tc>
                <w:tcPr>
                  <w:tcW w:w="186" w:type="pct"/>
                  <w:shd w:val="clear" w:color="000000" w:fill="FFFFFF"/>
                  <w:tcMar>
                    <w:left w:w="108" w:type="dxa"/>
                    <w:right w:w="108" w:type="dxa"/>
                  </w:tcMar>
                  <w:vAlign w:val="center"/>
                </w:tcPr>
                <w:p>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lang w:val="en-US" w:eastAsia="zh-CN"/>
                    </w:rPr>
                    <w:t>49</w:t>
                  </w:r>
                </w:p>
              </w:tc>
            </w:tr>
          </w:tbl>
          <w:p>
            <w:pPr>
              <w:pStyle w:val="15"/>
              <w:ind w:firstLine="420" w:firstLineChars="200"/>
              <w:rPr>
                <w:rFonts w:hint="default" w:ascii="Times New Roman" w:hAnsi="Times New Roman" w:eastAsia="宋体" w:cs="Times New Roman"/>
                <w:color w:val="auto"/>
                <w:highlight w:val="yellow"/>
                <w:lang w:val="en-US" w:eastAsia="zh-CN"/>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10572" w:hRule="atLeast"/>
          <w:jc w:val="center"/>
        </w:trPr>
        <w:tc>
          <w:tcPr>
            <w:tcW w:w="5000" w:type="pct"/>
          </w:tcPr>
          <w:p>
            <w:pPr>
              <w:spacing w:line="360" w:lineRule="auto"/>
              <w:rPr>
                <w:rFonts w:hint="default"/>
              </w:rPr>
            </w:pPr>
            <w:r>
              <w:rPr>
                <w:rFonts w:hint="default"/>
              </w:rPr>
              <w:t>与本项目有关的原有污染情况及主要环境问题：</w:t>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default"/>
                <w:color w:val="0000FF"/>
                <w:lang w:val="en-US" w:eastAsia="zh-CN"/>
              </w:rPr>
            </w:pPr>
            <w:r>
              <w:rPr>
                <w:rFonts w:hint="default"/>
                <w:color w:val="0000FF"/>
                <w:lang w:val="en-US" w:eastAsia="zh-CN"/>
              </w:rPr>
              <w:t>国家能源集团谏壁发电厂现有外围灰库4座，分别为：经山灰库（占地约1800亩）、贞观山灰库（占地约14</w:t>
            </w:r>
            <w:r>
              <w:rPr>
                <w:rFonts w:hint="eastAsia"/>
                <w:color w:val="0000FF"/>
                <w:lang w:val="en-US" w:eastAsia="zh-CN"/>
              </w:rPr>
              <w:t>99</w:t>
            </w:r>
            <w:r>
              <w:rPr>
                <w:rFonts w:hint="default"/>
                <w:color w:val="0000FF"/>
                <w:lang w:val="en-US" w:eastAsia="zh-CN"/>
              </w:rPr>
              <w:t>亩）、四雩山灰库（占地约258亩）、和松林山灰库（占地约777亩）。2004年</w:t>
            </w:r>
            <w:r>
              <w:rPr>
                <w:rFonts w:hint="eastAsia"/>
                <w:color w:val="0000FF"/>
                <w:lang w:val="en-US" w:eastAsia="zh-CN"/>
              </w:rPr>
              <w:t>电厂</w:t>
            </w:r>
            <w:r>
              <w:rPr>
                <w:rFonts w:hint="default"/>
                <w:color w:val="0000FF"/>
                <w:lang w:val="en-US" w:eastAsia="zh-CN"/>
              </w:rPr>
              <w:t>停止向经山、贞观山灰库水力输灰，2008年停止向四雩山灰库水力输灰，2010年停止向松林山灰库水力输灰。目前四座灰库</w:t>
            </w:r>
            <w:r>
              <w:rPr>
                <w:rFonts w:hint="eastAsia"/>
                <w:color w:val="0000FF"/>
                <w:lang w:val="en-US" w:eastAsia="zh-CN"/>
              </w:rPr>
              <w:t>均</w:t>
            </w:r>
            <w:r>
              <w:rPr>
                <w:rFonts w:hint="default"/>
                <w:color w:val="0000FF"/>
                <w:lang w:val="en-US" w:eastAsia="zh-CN"/>
              </w:rPr>
              <w:t>处于停用状态。</w:t>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0000FF"/>
                <w:sz w:val="21"/>
                <w:szCs w:val="21"/>
                <w:lang w:val="en-US" w:eastAsia="zh-CN"/>
              </w:rPr>
            </w:pPr>
            <w:r>
              <w:rPr>
                <w:rFonts w:hint="eastAsia" w:cs="Times New Roman"/>
                <w:color w:val="0000FF"/>
                <w:sz w:val="21"/>
                <w:szCs w:val="21"/>
                <w:lang w:val="en-US" w:eastAsia="zh-CN"/>
              </w:rPr>
              <w:t>本项目建设用地为</w:t>
            </w:r>
            <w:r>
              <w:rPr>
                <w:rFonts w:hint="default"/>
                <w:color w:val="0000FF"/>
                <w:lang w:val="en-US" w:eastAsia="zh-CN"/>
              </w:rPr>
              <w:t>国家能源集团谏壁发电厂</w:t>
            </w:r>
            <w:r>
              <w:rPr>
                <w:rFonts w:hint="eastAsia"/>
                <w:color w:val="0000FF"/>
                <w:lang w:val="en-US" w:eastAsia="zh-CN"/>
              </w:rPr>
              <w:t>的</w:t>
            </w:r>
            <w:r>
              <w:rPr>
                <w:rFonts w:hint="default" w:ascii="Times New Roman" w:hAnsi="Times New Roman" w:eastAsia="宋体" w:cs="Times New Roman"/>
                <w:color w:val="0000FF"/>
                <w:sz w:val="21"/>
                <w:szCs w:val="21"/>
                <w:lang w:val="en-US" w:eastAsia="zh-CN"/>
              </w:rPr>
              <w:t>贞观山灰库</w:t>
            </w:r>
            <w:r>
              <w:rPr>
                <w:rFonts w:hint="eastAsia" w:cs="Times New Roman"/>
                <w:color w:val="0000FF"/>
                <w:sz w:val="21"/>
                <w:szCs w:val="21"/>
                <w:lang w:val="en-US" w:eastAsia="zh-CN"/>
              </w:rPr>
              <w:t>。</w:t>
            </w:r>
            <w:r>
              <w:rPr>
                <w:rFonts w:hint="default" w:ascii="Times New Roman" w:hAnsi="Times New Roman" w:eastAsia="宋体" w:cs="Times New Roman"/>
                <w:color w:val="0000FF"/>
                <w:sz w:val="21"/>
                <w:szCs w:val="21"/>
                <w:lang w:val="en-US" w:eastAsia="zh-CN"/>
              </w:rPr>
              <w:t>贞观山灰库地处丹阳市丹北镇境内，三面环山，灰场汇水面积1.15km</w:t>
            </w:r>
            <w:r>
              <w:rPr>
                <w:rFonts w:hint="default" w:ascii="Times New Roman" w:hAnsi="Times New Roman" w:eastAsia="宋体" w:cs="Times New Roman"/>
                <w:color w:val="0000FF"/>
                <w:sz w:val="21"/>
                <w:szCs w:val="21"/>
                <w:vertAlign w:val="superscript"/>
                <w:lang w:val="en-US" w:eastAsia="zh-CN"/>
              </w:rPr>
              <w:t>2</w:t>
            </w:r>
            <w:r>
              <w:rPr>
                <w:rFonts w:hint="default" w:ascii="Times New Roman" w:hAnsi="Times New Roman" w:eastAsia="宋体" w:cs="Times New Roman"/>
                <w:color w:val="0000FF"/>
                <w:sz w:val="21"/>
                <w:szCs w:val="21"/>
                <w:lang w:val="en-US" w:eastAsia="zh-CN"/>
              </w:rPr>
              <w:t>，灰场共有1座主坝和4座副坝。灰场占地1300亩，为湿式贮灰。灰库为山谷型灰库。贞观山灰库于20世纪80年代初建成投用，期间经多次加高、加固坝体，各级灰坝主要由粉质黏土填筑而成。灰库总库容为1900×10</w:t>
            </w:r>
            <w:r>
              <w:rPr>
                <w:rFonts w:hint="default" w:ascii="Times New Roman" w:hAnsi="Times New Roman" w:eastAsia="宋体" w:cs="Times New Roman"/>
                <w:color w:val="0000FF"/>
                <w:sz w:val="21"/>
                <w:szCs w:val="21"/>
                <w:vertAlign w:val="superscript"/>
                <w:lang w:val="en-US" w:eastAsia="zh-CN"/>
              </w:rPr>
              <w:t>4</w:t>
            </w:r>
            <w:r>
              <w:rPr>
                <w:rFonts w:hint="default" w:ascii="Times New Roman" w:hAnsi="Times New Roman" w:eastAsia="宋体" w:cs="Times New Roman"/>
                <w:color w:val="0000FF"/>
                <w:sz w:val="21"/>
                <w:szCs w:val="21"/>
                <w:lang w:val="en-US" w:eastAsia="zh-CN"/>
              </w:rPr>
              <w:t>m</w:t>
            </w:r>
            <w:r>
              <w:rPr>
                <w:rFonts w:hint="default" w:ascii="Times New Roman" w:hAnsi="Times New Roman" w:eastAsia="宋体" w:cs="Times New Roman"/>
                <w:color w:val="0000FF"/>
                <w:sz w:val="21"/>
                <w:szCs w:val="21"/>
                <w:vertAlign w:val="superscript"/>
                <w:lang w:val="en-US" w:eastAsia="zh-CN"/>
              </w:rPr>
              <w:t>3</w:t>
            </w:r>
            <w:r>
              <w:rPr>
                <w:rFonts w:hint="default" w:ascii="Times New Roman" w:hAnsi="Times New Roman" w:eastAsia="宋体" w:cs="Times New Roman"/>
                <w:color w:val="0000FF"/>
                <w:sz w:val="21"/>
                <w:szCs w:val="21"/>
                <w:lang w:val="en-US" w:eastAsia="zh-CN"/>
              </w:rPr>
              <w:t>，最大坝高约42.5m。灰坝下游和周边为农田及镇丹高速。灰库有公路和村路相通，交通相对便利。</w:t>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default"/>
                <w:lang w:eastAsia="zh-CN"/>
              </w:rPr>
            </w:pPr>
            <w:r>
              <w:rPr>
                <w:rFonts w:hint="default" w:ascii="Times New Roman" w:hAnsi="Times New Roman" w:eastAsia="宋体" w:cs="Times New Roman"/>
                <w:color w:val="0000FF"/>
                <w:sz w:val="21"/>
                <w:szCs w:val="21"/>
                <w:lang w:val="en-US" w:eastAsia="zh-CN"/>
              </w:rPr>
              <w:t>贞观山灰库停止贮灰多年，且灰库原有存灰目前已基本被当地居民挖空</w:t>
            </w:r>
            <w:r>
              <w:rPr>
                <w:rFonts w:hint="eastAsia" w:cs="Times New Roman"/>
                <w:color w:val="0000FF"/>
                <w:sz w:val="21"/>
                <w:szCs w:val="21"/>
                <w:lang w:val="en-US" w:eastAsia="zh-CN"/>
              </w:rPr>
              <w:t>，</w:t>
            </w:r>
            <w:r>
              <w:rPr>
                <w:rFonts w:hint="default"/>
                <w:lang w:val="en-US" w:eastAsia="zh-CN"/>
              </w:rPr>
              <w:t>场地内地势起伏较大，灰坝内侧土体被挖除，局部为垂直临空面，目前正在进行灰库加固工程，采取灰场压实、修复、疏通现</w:t>
            </w:r>
            <w:r>
              <w:rPr>
                <w:rFonts w:hint="eastAsia"/>
                <w:lang w:val="en-US" w:eastAsia="zh-CN"/>
              </w:rPr>
              <w:t>有</w:t>
            </w:r>
            <w:r>
              <w:rPr>
                <w:rFonts w:hint="default"/>
                <w:lang w:val="en-US" w:eastAsia="zh-CN"/>
              </w:rPr>
              <w:t>排水设施、对排水竖井、溢流渠等建筑物进行疏通疏浚、对排洪沟、溢流渠局部破损处按原结构形式进行加固修复</w:t>
            </w:r>
            <w:r>
              <w:rPr>
                <w:rFonts w:hint="eastAsia"/>
                <w:lang w:val="en-US" w:eastAsia="zh-CN"/>
              </w:rPr>
              <w:t>等措施</w:t>
            </w:r>
            <w:r>
              <w:rPr>
                <w:rFonts w:hint="default"/>
                <w:lang w:val="en-US" w:eastAsia="zh-CN"/>
              </w:rPr>
              <w:t>。</w:t>
            </w:r>
          </w:p>
          <w:p>
            <w:pPr>
              <w:pStyle w:val="2"/>
              <w:pageBreakBefore w:val="0"/>
              <w:kinsoku/>
              <w:wordWrap/>
              <w:overflowPunct/>
              <w:topLinePunct w:val="0"/>
              <w:autoSpaceDE/>
              <w:autoSpaceDN/>
              <w:bidi w:val="0"/>
              <w:adjustRightInd/>
              <w:snapToGrid/>
              <w:spacing w:line="360" w:lineRule="auto"/>
              <w:ind w:left="0" w:firstLine="422" w:firstLineChars="200"/>
              <w:textAlignment w:val="auto"/>
              <w:rPr>
                <w:rFonts w:hint="default"/>
                <w:sz w:val="21"/>
                <w:szCs w:val="21"/>
                <w:lang w:val="en-US" w:eastAsia="zh-CN"/>
              </w:rPr>
            </w:pPr>
          </w:p>
          <w:p>
            <w:pPr>
              <w:pageBreakBefore w:val="0"/>
              <w:kinsoku/>
              <w:wordWrap/>
              <w:overflowPunct/>
              <w:topLinePunct w:val="0"/>
              <w:autoSpaceDE/>
              <w:autoSpaceDN/>
              <w:bidi w:val="0"/>
              <w:adjustRightInd/>
              <w:snapToGrid/>
              <w:spacing w:line="360" w:lineRule="auto"/>
              <w:ind w:left="0" w:firstLine="420" w:firstLineChars="200"/>
              <w:textAlignment w:val="auto"/>
              <w:rPr>
                <w:rFonts w:hint="default"/>
                <w:lang w:val="en-US" w:eastAsia="zh-CN"/>
              </w:rPr>
            </w:pPr>
          </w:p>
          <w:p>
            <w:pPr>
              <w:pStyle w:val="2"/>
              <w:rPr>
                <w:rFonts w:hint="default"/>
                <w:lang w:val="en-US" w:eastAsia="zh-CN"/>
              </w:rPr>
            </w:pPr>
          </w:p>
        </w:tc>
      </w:tr>
    </w:tbl>
    <w:p>
      <w:pPr>
        <w:spacing w:line="360" w:lineRule="auto"/>
        <w:outlineLvl w:val="0"/>
        <w:rPr>
          <w:b/>
          <w:color w:val="auto"/>
          <w:sz w:val="30"/>
          <w:highlight w:val="yellow"/>
        </w:rPr>
      </w:pPr>
      <w:r>
        <w:rPr>
          <w:color w:val="auto"/>
          <w:sz w:val="28"/>
          <w:highlight w:val="yellow"/>
          <w:lang w:eastAsia="zh-CN"/>
        </w:rPr>
        <w:br w:type="page"/>
      </w:r>
      <w:bookmarkStart w:id="8" w:name="_Toc7133"/>
      <w:r>
        <w:rPr>
          <w:rStyle w:val="171"/>
          <w:rFonts w:hint="eastAsia"/>
          <w:color w:val="auto"/>
          <w:lang w:val="en-US" w:eastAsia="zh-CN"/>
        </w:rPr>
        <w:t>二、建设项目所在地自然环境社会环境简况</w:t>
      </w:r>
      <w:bookmarkEnd w:id="8"/>
    </w:p>
    <w:tbl>
      <w:tblPr>
        <w:tblStyle w:val="30"/>
        <w:tblW w:w="9071"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9071"/>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8933" w:hRule="atLeast"/>
          <w:jc w:val="center"/>
        </w:trPr>
        <w:tc>
          <w:tcPr>
            <w:tcW w:w="5000" w:type="pct"/>
            <w:vAlign w:val="top"/>
          </w:tcPr>
          <w:p>
            <w:pPr>
              <w:spacing w:line="360" w:lineRule="auto"/>
              <w:rPr>
                <w:b/>
                <w:color w:val="auto"/>
                <w:sz w:val="24"/>
                <w:highlight w:val="none"/>
              </w:rPr>
            </w:pPr>
            <w:r>
              <w:rPr>
                <w:rFonts w:hint="eastAsia"/>
                <w:b/>
                <w:color w:val="auto"/>
                <w:sz w:val="24"/>
                <w:highlight w:val="none"/>
              </w:rPr>
              <w:t>自然环境简况(地形、地貌、地质、气候、气象、水文、植被、生物多样性等)</w:t>
            </w:r>
          </w:p>
          <w:p>
            <w:pPr>
              <w:spacing w:line="360" w:lineRule="auto"/>
              <w:ind w:firstLine="482" w:firstLineChars="200"/>
              <w:rPr>
                <w:b/>
                <w:color w:val="auto"/>
                <w:sz w:val="24"/>
                <w:highlight w:val="none"/>
              </w:rPr>
            </w:pPr>
            <w:r>
              <w:rPr>
                <w:b/>
                <w:color w:val="auto"/>
                <w:sz w:val="24"/>
                <w:highlight w:val="none"/>
              </w:rPr>
              <w:t>一、项目地理位置</w:t>
            </w:r>
          </w:p>
          <w:p>
            <w:pPr>
              <w:spacing w:line="360" w:lineRule="auto"/>
              <w:ind w:firstLine="480" w:firstLineChars="200"/>
              <w:rPr>
                <w:rFonts w:hint="default" w:eastAsia="宋体"/>
                <w:color w:val="0000FF"/>
                <w:sz w:val="24"/>
                <w:highlight w:val="none"/>
                <w:lang w:val="en-US" w:eastAsia="zh-CN"/>
              </w:rPr>
            </w:pPr>
            <w:r>
              <w:rPr>
                <w:rFonts w:hint="eastAsia"/>
                <w:color w:val="auto"/>
                <w:sz w:val="24"/>
                <w:highlight w:val="none"/>
                <w:lang w:val="en-US" w:eastAsia="zh-CN"/>
              </w:rPr>
              <w:t>国家能源集团</w:t>
            </w:r>
            <w:r>
              <w:rPr>
                <w:rFonts w:hint="eastAsia"/>
                <w:color w:val="auto"/>
                <w:sz w:val="24"/>
                <w:highlight w:val="none"/>
              </w:rPr>
              <w:t>谏壁发电厂光伏电站项目站址位于</w:t>
            </w:r>
            <w:r>
              <w:rPr>
                <w:rFonts w:hint="eastAsia"/>
                <w:color w:val="0000FF"/>
                <w:sz w:val="24"/>
                <w:highlight w:val="none"/>
                <w:lang w:val="en-US" w:eastAsia="zh-CN"/>
              </w:rPr>
              <w:t>其</w:t>
            </w:r>
            <w:r>
              <w:rPr>
                <w:rFonts w:hint="eastAsia"/>
                <w:color w:val="0000FF"/>
                <w:sz w:val="24"/>
                <w:highlight w:val="none"/>
              </w:rPr>
              <w:t>贞观山灰场</w:t>
            </w:r>
            <w:r>
              <w:rPr>
                <w:rFonts w:hint="eastAsia"/>
                <w:color w:val="0000FF"/>
                <w:sz w:val="24"/>
                <w:highlight w:val="none"/>
                <w:lang w:val="en-US" w:eastAsia="zh-CN"/>
              </w:rPr>
              <w:t>内</w:t>
            </w:r>
            <w:r>
              <w:rPr>
                <w:rFonts w:hint="eastAsia"/>
                <w:color w:val="auto"/>
                <w:sz w:val="24"/>
                <w:highlight w:val="none"/>
              </w:rPr>
              <w:t>。站址位于镇江市东郊，距谏壁电厂东南侧约15km，</w:t>
            </w:r>
            <w:r>
              <w:rPr>
                <w:rFonts w:hint="eastAsia"/>
                <w:color w:val="auto"/>
                <w:sz w:val="24"/>
                <w:highlight w:val="none"/>
                <w:lang w:val="en-US" w:eastAsia="zh-CN"/>
              </w:rPr>
              <w:t>南侧</w:t>
            </w:r>
            <w:r>
              <w:rPr>
                <w:rFonts w:hint="eastAsia"/>
                <w:color w:val="auto"/>
                <w:sz w:val="24"/>
                <w:highlight w:val="none"/>
              </w:rPr>
              <w:t>紧邻泰镇高速</w:t>
            </w:r>
            <w:r>
              <w:rPr>
                <w:rFonts w:hint="eastAsia"/>
                <w:color w:val="auto"/>
                <w:sz w:val="24"/>
                <w:highlight w:val="none"/>
                <w:lang w:eastAsia="zh-CN"/>
              </w:rPr>
              <w:t>，</w:t>
            </w:r>
            <w:r>
              <w:rPr>
                <w:rFonts w:hint="eastAsia"/>
                <w:color w:val="0000FF"/>
                <w:sz w:val="24"/>
                <w:highlight w:val="none"/>
                <w:lang w:val="en-US" w:eastAsia="zh-CN"/>
              </w:rPr>
              <w:t>东南有灰库加固工程的临时施工棚（不设置生活区），</w:t>
            </w:r>
            <w:r>
              <w:rPr>
                <w:rFonts w:hint="eastAsia"/>
                <w:color w:val="auto"/>
                <w:sz w:val="24"/>
                <w:highlight w:val="none"/>
                <w:lang w:eastAsia="zh-CN"/>
              </w:rPr>
              <w:t>与齐梁文化风景名胜区直线距离</w:t>
            </w:r>
            <w:r>
              <w:rPr>
                <w:rFonts w:hint="eastAsia"/>
                <w:color w:val="auto"/>
                <w:sz w:val="24"/>
                <w:highlight w:val="none"/>
                <w:lang w:val="en-US" w:eastAsia="zh-CN"/>
              </w:rPr>
              <w:t>约</w:t>
            </w:r>
            <w:r>
              <w:rPr>
                <w:rFonts w:hint="eastAsia"/>
                <w:color w:val="auto"/>
                <w:sz w:val="24"/>
                <w:highlight w:val="none"/>
                <w:lang w:eastAsia="zh-CN"/>
              </w:rPr>
              <w:t>3.6km</w:t>
            </w:r>
            <w:r>
              <w:rPr>
                <w:rFonts w:hint="eastAsia"/>
                <w:color w:val="auto"/>
                <w:sz w:val="24"/>
                <w:highlight w:val="none"/>
              </w:rPr>
              <w:t>。场区地势由于灰场堆积及开挖，地势起伏较大，为丘陵区，有一定坡度。</w:t>
            </w:r>
            <w:r>
              <w:rPr>
                <w:rFonts w:hint="eastAsia"/>
                <w:color w:val="0000FF"/>
                <w:sz w:val="24"/>
                <w:highlight w:val="none"/>
                <w:lang w:val="en-US" w:eastAsia="zh-CN"/>
              </w:rPr>
              <w:t>灰场占地范围内目前有6户临时看鱼房，已废弃，无人居住。</w:t>
            </w:r>
          </w:p>
          <w:p>
            <w:pPr>
              <w:spacing w:line="360" w:lineRule="auto"/>
              <w:ind w:firstLine="480" w:firstLineChars="200"/>
              <w:rPr>
                <w:color w:val="auto"/>
                <w:sz w:val="24"/>
                <w:highlight w:val="none"/>
              </w:rPr>
            </w:pPr>
            <w:r>
              <w:rPr>
                <w:rFonts w:hint="eastAsia"/>
                <w:color w:val="auto"/>
                <w:sz w:val="24"/>
                <w:highlight w:val="none"/>
              </w:rPr>
              <w:t>站址土地现为谏壁发电厂的灰场用地。</w:t>
            </w:r>
            <w:r>
              <w:rPr>
                <w:rFonts w:hint="eastAsia"/>
                <w:color w:val="auto"/>
                <w:sz w:val="24"/>
                <w:highlight w:val="none"/>
                <w:lang w:val="en-US" w:eastAsia="zh-CN"/>
              </w:rPr>
              <w:t>本工程占地</w:t>
            </w:r>
            <w:r>
              <w:rPr>
                <w:rFonts w:hint="eastAsia"/>
                <w:color w:val="auto"/>
                <w:sz w:val="24"/>
                <w:highlight w:val="none"/>
              </w:rPr>
              <w:t>范围内无工厂、居民，不涉及拆迁，开关站区利用废弃泵站内空地。区域可利用面积约32.69公顷，规划总容量33.35MWp。</w:t>
            </w:r>
          </w:p>
          <w:p>
            <w:pPr>
              <w:spacing w:line="360" w:lineRule="auto"/>
              <w:ind w:firstLine="480" w:firstLineChars="200"/>
              <w:rPr>
                <w:color w:val="auto"/>
                <w:sz w:val="24"/>
                <w:szCs w:val="24"/>
                <w:highlight w:val="yellow"/>
              </w:rPr>
            </w:pPr>
            <w:r>
              <w:rPr>
                <w:rFonts w:hint="eastAsia"/>
                <w:color w:val="auto"/>
                <w:sz w:val="24"/>
                <w:szCs w:val="24"/>
                <w:highlight w:val="none"/>
                <w:lang w:val="en-US" w:eastAsia="zh-CN"/>
              </w:rPr>
              <w:t>本工程地理位置图见附图1，周边情况图见附图2</w:t>
            </w:r>
            <w:r>
              <w:rPr>
                <w:rFonts w:hint="eastAsia"/>
                <w:color w:val="auto"/>
                <w:sz w:val="24"/>
                <w:szCs w:val="24"/>
                <w:highlight w:val="none"/>
              </w:rPr>
              <w:t>。</w:t>
            </w:r>
          </w:p>
          <w:p>
            <w:pPr>
              <w:spacing w:line="360" w:lineRule="auto"/>
              <w:ind w:firstLine="482" w:firstLineChars="200"/>
              <w:rPr>
                <w:b/>
                <w:color w:val="auto"/>
                <w:sz w:val="24"/>
                <w:highlight w:val="none"/>
              </w:rPr>
            </w:pPr>
            <w:r>
              <w:rPr>
                <w:b/>
                <w:color w:val="auto"/>
                <w:sz w:val="24"/>
                <w:highlight w:val="none"/>
              </w:rPr>
              <w:t>二、地形、地貌、地质及地震</w:t>
            </w:r>
          </w:p>
          <w:p>
            <w:pPr>
              <w:pStyle w:val="162"/>
              <w:rPr>
                <w:rFonts w:hint="default" w:ascii="Times New Roman" w:hAnsi="Times New Roman" w:eastAsia="宋体" w:cs="Times New Roman"/>
                <w:color w:val="auto"/>
                <w:sz w:val="24"/>
                <w:szCs w:val="24"/>
              </w:rPr>
            </w:pPr>
            <w:bookmarkStart w:id="9" w:name="_Toc463584689"/>
            <w:bookmarkStart w:id="10" w:name="_Toc462200023"/>
            <w:bookmarkStart w:id="11" w:name="_Toc468603540"/>
            <w:bookmarkStart w:id="12" w:name="_Toc460769718"/>
            <w:r>
              <w:rPr>
                <w:rFonts w:hint="default" w:ascii="Times New Roman" w:hAnsi="Times New Roman" w:eastAsia="宋体" w:cs="Times New Roman"/>
                <w:color w:val="auto"/>
                <w:sz w:val="24"/>
                <w:szCs w:val="24"/>
              </w:rPr>
              <w:t>镇江市位于长江下游南岸，江苏省的西南部。北滨长江，与扬州市隔江相望；东、南与常州市相接；西邻南京市。镇江全市面积3843平方km，占江苏省面积的3.74%。在全市面积中，丘陵山地占51.1%，圩区占19.7%，平原占15.5%，水面占13.7%。</w:t>
            </w:r>
          </w:p>
          <w:p>
            <w:pPr>
              <w:pStyle w:val="162"/>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镇江市区面积为215平方公里，平原占59.0%，丘陵山地占7.4%，岗地占33.6%。镇江市为长江三角洲与宁镇丘陵的交界处，属丘陵地带，地势呈东低西高。</w:t>
            </w:r>
          </w:p>
          <w:p>
            <w:pPr>
              <w:pStyle w:val="15"/>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拟建工程场地原为谏壁电厂五期贞观山灰场，位于丹阳市东北部距市区约8km。场地为低洼山谷灰场，西北、东北侧为山丘，东南、西南侧为灰坝。因灰场内粉煤灰被盗采，场地内地势起伏较大，灰坝内侧土体被挖除，局部为垂直临空面。根据《四雩山灰场及贞观山灰场工程地质勘测报告》(1983年，华东电力设计院)，场地内主要岩土层简要分述如下：</w:t>
            </w:r>
          </w:p>
          <w:p>
            <w:pPr>
              <w:pStyle w:val="15"/>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(0)粉煤灰(粉土)：灰色，电厂煤粉燃烧排放的废料，由灰管泵送湿灰至灰场堆积而成。粉煤灰呈粉末状。手捏易碎，遇水结构强度降低。由于灰场后期被盗采，厚度不均，局部厚度大于10m。</w:t>
            </w:r>
          </w:p>
          <w:p>
            <w:pPr>
              <w:pStyle w:val="15"/>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①填土(粉质黏土)：回填年代悠久，呈棕黄色、褐黄色和灰褐色，可塑，含铁锰结合，层厚1.5~3.6m。</w:t>
            </w:r>
          </w:p>
          <w:p>
            <w:pPr>
              <w:pStyle w:val="15"/>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②粉质黏土：棕黄~黄褐色，硬塑，含铁锰结合，夹白色黏土条带。</w:t>
            </w:r>
          </w:p>
          <w:p>
            <w:pPr>
              <w:pStyle w:val="15"/>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③粉质黏土：褐灰、灰黑色，可塑，局部为软可塑，软硬间隔，仅分布于古冲沟内。</w:t>
            </w:r>
          </w:p>
          <w:p>
            <w:pPr>
              <w:pStyle w:val="15"/>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rPr>
              <w:t>④粉质黏土混碎石：棕黄~浅黄色，可塑~硬塑。</w:t>
            </w:r>
          </w:p>
          <w:p>
            <w:pPr>
              <w:spacing w:line="360" w:lineRule="auto"/>
              <w:ind w:firstLine="482" w:firstLineChars="200"/>
              <w:rPr>
                <w:rFonts w:eastAsia="PMingLiU"/>
                <w:b/>
                <w:color w:val="auto"/>
                <w:sz w:val="24"/>
                <w:highlight w:val="none"/>
              </w:rPr>
            </w:pPr>
            <w:r>
              <w:rPr>
                <w:b/>
                <w:color w:val="auto"/>
                <w:sz w:val="24"/>
                <w:highlight w:val="none"/>
              </w:rPr>
              <w:t>三、</w:t>
            </w:r>
            <w:bookmarkEnd w:id="9"/>
            <w:bookmarkEnd w:id="10"/>
            <w:bookmarkEnd w:id="11"/>
            <w:bookmarkEnd w:id="12"/>
            <w:r>
              <w:rPr>
                <w:rFonts w:hint="eastAsia"/>
                <w:b/>
                <w:color w:val="auto"/>
                <w:sz w:val="24"/>
                <w:highlight w:val="none"/>
              </w:rPr>
              <w:t>水文</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outlineLvl w:val="9"/>
              <w:rPr>
                <w:rFonts w:hint="default" w:ascii="Times New Roman" w:hAnsi="Times New Roman" w:eastAsia="宋体" w:cs="Times New Roman"/>
                <w:color w:val="auto"/>
                <w:sz w:val="24"/>
                <w:szCs w:val="24"/>
              </w:rPr>
            </w:pPr>
            <w:bookmarkStart w:id="13" w:name="_Toc463584688"/>
            <w:bookmarkStart w:id="14" w:name="_Toc460769717"/>
            <w:bookmarkStart w:id="15" w:name="_Toc462200022"/>
            <w:bookmarkStart w:id="16" w:name="_Toc468603539"/>
            <w:r>
              <w:rPr>
                <w:rFonts w:hint="default" w:ascii="Times New Roman" w:hAnsi="Times New Roman" w:eastAsia="宋体" w:cs="Times New Roman"/>
                <w:color w:val="auto"/>
                <w:sz w:val="24"/>
                <w:szCs w:val="24"/>
                <w:highlight w:val="none"/>
                <w:lang w:val="zh-CN"/>
              </w:rPr>
              <w:t>镇</w:t>
            </w:r>
            <w:r>
              <w:rPr>
                <w:rFonts w:hint="default" w:ascii="Times New Roman" w:hAnsi="Times New Roman" w:eastAsia="宋体" w:cs="Times New Roman"/>
                <w:color w:val="auto"/>
                <w:sz w:val="24"/>
                <w:szCs w:val="24"/>
                <w:highlight w:val="none"/>
              </w:rPr>
              <w:t>江市境内除长江和大运河外，其余河流均较短小，被宁镇山脉、茅山山脉分隔，分别流入长江、太湖、秦淮河。</w:t>
            </w:r>
            <w:r>
              <w:rPr>
                <w:rFonts w:hint="default" w:ascii="Times New Roman" w:hAnsi="Times New Roman" w:eastAsia="宋体" w:cs="Times New Roman"/>
                <w:color w:val="auto"/>
                <w:sz w:val="24"/>
                <w:szCs w:val="24"/>
              </w:rPr>
              <w:t>根据长江下游大通水文站历史资料统计，长江该段多年平均流量28500m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/s，历史最大流量92600m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/s（1954年8月1日）,最小流量4620m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s(1979年1月31日)，最大、最小流量的比值为20：1，是国内主要河流中变幅最小、最均匀的河流之一。长江径流年内分配有明显的周期变化，汛期在5～10月份,水量约占全年多年平均径流量的71.6%，以7月份为最大，汛期平均流量为39700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/s；11月～次年4月为枯水期，枯水期水量约占全年多年平均径流量的28.4%，以1月份最小。</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自大通站以下长江受潮汐的综合影响，长江镇扬段为感潮河段，潮汐属于非正规半日潮混合型，每日潮位两涨两落，根据谏壁电厂上游15km处的镇江水文站历年观测资料统计，涨潮历时多年平均值为3h15min，落潮历时多年平均值为9h10min，常年以顺流为主，涨潮时有逆流出现。年内最高潮位发生在汛期6～9月，年内最低水位一般发生在枯水期1～2月，多年最高高潮位6.66m（国家85高程，下同），最低低潮位-0.69m，多年平均高潮位5.14m，多年平均低潮位0.00m，累年平均水温19.9℃。</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根据</w:t>
            </w:r>
            <w:r>
              <w:rPr>
                <w:rFonts w:hint="default" w:ascii="Times New Roman" w:hAnsi="Times New Roman" w:eastAsia="宋体" w:cs="Times New Roman"/>
                <w:color w:val="auto"/>
                <w:sz w:val="24"/>
                <w:szCs w:val="24"/>
              </w:rPr>
              <w:t>镇江水文站1912年至1996年潮位资料统计特征值</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夏季7月份至9月份的最大潮差发生在1997年8月19日，为2.14m；多年平均潮位为2.91m，多年平均潮差为0.96m，汛期平均潮差约0.70m。根据长江委长江下游水文水资源勘测局利用大通流量站近几年观测资料分析，大通站90%保证率小流量如下：7月份为32597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/s，8月份为26805m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/s，9月份为24072m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/s。</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outlineLvl w:val="9"/>
              <w:rPr>
                <w:rFonts w:hint="default"/>
                <w:color w:val="auto"/>
              </w:rPr>
            </w:pPr>
            <w:r>
              <w:rPr>
                <w:rFonts w:hint="default" w:ascii="Times New Roman" w:hAnsi="Times New Roman" w:eastAsia="宋体" w:cs="Times New Roman"/>
                <w:color w:val="auto"/>
                <w:sz w:val="24"/>
                <w:szCs w:val="24"/>
              </w:rPr>
              <w:t>九曲河西起丹阳县城，与京杭大运河连接，向东至访仙镇转向东北方向，穿过低山丘陵，一直流入长江夹江，在入江口建有九曲河闸，起排洪、引水及通航作用。江南运河与九曲河及丹金溧漕河将长江和太湖湖西水系连接，构成丹阳全市水系主脉。泰山水库为小（一）型水库，集水面积11.0km</w:t>
            </w:r>
            <w:r>
              <w:rPr>
                <w:rFonts w:hint="default" w:ascii="Times New Roman" w:hAnsi="Times New Roman" w:eastAsia="宋体" w:cs="Times New Roman"/>
                <w:color w:val="auto"/>
                <w:sz w:val="24"/>
                <w:szCs w:val="24"/>
                <w:vertAlign w:val="superscript"/>
              </w:rPr>
              <w:t>2</w:t>
            </w:r>
            <w:r>
              <w:rPr>
                <w:rFonts w:hint="default" w:ascii="Times New Roman" w:hAnsi="Times New Roman" w:eastAsia="宋体" w:cs="Times New Roman"/>
                <w:color w:val="auto"/>
                <w:sz w:val="24"/>
                <w:szCs w:val="24"/>
              </w:rPr>
              <w:t>，库容544万方，设计标准为100年一遇，校核标准为500年一遇，相应设计水位和校核水位分别为19.0m和20.6m，大坝坝顶高程23.0m。</w:t>
            </w:r>
          </w:p>
          <w:p>
            <w:pPr>
              <w:pStyle w:val="149"/>
              <w:keepNext w:val="0"/>
              <w:keepLines w:val="0"/>
              <w:pageBreakBefore w:val="0"/>
              <w:widowControl w:val="0"/>
              <w:kinsoku/>
              <w:wordWrap/>
              <w:overflowPunct/>
              <w:topLinePunct w:val="0"/>
              <w:autoSpaceDE/>
              <w:autoSpaceDN/>
              <w:bidi w:val="0"/>
              <w:adjustRightInd w:val="0"/>
              <w:spacing w:line="360" w:lineRule="auto"/>
              <w:jc w:val="both"/>
              <w:outlineLvl w:val="9"/>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白龙河是距离本工程最近的一条以泄洪为主的河道，对应本工程的白龙河河段位于贞观山灰场灰坝的东南侧、泰镇高速公路西北侧、紧靠泰镇高速公路，白龙河南起水晶山体育公园，北至埤城洋海桥接太平支河，单边长15.6km，底宽1~6m，实际排涝面积1万亩，最大引水流量15m3/s，最大排涝流量30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/s，可以作为本工程排洪的接入通道。</w:t>
            </w:r>
          </w:p>
          <w:p>
            <w:pPr>
              <w:spacing w:line="360" w:lineRule="auto"/>
              <w:ind w:firstLine="482" w:firstLineChars="200"/>
              <w:rPr>
                <w:rFonts w:hint="default"/>
                <w:b/>
                <w:color w:val="auto"/>
                <w:sz w:val="24"/>
                <w:highlight w:val="none"/>
              </w:rPr>
            </w:pPr>
            <w:bookmarkStart w:id="17" w:name="_Toc11742"/>
            <w:r>
              <w:rPr>
                <w:rFonts w:hint="eastAsia"/>
                <w:b/>
                <w:color w:val="auto"/>
                <w:sz w:val="24"/>
                <w:highlight w:val="none"/>
                <w:lang w:eastAsia="zh-CN"/>
              </w:rPr>
              <w:t>四、</w:t>
            </w:r>
            <w:r>
              <w:rPr>
                <w:rFonts w:hint="default"/>
                <w:b/>
                <w:color w:val="auto"/>
                <w:sz w:val="24"/>
                <w:highlight w:val="none"/>
              </w:rPr>
              <w:t>地下水水文地质条件</w:t>
            </w:r>
            <w:bookmarkEnd w:id="17"/>
          </w:p>
          <w:p>
            <w:pPr>
              <w:pStyle w:val="162"/>
              <w:pageBreakBefore w:val="0"/>
              <w:kinsoku/>
              <w:wordWrap/>
              <w:overflowPunct/>
              <w:topLinePunct w:val="0"/>
              <w:autoSpaceDE/>
              <w:autoSpaceDN/>
              <w:bidi w:val="0"/>
              <w:spacing w:line="360" w:lineRule="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本场地地下水属潜水类型，埋深随地形变化有一定起伏，可按0.5m考虑。</w:t>
            </w:r>
          </w:p>
          <w:p>
            <w:pPr>
              <w:pStyle w:val="162"/>
              <w:pageBreakBefore w:val="0"/>
              <w:kinsoku/>
              <w:wordWrap/>
              <w:overflowPunct/>
              <w:topLinePunct w:val="0"/>
              <w:autoSpaceDE/>
              <w:autoSpaceDN/>
              <w:bidi w:val="0"/>
              <w:spacing w:line="360" w:lineRule="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地下水补给来源主要为大气降水，地下水的排泄途径主要以迳流形式排出，其次为人工开采和垂直蒸发。</w:t>
            </w:r>
          </w:p>
          <w:p>
            <w:pPr>
              <w:pStyle w:val="162"/>
              <w:pageBreakBefore w:val="0"/>
              <w:kinsoku/>
              <w:wordWrap/>
              <w:overflowPunct/>
              <w:topLinePunct w:val="0"/>
              <w:autoSpaceDE/>
              <w:autoSpaceDN/>
              <w:bidi w:val="0"/>
              <w:spacing w:line="360" w:lineRule="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在Ⅱ类环境中，地下水、粉煤灰对混凝土结构具弱腐蚀性，对钢筋混凝土结构中的钢筋具微腐蚀性，对钢结构具微腐蚀性。</w:t>
            </w:r>
          </w:p>
          <w:p>
            <w:pPr>
              <w:pStyle w:val="162"/>
              <w:pageBreakBefore w:val="0"/>
              <w:kinsoku/>
              <w:wordWrap/>
              <w:overflowPunct/>
              <w:topLinePunct w:val="0"/>
              <w:autoSpaceDE/>
              <w:autoSpaceDN/>
              <w:bidi w:val="0"/>
              <w:spacing w:line="360" w:lineRule="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本工程场地地形平坦，地层分布相对均匀、稳定，抗震地段属性为一般地段。根据地基土工程性质，初步判定场地土类型为中软土，根据周围地质调查基岩埋深小于50m，建筑场地类别为Ⅱ类。</w:t>
            </w:r>
          </w:p>
          <w:p>
            <w:pPr>
              <w:pStyle w:val="162"/>
              <w:pageBreakBefore w:val="0"/>
              <w:kinsoku/>
              <w:wordWrap/>
              <w:overflowPunct/>
              <w:topLinePunct w:val="0"/>
              <w:autoSpaceDE/>
              <w:autoSpaceDN/>
              <w:bidi w:val="0"/>
              <w:spacing w:line="360" w:lineRule="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本工程场地浅部分布有粉煤灰，其黏粒含量&gt;10%，在抗震设防烈度为7度时，初步可判为不液化土。</w:t>
            </w:r>
          </w:p>
          <w:p>
            <w:pPr>
              <w:spacing w:line="360" w:lineRule="auto"/>
              <w:ind w:firstLine="482" w:firstLineChars="200"/>
              <w:rPr>
                <w:b/>
                <w:color w:val="auto"/>
                <w:sz w:val="24"/>
                <w:highlight w:val="none"/>
              </w:rPr>
            </w:pPr>
            <w:r>
              <w:rPr>
                <w:rFonts w:hint="eastAsia"/>
                <w:b/>
                <w:color w:val="auto"/>
                <w:sz w:val="24"/>
                <w:highlight w:val="none"/>
                <w:lang w:eastAsia="zh-CN"/>
              </w:rPr>
              <w:t>五</w:t>
            </w:r>
            <w:r>
              <w:rPr>
                <w:b/>
                <w:color w:val="auto"/>
                <w:sz w:val="24"/>
                <w:highlight w:val="none"/>
              </w:rPr>
              <w:t>、气候、气象</w:t>
            </w:r>
          </w:p>
          <w:p>
            <w:pPr>
              <w:spacing w:line="360" w:lineRule="auto"/>
              <w:ind w:firstLine="480" w:firstLineChars="200"/>
              <w:rPr>
                <w:color w:val="auto"/>
                <w:sz w:val="24"/>
                <w:szCs w:val="24"/>
                <w:highlight w:val="none"/>
              </w:rPr>
            </w:pPr>
            <w:bookmarkStart w:id="18" w:name="_Toc139185335"/>
            <w:r>
              <w:rPr>
                <w:rFonts w:ascii="Times New Roman" w:hAnsi="Times New Roman"/>
                <w:color w:val="auto"/>
                <w:sz w:val="24"/>
                <w:szCs w:val="24"/>
              </w:rPr>
              <w:t>项目所在地区</w:t>
            </w:r>
            <w:r>
              <w:rPr>
                <w:rFonts w:hint="eastAsia" w:ascii="Times New Roman" w:hAnsi="Times New Roman"/>
                <w:color w:val="auto"/>
                <w:sz w:val="24"/>
                <w:szCs w:val="24"/>
              </w:rPr>
              <w:t>属北亚热带湿润季风气候区，受太平洋气候的调节和季风环流的影响，具有四季分明、气候湿润、光照充足、雨量充沛、无霜期长的特点。一般春季气温回升缓慢，天气多变；夏季炎热多雨；秋季天高气爽，兼受台风和低温影响；冬季天气晴朗，寒冷干燥。</w:t>
            </w:r>
          </w:p>
          <w:p>
            <w:pPr>
              <w:spacing w:line="360" w:lineRule="auto"/>
              <w:ind w:firstLine="480" w:firstLineChars="200"/>
              <w:rPr>
                <w:color w:val="auto"/>
                <w:sz w:val="24"/>
                <w:szCs w:val="24"/>
                <w:highlight w:val="yellow"/>
              </w:rPr>
            </w:pPr>
            <w:r>
              <w:rPr>
                <w:rFonts w:ascii="Times New Roman" w:hAnsi="Times New Roman"/>
                <w:color w:val="auto"/>
                <w:sz w:val="24"/>
                <w:szCs w:val="24"/>
                <w:highlight w:val="none"/>
              </w:rPr>
              <w:t>镇江市气象站统计资料表明，厂址地区盛行偏东风（NE—ESE）；春、夏两季以E—SE风为主，NE—SSE风也占有一定的风频；秋季以NE—E风为主；冬季以NE—E风为主，NNW—WNW风以及E风均占有一定的风频。该地区年平均风速1.94m/s，春季风</w:t>
            </w:r>
            <w:r>
              <w:rPr>
                <w:rFonts w:ascii="Times New Roman" w:hAnsi="Times New Roman"/>
                <w:color w:val="auto"/>
                <w:sz w:val="24"/>
                <w:szCs w:val="24"/>
              </w:rPr>
              <w:t>速较大，秋季风速最小，年静风频率为12.1%。</w:t>
            </w:r>
          </w:p>
          <w:bookmarkEnd w:id="18"/>
          <w:p>
            <w:pPr>
              <w:spacing w:line="360" w:lineRule="auto"/>
              <w:ind w:firstLine="482" w:firstLineChars="200"/>
              <w:rPr>
                <w:b/>
                <w:bCs/>
                <w:color w:val="auto"/>
                <w:sz w:val="24"/>
                <w:highlight w:val="none"/>
              </w:rPr>
            </w:pPr>
            <w:r>
              <w:rPr>
                <w:rFonts w:hint="eastAsia"/>
                <w:b/>
                <w:bCs/>
                <w:color w:val="auto"/>
                <w:sz w:val="24"/>
                <w:highlight w:val="none"/>
                <w:lang w:eastAsia="zh-CN"/>
              </w:rPr>
              <w:t>六</w:t>
            </w:r>
            <w:r>
              <w:rPr>
                <w:b/>
                <w:bCs/>
                <w:color w:val="auto"/>
                <w:sz w:val="24"/>
                <w:highlight w:val="none"/>
              </w:rPr>
              <w:t>、植被及生物资源</w:t>
            </w:r>
          </w:p>
          <w:bookmarkEnd w:id="13"/>
          <w:bookmarkEnd w:id="14"/>
          <w:bookmarkEnd w:id="15"/>
          <w:bookmarkEnd w:id="16"/>
          <w:p>
            <w:pPr>
              <w:pStyle w:val="158"/>
              <w:rPr>
                <w:rFonts w:hint="default" w:ascii="Times New Roman" w:hAnsi="Times New Roman" w:eastAsia="宋体" w:cs="Times New Roman"/>
                <w:color w:val="auto"/>
                <w:sz w:val="24"/>
                <w:szCs w:val="24"/>
                <w:highlight w:val="none"/>
                <w:lang w:eastAsia="zh-CN"/>
              </w:rPr>
            </w:pPr>
            <w:r>
              <w:rPr>
                <w:rFonts w:hint="eastAsia" w:eastAsia="宋体" w:cs="Times New Roman"/>
                <w:color w:val="auto"/>
                <w:sz w:val="24"/>
                <w:szCs w:val="24"/>
                <w:highlight w:val="none"/>
                <w:lang w:val="en-US" w:eastAsia="zh-CN"/>
              </w:rPr>
              <w:t>镇江市</w:t>
            </w:r>
            <w:r>
              <w:rPr>
                <w:rFonts w:hint="default" w:ascii="Times New Roman" w:hAnsi="Times New Roman" w:eastAsia="宋体" w:cs="Times New Roman"/>
                <w:color w:val="auto"/>
                <w:sz w:val="24"/>
                <w:szCs w:val="24"/>
                <w:highlight w:val="none"/>
                <w:lang w:eastAsia="zh-CN"/>
              </w:rPr>
              <w:t>植物方面，落叶阔叶树有麻栎、枹树、黄连木、山槐、枫杨等；常绿阔叶树有青风栎、苦楮、石楠等。药用植物有700多种。引进的树种有黑松、杉木、泡桐等。宝华山自然保护区有木兰科中最珍稀的宝华玉兰。鱼类资源丰富，青、草、鲢、鲤等淡水养殖鱼类和鲍、鲶、鳝等非人工养殖鱼类均有大量出产。境内长江鱼类有90多种，其中刀、鲥、鳗、鱼回、河豚是名贵品种；白鳍豚、中华鲟等是中国珍稀动物。全市有鸟类100多种，其他野生动物20多种。</w:t>
            </w:r>
          </w:p>
          <w:p>
            <w:pPr>
              <w:pStyle w:val="158"/>
              <w:rPr>
                <w:rFonts w:eastAsia="PMingLiU"/>
                <w:bCs/>
                <w:color w:val="auto"/>
                <w:sz w:val="24"/>
                <w:highlight w:val="yellow"/>
              </w:rPr>
            </w:pPr>
            <w:r>
              <w:rPr>
                <w:rFonts w:hint="eastAsia" w:eastAsia="宋体" w:cs="Times New Roman"/>
                <w:color w:val="auto"/>
                <w:sz w:val="24"/>
                <w:szCs w:val="24"/>
                <w:highlight w:val="none"/>
                <w:lang w:val="en-US" w:eastAsia="zh-CN"/>
              </w:rPr>
              <w:t>本工程</w:t>
            </w:r>
            <w:r>
              <w:rPr>
                <w:rFonts w:hint="default" w:ascii="Times New Roman" w:hAnsi="Times New Roman" w:eastAsia="宋体" w:cs="Times New Roman"/>
                <w:color w:val="auto"/>
                <w:sz w:val="24"/>
                <w:szCs w:val="24"/>
                <w:highlight w:val="none"/>
                <w:lang w:eastAsia="zh-CN"/>
              </w:rPr>
              <w:t>场区域内生态环境相对单一，野生动物量相对较少</w:t>
            </w:r>
            <w:r>
              <w:rPr>
                <w:rFonts w:hint="eastAsia" w:eastAsia="宋体" w:cs="Times New Roman"/>
                <w:color w:val="auto"/>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962" w:hRule="atLeast"/>
          <w:jc w:val="center"/>
        </w:trPr>
        <w:tc>
          <w:tcPr>
            <w:tcW w:w="5000" w:type="pct"/>
            <w:vAlign w:val="top"/>
          </w:tcPr>
          <w:p>
            <w:pPr>
              <w:spacing w:line="360" w:lineRule="auto"/>
              <w:rPr>
                <w:b/>
                <w:color w:val="auto"/>
                <w:sz w:val="24"/>
                <w:highlight w:val="none"/>
              </w:rPr>
            </w:pPr>
            <w:r>
              <w:rPr>
                <w:b/>
                <w:color w:val="auto"/>
                <w:sz w:val="24"/>
                <w:highlight w:val="none"/>
              </w:rPr>
              <w:t>社会环境简况：</w:t>
            </w:r>
          </w:p>
          <w:p>
            <w:pPr>
              <w:spacing w:line="360" w:lineRule="auto"/>
              <w:ind w:firstLine="480" w:firstLineChars="200"/>
              <w:rPr>
                <w:rFonts w:hint="eastAsia" w:ascii="宋体" w:hAnsi="宋体" w:cs="仿宋_GB2312"/>
                <w:color w:val="auto"/>
                <w:sz w:val="24"/>
                <w:szCs w:val="24"/>
              </w:rPr>
            </w:pPr>
            <w:r>
              <w:rPr>
                <w:rFonts w:hint="eastAsia" w:ascii="宋体" w:hAnsi="宋体" w:cs="仿宋_GB2312"/>
                <w:color w:val="auto"/>
                <w:sz w:val="24"/>
                <w:szCs w:val="24"/>
              </w:rPr>
              <w:t>镇江临江近海，位于长江和运河十字交汇点，水陆交通极为便利，为国家级水路主枢纽和省级公路主枢纽城市。世界闻名的“黄金水道”—长江和京杭大运河在此交汇，沪宁高速公路、京沪铁路、沪宁二级公路穿市而过。104、312国道和101、218、222、224、321省道构成镇江与外省、市连接的公路网络。距南京机场和常州机场均为60公里。镇江港是全国主枢纽港之一，镇江---大港地方铁路把水上主通道和铁路大动脉、大港港区和市区联为一体。润扬长江大桥与扬中长江大桥一起，构成长江南北又一快速通道。</w:t>
            </w:r>
          </w:p>
          <w:p>
            <w:pPr>
              <w:spacing w:line="360" w:lineRule="auto"/>
              <w:ind w:firstLine="480" w:firstLineChars="200"/>
              <w:rPr>
                <w:rFonts w:hint="eastAsia" w:ascii="宋体" w:hAnsi="宋体" w:cs="仿宋_GB2312"/>
                <w:color w:val="auto"/>
                <w:sz w:val="24"/>
                <w:szCs w:val="24"/>
              </w:rPr>
            </w:pPr>
          </w:p>
          <w:p>
            <w:pPr>
              <w:spacing w:line="360" w:lineRule="auto"/>
              <w:ind w:firstLine="480" w:firstLineChars="200"/>
              <w:rPr>
                <w:rFonts w:hint="eastAsia" w:ascii="宋体" w:hAnsi="宋体" w:cs="仿宋_GB2312"/>
                <w:color w:val="auto"/>
                <w:sz w:val="24"/>
                <w:szCs w:val="24"/>
              </w:rPr>
            </w:pPr>
          </w:p>
          <w:p>
            <w:pPr>
              <w:spacing w:line="360" w:lineRule="auto"/>
              <w:ind w:firstLine="480" w:firstLineChars="200"/>
              <w:rPr>
                <w:rFonts w:hint="eastAsia" w:ascii="宋体" w:hAnsi="宋体" w:cs="仿宋_GB2312"/>
                <w:color w:val="auto"/>
                <w:sz w:val="24"/>
                <w:szCs w:val="24"/>
              </w:rPr>
            </w:pPr>
          </w:p>
          <w:p>
            <w:pPr>
              <w:spacing w:line="360" w:lineRule="auto"/>
              <w:ind w:firstLine="480" w:firstLineChars="200"/>
              <w:rPr>
                <w:rFonts w:hint="eastAsia" w:ascii="宋体" w:hAnsi="宋体" w:cs="仿宋_GB2312"/>
                <w:color w:val="auto"/>
                <w:sz w:val="24"/>
                <w:szCs w:val="24"/>
              </w:rPr>
            </w:pPr>
          </w:p>
          <w:p>
            <w:pPr>
              <w:spacing w:line="360" w:lineRule="auto"/>
              <w:ind w:firstLine="480" w:firstLineChars="200"/>
              <w:rPr>
                <w:rFonts w:hint="eastAsia" w:ascii="宋体" w:hAnsi="宋体" w:cs="仿宋_GB2312"/>
                <w:color w:val="auto"/>
                <w:sz w:val="24"/>
                <w:szCs w:val="24"/>
              </w:rPr>
            </w:pPr>
          </w:p>
          <w:p>
            <w:pPr>
              <w:spacing w:line="360" w:lineRule="auto"/>
              <w:ind w:firstLine="480" w:firstLineChars="200"/>
              <w:rPr>
                <w:rFonts w:hint="eastAsia" w:ascii="宋体" w:hAnsi="宋体" w:cs="仿宋_GB2312"/>
                <w:color w:val="auto"/>
                <w:sz w:val="24"/>
                <w:szCs w:val="24"/>
              </w:rPr>
            </w:pPr>
          </w:p>
          <w:p>
            <w:pPr>
              <w:spacing w:line="360" w:lineRule="auto"/>
              <w:ind w:firstLine="480" w:firstLineChars="200"/>
              <w:rPr>
                <w:rFonts w:hint="eastAsia" w:ascii="宋体" w:hAnsi="宋体" w:cs="仿宋_GB2312"/>
                <w:color w:val="auto"/>
                <w:sz w:val="24"/>
                <w:szCs w:val="24"/>
              </w:rPr>
            </w:pPr>
          </w:p>
          <w:p>
            <w:pPr>
              <w:spacing w:line="360" w:lineRule="auto"/>
              <w:ind w:firstLine="480" w:firstLineChars="200"/>
              <w:rPr>
                <w:rFonts w:hint="eastAsia" w:ascii="宋体" w:hAnsi="宋体" w:cs="仿宋_GB2312"/>
                <w:color w:val="auto"/>
                <w:sz w:val="24"/>
                <w:szCs w:val="24"/>
              </w:rPr>
            </w:pPr>
          </w:p>
          <w:p>
            <w:pPr>
              <w:spacing w:line="360" w:lineRule="auto"/>
              <w:ind w:firstLine="480" w:firstLineChars="200"/>
              <w:rPr>
                <w:rFonts w:hint="eastAsia" w:ascii="宋体" w:hAnsi="宋体" w:cs="仿宋_GB2312"/>
                <w:color w:val="auto"/>
                <w:sz w:val="24"/>
                <w:szCs w:val="24"/>
              </w:rPr>
            </w:pPr>
          </w:p>
          <w:p>
            <w:pPr>
              <w:spacing w:line="360" w:lineRule="auto"/>
              <w:ind w:firstLine="480" w:firstLineChars="200"/>
              <w:rPr>
                <w:rFonts w:hint="eastAsia" w:ascii="宋体" w:hAnsi="宋体" w:cs="仿宋_GB2312"/>
                <w:color w:val="auto"/>
                <w:sz w:val="24"/>
                <w:szCs w:val="24"/>
              </w:rPr>
            </w:pPr>
          </w:p>
          <w:p>
            <w:pPr>
              <w:spacing w:line="360" w:lineRule="auto"/>
              <w:ind w:firstLine="480" w:firstLineChars="200"/>
              <w:rPr>
                <w:rFonts w:hint="eastAsia" w:ascii="宋体" w:hAnsi="宋体" w:cs="仿宋_GB2312"/>
                <w:color w:val="auto"/>
                <w:sz w:val="24"/>
                <w:szCs w:val="24"/>
              </w:rPr>
            </w:pPr>
          </w:p>
          <w:p>
            <w:pPr>
              <w:spacing w:line="360" w:lineRule="auto"/>
              <w:ind w:firstLine="480" w:firstLineChars="200"/>
              <w:rPr>
                <w:rFonts w:hint="eastAsia" w:ascii="宋体" w:hAnsi="宋体" w:cs="仿宋_GB2312"/>
                <w:color w:val="auto"/>
                <w:sz w:val="24"/>
                <w:szCs w:val="24"/>
              </w:rPr>
            </w:pPr>
          </w:p>
          <w:p>
            <w:pPr>
              <w:spacing w:line="360" w:lineRule="auto"/>
              <w:ind w:firstLine="480" w:firstLineChars="200"/>
              <w:rPr>
                <w:rFonts w:hint="eastAsia" w:ascii="宋体" w:hAnsi="宋体" w:cs="仿宋_GB2312"/>
                <w:color w:val="auto"/>
                <w:sz w:val="24"/>
                <w:szCs w:val="24"/>
              </w:rPr>
            </w:pPr>
          </w:p>
          <w:p>
            <w:pPr>
              <w:spacing w:line="360" w:lineRule="auto"/>
              <w:ind w:firstLine="480" w:firstLineChars="200"/>
              <w:rPr>
                <w:rFonts w:hint="eastAsia" w:ascii="宋体" w:hAnsi="宋体" w:cs="仿宋_GB2312"/>
                <w:color w:val="auto"/>
                <w:sz w:val="24"/>
                <w:szCs w:val="24"/>
              </w:rPr>
            </w:pPr>
          </w:p>
          <w:p>
            <w:pPr>
              <w:spacing w:line="360" w:lineRule="auto"/>
              <w:ind w:firstLine="480" w:firstLineChars="200"/>
              <w:rPr>
                <w:rFonts w:hint="eastAsia" w:ascii="宋体" w:hAnsi="宋体" w:cs="仿宋_GB2312"/>
                <w:color w:val="auto"/>
                <w:sz w:val="24"/>
                <w:szCs w:val="24"/>
              </w:rPr>
            </w:pPr>
          </w:p>
          <w:p>
            <w:pPr>
              <w:spacing w:line="360" w:lineRule="auto"/>
              <w:ind w:firstLine="480" w:firstLineChars="200"/>
              <w:rPr>
                <w:rFonts w:hint="eastAsia" w:ascii="宋体" w:hAnsi="宋体" w:cs="仿宋_GB2312"/>
                <w:color w:val="auto"/>
                <w:sz w:val="24"/>
                <w:szCs w:val="24"/>
              </w:rPr>
            </w:pPr>
          </w:p>
          <w:p>
            <w:pPr>
              <w:spacing w:line="360" w:lineRule="auto"/>
              <w:ind w:firstLine="480" w:firstLineChars="200"/>
              <w:rPr>
                <w:rFonts w:hint="eastAsia" w:ascii="宋体" w:hAnsi="宋体" w:cs="仿宋_GB2312"/>
                <w:color w:val="auto"/>
                <w:sz w:val="24"/>
                <w:szCs w:val="24"/>
              </w:rPr>
            </w:pPr>
          </w:p>
          <w:p>
            <w:pPr>
              <w:spacing w:line="360" w:lineRule="auto"/>
              <w:ind w:firstLine="480" w:firstLineChars="200"/>
              <w:rPr>
                <w:rFonts w:hint="eastAsia" w:ascii="宋体" w:hAnsi="宋体" w:cs="仿宋_GB2312"/>
                <w:color w:val="auto"/>
                <w:sz w:val="24"/>
                <w:szCs w:val="24"/>
              </w:rPr>
            </w:pPr>
          </w:p>
          <w:p>
            <w:pPr>
              <w:spacing w:line="360" w:lineRule="auto"/>
              <w:ind w:firstLine="480" w:firstLineChars="200"/>
              <w:rPr>
                <w:rFonts w:hint="eastAsia" w:ascii="宋体" w:hAnsi="宋体" w:cs="仿宋_GB2312"/>
                <w:color w:val="auto"/>
                <w:sz w:val="24"/>
                <w:szCs w:val="24"/>
              </w:rPr>
            </w:pPr>
          </w:p>
          <w:p>
            <w:pPr>
              <w:spacing w:line="360" w:lineRule="auto"/>
              <w:ind w:firstLine="480" w:firstLineChars="200"/>
              <w:rPr>
                <w:rFonts w:hint="eastAsia" w:ascii="宋体" w:hAnsi="宋体" w:cs="仿宋_GB2312"/>
                <w:color w:val="auto"/>
                <w:sz w:val="24"/>
                <w:szCs w:val="24"/>
              </w:rPr>
            </w:pPr>
          </w:p>
          <w:p>
            <w:pPr>
              <w:spacing w:line="360" w:lineRule="auto"/>
              <w:ind w:firstLine="480" w:firstLineChars="200"/>
              <w:rPr>
                <w:rFonts w:hint="eastAsia" w:ascii="宋体" w:hAnsi="宋体" w:cs="仿宋_GB2312"/>
                <w:color w:val="auto"/>
                <w:sz w:val="24"/>
                <w:szCs w:val="24"/>
              </w:rPr>
            </w:pPr>
          </w:p>
          <w:p>
            <w:pPr>
              <w:spacing w:line="360" w:lineRule="auto"/>
              <w:ind w:firstLine="480" w:firstLineChars="200"/>
              <w:rPr>
                <w:rFonts w:hint="eastAsia" w:ascii="宋体" w:hAnsi="宋体" w:cs="仿宋_GB2312"/>
                <w:color w:val="auto"/>
                <w:sz w:val="24"/>
                <w:szCs w:val="24"/>
              </w:rPr>
            </w:pPr>
          </w:p>
          <w:p>
            <w:pPr>
              <w:spacing w:line="360" w:lineRule="auto"/>
              <w:ind w:firstLine="480" w:firstLineChars="200"/>
              <w:rPr>
                <w:rFonts w:hint="eastAsia" w:ascii="宋体" w:hAnsi="宋体" w:cs="仿宋_GB2312"/>
                <w:color w:val="auto"/>
                <w:sz w:val="24"/>
                <w:szCs w:val="24"/>
              </w:rPr>
            </w:pPr>
          </w:p>
          <w:p>
            <w:pPr>
              <w:spacing w:line="360" w:lineRule="auto"/>
              <w:ind w:firstLine="420" w:firstLineChars="200"/>
              <w:rPr>
                <w:rFonts w:hint="eastAsia" w:ascii="Times New Roman" w:hAnsi="Times New Roman" w:eastAsia="宋体"/>
                <w:color w:val="auto"/>
                <w:highlight w:val="yellow"/>
                <w:lang w:val="en-US" w:eastAsia="zh-CN"/>
              </w:rPr>
            </w:pPr>
          </w:p>
        </w:tc>
      </w:tr>
    </w:tbl>
    <w:p>
      <w:pPr>
        <w:spacing w:line="360" w:lineRule="auto"/>
        <w:outlineLvl w:val="0"/>
        <w:rPr>
          <w:b/>
          <w:color w:val="auto"/>
          <w:sz w:val="30"/>
          <w:highlight w:val="yellow"/>
          <w:lang w:eastAsia="zh-CN"/>
        </w:rPr>
      </w:pPr>
      <w:r>
        <w:rPr>
          <w:b/>
          <w:color w:val="auto"/>
          <w:sz w:val="30"/>
          <w:highlight w:val="yellow"/>
        </w:rPr>
        <w:br w:type="page"/>
      </w:r>
      <w:bookmarkStart w:id="19" w:name="_Toc508"/>
      <w:r>
        <w:rPr>
          <w:rStyle w:val="171"/>
          <w:rFonts w:hint="eastAsia"/>
          <w:color w:val="auto"/>
          <w:lang w:val="en-US" w:eastAsia="zh-CN"/>
        </w:rPr>
        <w:t>三、环境质量状况</w:t>
      </w:r>
      <w:bookmarkEnd w:id="19"/>
    </w:p>
    <w:tbl>
      <w:tblPr>
        <w:tblStyle w:val="30"/>
        <w:tblW w:w="9071"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9071"/>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jc w:val="center"/>
        </w:trPr>
        <w:tc>
          <w:tcPr>
            <w:tcW w:w="5000" w:type="pct"/>
            <w:vAlign w:val="top"/>
          </w:tcPr>
          <w:p>
            <w:pPr>
              <w:spacing w:line="400" w:lineRule="exact"/>
              <w:rPr>
                <w:b/>
                <w:color w:val="auto"/>
                <w:sz w:val="24"/>
                <w:highlight w:val="none"/>
              </w:rPr>
            </w:pPr>
            <w:r>
              <w:rPr>
                <w:b/>
                <w:color w:val="auto"/>
                <w:sz w:val="24"/>
                <w:highlight w:val="none"/>
              </w:rPr>
              <w:t>建设项目所在地区域环境质量现状</w:t>
            </w:r>
          </w:p>
          <w:p>
            <w:pPr>
              <w:pStyle w:val="158"/>
              <w:keepNext w:val="0"/>
              <w:keepLines w:val="0"/>
              <w:pageBreakBefore w:val="0"/>
              <w:widowControl/>
              <w:kinsoku/>
              <w:wordWrap/>
              <w:overflowPunct/>
              <w:topLinePunct w:val="0"/>
              <w:autoSpaceDE/>
              <w:autoSpaceDN/>
              <w:bidi w:val="0"/>
              <w:adjustRightInd/>
              <w:snapToGrid/>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根据《镇江市环境状况公报（201</w:t>
            </w:r>
            <w:r>
              <w:rPr>
                <w:rFonts w:hint="eastAsia" w:eastAsia="宋体" w:cs="Times New Roman"/>
                <w:color w:val="auto"/>
                <w:sz w:val="24"/>
                <w:szCs w:val="24"/>
                <w:lang w:val="en-US" w:eastAsia="zh-CN"/>
              </w:rPr>
              <w:t>9</w:t>
            </w:r>
            <w:r>
              <w:rPr>
                <w:rFonts w:hint="default" w:ascii="Times New Roman" w:hAnsi="Times New Roman" w:eastAsia="宋体" w:cs="Times New Roman"/>
                <w:color w:val="auto"/>
                <w:sz w:val="24"/>
                <w:szCs w:val="24"/>
              </w:rPr>
              <w:t>）》：</w:t>
            </w:r>
          </w:p>
          <w:p>
            <w:pPr>
              <w:pStyle w:val="158"/>
              <w:keepNext w:val="0"/>
              <w:keepLines w:val="0"/>
              <w:pageBreakBefore w:val="0"/>
              <w:widowControl/>
              <w:kinsoku/>
              <w:wordWrap/>
              <w:overflowPunct/>
              <w:topLinePunct w:val="0"/>
              <w:autoSpaceDE/>
              <w:autoSpaceDN/>
              <w:bidi w:val="0"/>
              <w:adjustRightInd/>
              <w:snapToGrid/>
              <w:textAlignment w:val="auto"/>
              <w:outlineLvl w:val="9"/>
              <w:rPr>
                <w:rFonts w:hint="default" w:ascii="Times New Roman" w:hAnsi="Times New Roman" w:eastAsia="宋体" w:cs="Times New Roman"/>
                <w:color w:val="auto"/>
                <w:sz w:val="24"/>
                <w:szCs w:val="24"/>
              </w:rPr>
            </w:pPr>
            <w:r>
              <w:rPr>
                <w:rFonts w:hint="eastAsia" w:eastAsia="宋体" w:cs="Times New Roman"/>
                <w:color w:val="auto"/>
                <w:sz w:val="24"/>
                <w:szCs w:val="24"/>
                <w:lang w:val="en-US" w:eastAsia="zh-CN"/>
              </w:rPr>
              <w:t>1、</w:t>
            </w:r>
            <w:r>
              <w:rPr>
                <w:rFonts w:hint="default" w:ascii="Times New Roman" w:hAnsi="Times New Roman" w:eastAsia="宋体" w:cs="Times New Roman"/>
                <w:color w:val="auto"/>
                <w:sz w:val="24"/>
                <w:szCs w:val="24"/>
              </w:rPr>
              <w:t>空气环境质量</w:t>
            </w:r>
          </w:p>
          <w:p>
            <w:pPr>
              <w:tabs>
                <w:tab w:val="left" w:pos="1200"/>
              </w:tabs>
              <w:adjustRightInd w:val="0"/>
              <w:snapToGrid w:val="0"/>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2019年，镇江市环境空气中二氧化硫和PM</w:t>
            </w:r>
            <w:r>
              <w:rPr>
                <w:rFonts w:hint="default" w:ascii="Times New Roman" w:hAnsi="Times New Roman" w:eastAsia="宋体" w:cs="Times New Roman"/>
                <w:color w:val="auto"/>
                <w:sz w:val="24"/>
                <w:vertAlign w:val="subscript"/>
              </w:rPr>
              <w:t>2.5</w:t>
            </w:r>
            <w:r>
              <w:rPr>
                <w:rFonts w:hint="default" w:ascii="Times New Roman" w:hAnsi="Times New Roman" w:eastAsia="宋体" w:cs="Times New Roman"/>
                <w:color w:val="auto"/>
                <w:sz w:val="24"/>
              </w:rPr>
              <w:t>浓度均有所削减，PM</w:t>
            </w:r>
            <w:r>
              <w:rPr>
                <w:rFonts w:hint="default" w:ascii="Times New Roman" w:hAnsi="Times New Roman" w:eastAsia="宋体" w:cs="Times New Roman"/>
                <w:color w:val="auto"/>
                <w:sz w:val="24"/>
                <w:vertAlign w:val="subscript"/>
              </w:rPr>
              <w:t>10</w:t>
            </w:r>
            <w:r>
              <w:rPr>
                <w:rFonts w:hint="default" w:ascii="Times New Roman" w:hAnsi="Times New Roman" w:eastAsia="宋体" w:cs="Times New Roman"/>
                <w:color w:val="auto"/>
                <w:sz w:val="24"/>
              </w:rPr>
              <w:t>和一氧化碳浓度基本持平，但臭氧和二氧化氮污染略有抬升。其中市区PM</w:t>
            </w:r>
            <w:r>
              <w:rPr>
                <w:rFonts w:hint="default" w:ascii="Times New Roman" w:hAnsi="Times New Roman" w:eastAsia="宋体" w:cs="Times New Roman"/>
                <w:color w:val="auto"/>
                <w:sz w:val="24"/>
                <w:vertAlign w:val="subscript"/>
              </w:rPr>
              <w:t>2.5</w:t>
            </w:r>
            <w:r>
              <w:rPr>
                <w:rFonts w:hint="default" w:ascii="Times New Roman" w:hAnsi="Times New Roman" w:eastAsia="宋体" w:cs="Times New Roman"/>
                <w:color w:val="auto"/>
                <w:sz w:val="24"/>
              </w:rPr>
              <w:t>年均浓度较2018年下降11.8%、较2015年下降23.7%、较2013年下降37.5%，达到国家提出的“比2015年下降3%”和“比2013年下降20%”的目标要求。市区环境空气质量优良天数比率为69.6%，超额完成66.5%的年度目标。</w:t>
            </w:r>
          </w:p>
          <w:p>
            <w:pPr>
              <w:tabs>
                <w:tab w:val="left" w:pos="1200"/>
              </w:tabs>
              <w:adjustRightInd w:val="0"/>
              <w:snapToGrid w:val="0"/>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市区环境空气中PM</w:t>
            </w:r>
            <w:r>
              <w:rPr>
                <w:rFonts w:hint="default" w:ascii="Times New Roman" w:hAnsi="Times New Roman" w:eastAsia="宋体" w:cs="Times New Roman"/>
                <w:color w:val="auto"/>
                <w:sz w:val="24"/>
                <w:vertAlign w:val="subscript"/>
              </w:rPr>
              <w:t>2.5</w:t>
            </w:r>
            <w:r>
              <w:rPr>
                <w:rFonts w:hint="default" w:ascii="Times New Roman" w:hAnsi="Times New Roman" w:eastAsia="宋体" w:cs="Times New Roman"/>
                <w:color w:val="auto"/>
                <w:sz w:val="24"/>
              </w:rPr>
              <w:t>、PM</w:t>
            </w:r>
            <w:r>
              <w:rPr>
                <w:rFonts w:hint="default" w:ascii="Times New Roman" w:hAnsi="Times New Roman" w:eastAsia="宋体" w:cs="Times New Roman"/>
                <w:color w:val="auto"/>
                <w:sz w:val="24"/>
                <w:vertAlign w:val="subscript"/>
              </w:rPr>
              <w:t>10</w:t>
            </w:r>
            <w:r>
              <w:rPr>
                <w:rFonts w:hint="default" w:ascii="Times New Roman" w:hAnsi="Times New Roman" w:eastAsia="宋体" w:cs="Times New Roman"/>
                <w:color w:val="auto"/>
                <w:sz w:val="24"/>
              </w:rPr>
              <w:t>、二氧化硫、二氧化氮年均浓度分别为45μg/m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、72μg/m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、9μg/m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和33μg/m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；一氧化碳和臭氧日最大8小时滑动平均年均浓度（以下简称臭氧浓度）分别为0.7 mg/m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和107μg/m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。与2018年相比，二氧化硫和一氧化碳浓度持平，二氧化氮和PM</w:t>
            </w:r>
            <w:r>
              <w:rPr>
                <w:rFonts w:hint="default" w:ascii="Times New Roman" w:hAnsi="Times New Roman" w:eastAsia="宋体" w:cs="Times New Roman"/>
                <w:color w:val="auto"/>
                <w:sz w:val="24"/>
                <w:vertAlign w:val="subscript"/>
              </w:rPr>
              <w:t>2.5</w:t>
            </w:r>
            <w:r>
              <w:rPr>
                <w:rFonts w:hint="default" w:ascii="Times New Roman" w:hAnsi="Times New Roman" w:eastAsia="宋体" w:cs="Times New Roman"/>
                <w:color w:val="auto"/>
                <w:sz w:val="24"/>
              </w:rPr>
              <w:t>浓度分别下降5.7%和11.8%，PM</w:t>
            </w:r>
            <w:r>
              <w:rPr>
                <w:rFonts w:hint="default" w:ascii="Times New Roman" w:hAnsi="Times New Roman" w:eastAsia="宋体" w:cs="Times New Roman"/>
                <w:color w:val="auto"/>
                <w:sz w:val="24"/>
                <w:vertAlign w:val="subscript"/>
              </w:rPr>
              <w:t>10</w:t>
            </w:r>
            <w:r>
              <w:rPr>
                <w:rFonts w:hint="default" w:ascii="Times New Roman" w:hAnsi="Times New Roman" w:eastAsia="宋体" w:cs="Times New Roman"/>
                <w:color w:val="auto"/>
                <w:sz w:val="24"/>
              </w:rPr>
              <w:t>和臭氧浓度分别上升2.9%和7.0%。按照《环境空气质量标准》（GB3095-2012）二级标准进行年评价，PM</w:t>
            </w:r>
            <w:r>
              <w:rPr>
                <w:rFonts w:hint="default" w:ascii="Times New Roman" w:hAnsi="Times New Roman" w:eastAsia="宋体" w:cs="Times New Roman"/>
                <w:color w:val="auto"/>
                <w:sz w:val="24"/>
                <w:vertAlign w:val="subscript"/>
              </w:rPr>
              <w:t>2.5</w:t>
            </w:r>
            <w:r>
              <w:rPr>
                <w:rFonts w:hint="default" w:ascii="Times New Roman" w:hAnsi="Times New Roman" w:eastAsia="宋体" w:cs="Times New Roman"/>
                <w:color w:val="auto"/>
                <w:sz w:val="24"/>
              </w:rPr>
              <w:t>、PM</w:t>
            </w:r>
            <w:r>
              <w:rPr>
                <w:rFonts w:hint="default" w:ascii="Times New Roman" w:hAnsi="Times New Roman" w:eastAsia="宋体" w:cs="Times New Roman"/>
                <w:color w:val="auto"/>
                <w:sz w:val="24"/>
                <w:vertAlign w:val="subscript"/>
              </w:rPr>
              <w:t>10</w:t>
            </w:r>
            <w:r>
              <w:rPr>
                <w:rFonts w:hint="default" w:ascii="Times New Roman" w:hAnsi="Times New Roman" w:eastAsia="宋体" w:cs="Times New Roman"/>
                <w:color w:val="auto"/>
                <w:sz w:val="24"/>
              </w:rPr>
              <w:t>均未达标，空气质量总体未达标。</w:t>
            </w:r>
          </w:p>
          <w:p>
            <w:pPr>
              <w:tabs>
                <w:tab w:val="left" w:pos="1200"/>
              </w:tabs>
              <w:adjustRightInd w:val="0"/>
              <w:snapToGrid w:val="0"/>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8个辖市区环境空气质量总体均未达标，超标污染物为PM</w:t>
            </w:r>
            <w:r>
              <w:rPr>
                <w:rFonts w:hint="default" w:ascii="Times New Roman" w:hAnsi="Times New Roman" w:eastAsia="宋体" w:cs="Times New Roman"/>
                <w:color w:val="auto"/>
                <w:sz w:val="24"/>
                <w:vertAlign w:val="subscript"/>
              </w:rPr>
              <w:t>2.5</w:t>
            </w:r>
            <w:r>
              <w:rPr>
                <w:rFonts w:hint="default" w:ascii="Times New Roman" w:hAnsi="Times New Roman" w:eastAsia="宋体" w:cs="Times New Roman"/>
                <w:color w:val="auto"/>
                <w:sz w:val="24"/>
              </w:rPr>
              <w:t>、PM</w:t>
            </w:r>
            <w:r>
              <w:rPr>
                <w:rFonts w:hint="default" w:ascii="Times New Roman" w:hAnsi="Times New Roman" w:eastAsia="宋体" w:cs="Times New Roman"/>
                <w:color w:val="auto"/>
                <w:sz w:val="24"/>
                <w:vertAlign w:val="subscript"/>
              </w:rPr>
              <w:t>10</w:t>
            </w:r>
            <w:r>
              <w:rPr>
                <w:rFonts w:hint="default" w:ascii="Times New Roman" w:hAnsi="Times New Roman" w:eastAsia="宋体" w:cs="Times New Roman"/>
                <w:color w:val="auto"/>
                <w:sz w:val="24"/>
              </w:rPr>
              <w:t>、臭氧和二氧化氮。其中PM</w:t>
            </w:r>
            <w:r>
              <w:rPr>
                <w:rFonts w:hint="default" w:ascii="Times New Roman" w:hAnsi="Times New Roman" w:eastAsia="宋体" w:cs="Times New Roman"/>
                <w:color w:val="auto"/>
                <w:sz w:val="24"/>
                <w:vertAlign w:val="subscript"/>
              </w:rPr>
              <w:t>2.5</w:t>
            </w:r>
            <w:r>
              <w:rPr>
                <w:rFonts w:hint="default" w:ascii="Times New Roman" w:hAnsi="Times New Roman" w:eastAsia="宋体" w:cs="Times New Roman"/>
                <w:color w:val="auto"/>
                <w:sz w:val="24"/>
              </w:rPr>
              <w:t>浓度范围为41～46μg/m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与2018年相比，各辖市区均有所下降，降幅范围为4.7%～17.9%，其中丹徒降幅最大。8个辖市区环境空气质量优良天数比率范围为64.7%～81.0%，与2018年相比，京口、丹阳、扬中均有所上升，其中京口和扬中升幅最大，达5.2个百分点；其他辖市区均有所下降，其中句容降幅最大，达7.8个百分点。</w:t>
            </w:r>
          </w:p>
          <w:p>
            <w:pPr>
              <w:pStyle w:val="158"/>
              <w:keepNext w:val="0"/>
              <w:keepLines w:val="0"/>
              <w:pageBreakBefore w:val="0"/>
              <w:widowControl/>
              <w:kinsoku/>
              <w:wordWrap/>
              <w:overflowPunct/>
              <w:topLinePunct w:val="0"/>
              <w:autoSpaceDE/>
              <w:autoSpaceDN/>
              <w:bidi w:val="0"/>
              <w:adjustRightInd/>
              <w:snapToGrid/>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 xml:space="preserve"> 根据《环境影响评价技术导则—大气环境》（HJ2.2—2018）6.4.1.1判定，本项目所在地属于非达标区。</w:t>
            </w:r>
          </w:p>
          <w:p>
            <w:pPr>
              <w:pStyle w:val="158"/>
              <w:keepNext w:val="0"/>
              <w:keepLines w:val="0"/>
              <w:pageBreakBefore w:val="0"/>
              <w:widowControl/>
              <w:kinsoku/>
              <w:wordWrap/>
              <w:overflowPunct/>
              <w:topLinePunct w:val="0"/>
              <w:autoSpaceDE/>
              <w:autoSpaceDN/>
              <w:bidi w:val="0"/>
              <w:adjustRightInd/>
              <w:snapToGrid/>
              <w:textAlignment w:val="auto"/>
              <w:outlineLvl w:val="9"/>
              <w:rPr>
                <w:rFonts w:hint="default" w:ascii="Times New Roman" w:hAnsi="Times New Roman" w:eastAsia="宋体" w:cs="Times New Roman"/>
                <w:color w:val="auto"/>
                <w:sz w:val="24"/>
                <w:szCs w:val="24"/>
              </w:rPr>
            </w:pPr>
            <w:r>
              <w:rPr>
                <w:rFonts w:hint="eastAsia" w:eastAsia="宋体" w:cs="Times New Roman"/>
                <w:color w:val="auto"/>
                <w:sz w:val="24"/>
                <w:szCs w:val="24"/>
                <w:lang w:val="en-US" w:eastAsia="zh-CN"/>
              </w:rPr>
              <w:t>2、</w:t>
            </w:r>
            <w:r>
              <w:rPr>
                <w:rFonts w:hint="default" w:ascii="Times New Roman" w:hAnsi="Times New Roman" w:eastAsia="宋体" w:cs="Times New Roman"/>
                <w:color w:val="auto"/>
                <w:sz w:val="24"/>
                <w:szCs w:val="24"/>
              </w:rPr>
              <w:t>水环境质量</w:t>
            </w:r>
          </w:p>
          <w:p>
            <w:pPr>
              <w:pStyle w:val="158"/>
              <w:keepNext w:val="0"/>
              <w:keepLines w:val="0"/>
              <w:pageBreakBefore w:val="0"/>
              <w:widowControl/>
              <w:kinsoku/>
              <w:wordWrap/>
              <w:overflowPunct/>
              <w:topLinePunct w:val="0"/>
              <w:autoSpaceDE/>
              <w:autoSpaceDN/>
              <w:bidi w:val="0"/>
              <w:adjustRightInd/>
              <w:snapToGrid/>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rPr>
              <w:t>2019年，全市地表水环境质量总体为良好。列入国家《水污染防治行动计划》地表水环境质量考核的8个断面中，水质符合《地表水环境质量标准》（GB3838-2002）Ⅲ类的断面比例为87.5%，无劣V类断面。列入江苏省“十三五”水环境质量目标考核的20个流域地表水断面中（鹤溪河当年不纳入考核），水质符合Ⅲ类的断面比例为94.7%，无劣V类断面。</w:t>
            </w:r>
            <w:r>
              <w:rPr>
                <w:rFonts w:hint="default" w:ascii="Times New Roman" w:hAnsi="Times New Roman" w:eastAsia="宋体" w:cs="Times New Roman"/>
                <w:color w:val="auto"/>
                <w:sz w:val="24"/>
                <w:szCs w:val="24"/>
              </w:rPr>
              <w:t xml:space="preserve"> </w:t>
            </w:r>
          </w:p>
          <w:p>
            <w:pPr>
              <w:pStyle w:val="158"/>
              <w:keepNext w:val="0"/>
              <w:keepLines w:val="0"/>
              <w:pageBreakBefore w:val="0"/>
              <w:widowControl/>
              <w:kinsoku/>
              <w:wordWrap/>
              <w:overflowPunct/>
              <w:topLinePunct w:val="0"/>
              <w:autoSpaceDE/>
              <w:autoSpaceDN/>
              <w:bidi w:val="0"/>
              <w:adjustRightInd/>
              <w:snapToGrid/>
              <w:textAlignment w:val="auto"/>
              <w:outlineLvl w:val="9"/>
              <w:rPr>
                <w:rFonts w:hint="default" w:ascii="Times New Roman" w:hAnsi="Times New Roman" w:eastAsia="宋体" w:cs="Times New Roman"/>
                <w:color w:val="auto"/>
                <w:sz w:val="24"/>
                <w:szCs w:val="24"/>
              </w:rPr>
            </w:pPr>
            <w:r>
              <w:rPr>
                <w:rFonts w:hint="eastAsia" w:eastAsia="宋体" w:cs="Times New Roman"/>
                <w:color w:val="auto"/>
                <w:sz w:val="24"/>
                <w:szCs w:val="24"/>
                <w:lang w:val="en-US" w:eastAsia="zh-CN"/>
              </w:rPr>
              <w:t>3、</w:t>
            </w:r>
            <w:r>
              <w:rPr>
                <w:rFonts w:hint="default" w:ascii="Times New Roman" w:hAnsi="Times New Roman" w:eastAsia="宋体" w:cs="Times New Roman"/>
                <w:color w:val="auto"/>
                <w:sz w:val="24"/>
                <w:szCs w:val="24"/>
              </w:rPr>
              <w:t>土壤环境质量</w:t>
            </w:r>
          </w:p>
          <w:p>
            <w:pPr>
              <w:pStyle w:val="158"/>
              <w:keepNext w:val="0"/>
              <w:keepLines w:val="0"/>
              <w:pageBreakBefore w:val="0"/>
              <w:widowControl/>
              <w:kinsoku/>
              <w:wordWrap/>
              <w:overflowPunct/>
              <w:topLinePunct w:val="0"/>
              <w:autoSpaceDE/>
              <w:autoSpaceDN/>
              <w:bidi w:val="0"/>
              <w:adjustRightInd/>
              <w:snapToGrid/>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2019年，</w:t>
            </w:r>
            <w:r>
              <w:rPr>
                <w:rFonts w:hint="eastAsia" w:eastAsia="宋体" w:cs="Times New Roman"/>
                <w:color w:val="auto"/>
                <w:sz w:val="24"/>
                <w:szCs w:val="24"/>
                <w:lang w:val="en-US" w:eastAsia="zh-CN"/>
              </w:rPr>
              <w:t>镇江</w:t>
            </w:r>
            <w:r>
              <w:rPr>
                <w:rFonts w:hint="default" w:ascii="Times New Roman" w:hAnsi="Times New Roman" w:eastAsia="宋体" w:cs="Times New Roman"/>
                <w:color w:val="auto"/>
                <w:sz w:val="24"/>
                <w:szCs w:val="24"/>
              </w:rPr>
              <w:t xml:space="preserve">市对国家网11个土壤基础点位开展了土壤环境质量监测。11个土壤基础点位中，有9个符合《土壤环境质量农用地土壤污染风险管控标准（试行）》（GB15618-2018）风险筛选限值要求，达标率为81.8%。超标点位中，处于轻微污染、轻度污染点位个数各1个，占比均为9.1%，无中度污染和重度污染点位。无机超标项目主要为镉、铜和铅，有机超标项目为滴滴涕总量。 </w:t>
            </w:r>
          </w:p>
          <w:p>
            <w:pPr>
              <w:pStyle w:val="158"/>
              <w:keepNext w:val="0"/>
              <w:keepLines w:val="0"/>
              <w:pageBreakBefore w:val="0"/>
              <w:widowControl/>
              <w:kinsoku/>
              <w:wordWrap/>
              <w:overflowPunct/>
              <w:topLinePunct w:val="0"/>
              <w:autoSpaceDE/>
              <w:autoSpaceDN/>
              <w:bidi w:val="0"/>
              <w:adjustRightInd/>
              <w:snapToGrid/>
              <w:textAlignment w:val="auto"/>
              <w:outlineLvl w:val="9"/>
              <w:rPr>
                <w:rFonts w:hint="default" w:ascii="Times New Roman" w:hAnsi="Times New Roman" w:eastAsia="宋体" w:cs="Times New Roman"/>
                <w:color w:val="auto"/>
                <w:sz w:val="24"/>
                <w:szCs w:val="24"/>
              </w:rPr>
            </w:pPr>
            <w:r>
              <w:rPr>
                <w:rFonts w:hint="eastAsia" w:eastAsia="宋体" w:cs="Times New Roman"/>
                <w:color w:val="auto"/>
                <w:sz w:val="24"/>
                <w:szCs w:val="24"/>
                <w:lang w:val="en-US" w:eastAsia="zh-CN"/>
              </w:rPr>
              <w:t>4、</w:t>
            </w:r>
            <w:r>
              <w:rPr>
                <w:rFonts w:hint="default" w:ascii="Times New Roman" w:hAnsi="Times New Roman" w:eastAsia="宋体" w:cs="Times New Roman"/>
                <w:color w:val="auto"/>
                <w:sz w:val="24"/>
                <w:szCs w:val="24"/>
              </w:rPr>
              <w:t>声环境质量</w:t>
            </w:r>
          </w:p>
          <w:p>
            <w:pPr>
              <w:pStyle w:val="158"/>
              <w:keepNext w:val="0"/>
              <w:keepLines w:val="0"/>
              <w:pageBreakBefore w:val="0"/>
              <w:widowControl/>
              <w:kinsoku/>
              <w:wordWrap/>
              <w:overflowPunct/>
              <w:topLinePunct w:val="0"/>
              <w:autoSpaceDE/>
              <w:autoSpaceDN/>
              <w:bidi w:val="0"/>
              <w:adjustRightInd/>
              <w:snapToGrid/>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201</w:t>
            </w:r>
            <w:r>
              <w:rPr>
                <w:rFonts w:hint="eastAsia" w:eastAsia="宋体" w:cs="Times New Roman"/>
                <w:color w:val="auto"/>
                <w:sz w:val="24"/>
                <w:szCs w:val="24"/>
                <w:lang w:val="en-US" w:eastAsia="zh-CN"/>
              </w:rPr>
              <w:t>9</w:t>
            </w:r>
            <w:r>
              <w:rPr>
                <w:rFonts w:hint="default" w:ascii="Times New Roman" w:hAnsi="Times New Roman" w:eastAsia="宋体" w:cs="Times New Roman"/>
                <w:color w:val="auto"/>
                <w:sz w:val="24"/>
                <w:szCs w:val="24"/>
              </w:rPr>
              <w:t>年，全市声环境质量总体</w:t>
            </w:r>
            <w:r>
              <w:rPr>
                <w:rFonts w:hint="eastAsia" w:eastAsia="宋体" w:cs="Times New Roman"/>
                <w:color w:val="auto"/>
                <w:sz w:val="24"/>
                <w:szCs w:val="24"/>
                <w:lang w:val="en-US" w:eastAsia="zh-CN"/>
              </w:rPr>
              <w:t>较好</w:t>
            </w:r>
            <w:r>
              <w:rPr>
                <w:rFonts w:hint="default" w:ascii="Times New Roman" w:hAnsi="Times New Roman" w:eastAsia="宋体" w:cs="Times New Roman"/>
                <w:color w:val="auto"/>
                <w:sz w:val="24"/>
                <w:szCs w:val="24"/>
              </w:rPr>
              <w:t>，昼间和夜间声环境质量基本保持稳定。</w:t>
            </w:r>
          </w:p>
          <w:p>
            <w:pPr>
              <w:pStyle w:val="158"/>
              <w:keepNext w:val="0"/>
              <w:keepLines w:val="0"/>
              <w:pageBreakBefore w:val="0"/>
              <w:widowControl/>
              <w:kinsoku/>
              <w:wordWrap/>
              <w:overflowPunct/>
              <w:topLinePunct w:val="0"/>
              <w:autoSpaceDE/>
              <w:autoSpaceDN/>
              <w:bidi w:val="0"/>
              <w:adjustRightInd/>
              <w:snapToGrid/>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全市昼间区域声环境质量总体一般，噪声平均等效声级为57.6分贝，同比上升1.8分贝。市区及3个县级市均为三级（一般）水平。影响城市声环境质量的主要声源是社会生活噪声，占比为74.3%；其余依次为交通噪声（占比6.1%）、工业噪声（占比19.4%）和施工噪声（占比0.2%）。</w:t>
            </w:r>
          </w:p>
          <w:p>
            <w:pPr>
              <w:pStyle w:val="158"/>
              <w:keepNext w:val="0"/>
              <w:keepLines w:val="0"/>
              <w:pageBreakBefore w:val="0"/>
              <w:widowControl/>
              <w:kinsoku/>
              <w:wordWrap/>
              <w:overflowPunct/>
              <w:topLinePunct w:val="0"/>
              <w:autoSpaceDE/>
              <w:autoSpaceDN/>
              <w:bidi w:val="0"/>
              <w:adjustRightInd/>
              <w:snapToGrid/>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依据国家《声环境质量标准》(GB3096-2008)评价，全市1～4类功能区声环境昼间达标率分别为88.3%、89.5%、94.4%、92.8%，夜间达标率分别为87.1%、84.6%、89.6%、76.9%。</w:t>
            </w:r>
          </w:p>
          <w:p>
            <w:pPr>
              <w:pStyle w:val="158"/>
              <w:keepNext w:val="0"/>
              <w:keepLines w:val="0"/>
              <w:pageBreakBefore w:val="0"/>
              <w:widowControl/>
              <w:kinsoku/>
              <w:wordWrap/>
              <w:overflowPunct/>
              <w:topLinePunct w:val="0"/>
              <w:autoSpaceDE/>
              <w:autoSpaceDN/>
              <w:bidi w:val="0"/>
              <w:adjustRightInd/>
              <w:snapToGrid/>
              <w:textAlignment w:val="auto"/>
              <w:outlineLvl w:val="9"/>
              <w:rPr>
                <w:rFonts w:ascii="Times New Roman" w:hAnsi="Times New Roman"/>
                <w:color w:val="auto"/>
              </w:rPr>
            </w:pPr>
            <w:r>
              <w:rPr>
                <w:rFonts w:hint="default" w:ascii="Times New Roman" w:hAnsi="Times New Roman" w:eastAsia="宋体" w:cs="Times New Roman"/>
                <w:color w:val="auto"/>
                <w:sz w:val="24"/>
                <w:szCs w:val="24"/>
              </w:rPr>
              <w:t>全市道路交通噪声昼间平均等效声级为65.5分贝。监测路段中，噪声值超过70分贝的路段占监测总路长的4.1%。</w:t>
            </w:r>
          </w:p>
          <w:p>
            <w:pPr>
              <w:pStyle w:val="158"/>
              <w:keepNext w:val="0"/>
              <w:keepLines w:val="0"/>
              <w:pageBreakBefore w:val="0"/>
              <w:widowControl/>
              <w:kinsoku/>
              <w:wordWrap/>
              <w:overflowPunct/>
              <w:topLinePunct w:val="0"/>
              <w:autoSpaceDE/>
              <w:autoSpaceDN/>
              <w:bidi w:val="0"/>
              <w:adjustRightInd/>
              <w:snapToGrid/>
              <w:textAlignment w:val="auto"/>
              <w:outlineLvl w:val="9"/>
              <w:rPr>
                <w:rFonts w:hint="default" w:ascii="Times New Roman" w:hAnsi="Times New Roman" w:eastAsia="宋体" w:cs="Times New Roman"/>
                <w:color w:val="auto"/>
                <w:sz w:val="24"/>
                <w:szCs w:val="24"/>
                <w:lang w:val="en-US" w:eastAsia="zh-CN"/>
              </w:rPr>
            </w:pPr>
            <w:r>
              <w:rPr>
                <w:rFonts w:hint="eastAsia" w:eastAsia="宋体" w:cs="Times New Roman"/>
                <w:color w:val="auto"/>
                <w:sz w:val="24"/>
                <w:szCs w:val="24"/>
                <w:lang w:val="en-US" w:eastAsia="zh-CN"/>
              </w:rPr>
              <w:t>5、</w:t>
            </w:r>
            <w:r>
              <w:rPr>
                <w:rFonts w:hint="eastAsia" w:ascii="Times New Roman" w:hAnsi="Times New Roman" w:eastAsia="宋体" w:cs="Times New Roman"/>
                <w:color w:val="auto"/>
                <w:sz w:val="24"/>
                <w:szCs w:val="24"/>
                <w:lang w:val="en-US" w:eastAsia="zh-CN"/>
              </w:rPr>
              <w:t>生态环境</w:t>
            </w:r>
          </w:p>
          <w:p>
            <w:pPr>
              <w:pStyle w:val="158"/>
              <w:keepNext w:val="0"/>
              <w:keepLines w:val="0"/>
              <w:pageBreakBefore w:val="0"/>
              <w:widowControl/>
              <w:kinsoku/>
              <w:wordWrap/>
              <w:overflowPunct/>
              <w:topLinePunct w:val="0"/>
              <w:autoSpaceDE/>
              <w:autoSpaceDN/>
              <w:bidi w:val="0"/>
              <w:adjustRightInd/>
              <w:snapToGrid/>
              <w:textAlignment w:val="auto"/>
              <w:outlineLvl w:val="9"/>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生态遥感监测结果显示，2019年全市生态环境状况指数为63.1，各市、区生态环境状况指数处于59.9～64.9之间，生态环境状况均处于良好状态。与2018年相比，受水资源量显著下降影响，水网密度指数则明显下滑，全市生态环境状况指数略有下降，生态环境状况无明显变化。</w:t>
            </w:r>
          </w:p>
          <w:p>
            <w:pPr>
              <w:pStyle w:val="158"/>
              <w:keepNext w:val="0"/>
              <w:keepLines w:val="0"/>
              <w:pageBreakBefore w:val="0"/>
              <w:widowControl/>
              <w:kinsoku/>
              <w:wordWrap/>
              <w:overflowPunct/>
              <w:topLinePunct w:val="0"/>
              <w:autoSpaceDE/>
              <w:autoSpaceDN/>
              <w:bidi w:val="0"/>
              <w:adjustRightInd/>
              <w:snapToGrid/>
              <w:textAlignment w:val="auto"/>
              <w:outlineLvl w:val="9"/>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eastAsia="zh-CN"/>
              </w:rPr>
              <w:t>项目</w:t>
            </w:r>
            <w:r>
              <w:rPr>
                <w:rFonts w:hint="eastAsia" w:ascii="Times New Roman" w:hAnsi="Times New Roman" w:eastAsia="宋体" w:cs="Times New Roman"/>
                <w:color w:val="auto"/>
                <w:sz w:val="24"/>
                <w:szCs w:val="24"/>
                <w:lang w:val="en-US" w:eastAsia="zh-CN"/>
              </w:rPr>
              <w:t>所在地为国家能源集团谏壁发电厂贞观山灰场，</w:t>
            </w:r>
            <w:r>
              <w:rPr>
                <w:rFonts w:hint="eastAsia" w:ascii="Times New Roman" w:hAnsi="Times New Roman" w:eastAsia="宋体" w:cs="Times New Roman"/>
                <w:color w:val="auto"/>
                <w:sz w:val="24"/>
                <w:szCs w:val="24"/>
                <w:lang w:eastAsia="zh-CN"/>
              </w:rPr>
              <w:t>无珍稀动植物资源、自然保护区、风景旅游区、国家、省、市级重点保护单位和军事设施。</w:t>
            </w:r>
          </w:p>
          <w:p>
            <w:pPr>
              <w:adjustRightInd w:val="0"/>
              <w:snapToGrid w:val="0"/>
              <w:spacing w:line="360" w:lineRule="auto"/>
              <w:rPr>
                <w:color w:val="auto"/>
                <w:sz w:val="24"/>
                <w:highlight w:val="yellow"/>
                <w:lang w:eastAsia="zh-CN"/>
              </w:rPr>
            </w:pPr>
          </w:p>
          <w:p>
            <w:pPr>
              <w:adjustRightInd w:val="0"/>
              <w:snapToGrid w:val="0"/>
              <w:spacing w:line="360" w:lineRule="auto"/>
              <w:rPr>
                <w:color w:val="auto"/>
                <w:sz w:val="24"/>
                <w:highlight w:val="yellow"/>
                <w:lang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958" w:hRule="atLeast"/>
          <w:jc w:val="center"/>
        </w:trPr>
        <w:tc>
          <w:tcPr>
            <w:tcW w:w="5000" w:type="pct"/>
            <w:vAlign w:val="top"/>
          </w:tcPr>
          <w:p>
            <w:pPr>
              <w:spacing w:line="360" w:lineRule="auto"/>
              <w:rPr>
                <w:rFonts w:hint="default"/>
              </w:rPr>
            </w:pPr>
            <w:r>
              <w:rPr>
                <w:rFonts w:hint="default"/>
              </w:rPr>
              <w:t>主要环境保护目标(列出名单及保护级别)：</w:t>
            </w:r>
          </w:p>
          <w:p>
            <w:pPr>
              <w:pStyle w:val="149"/>
              <w:keepNext w:val="0"/>
              <w:keepLines w:val="0"/>
              <w:pageBreakBefore w:val="0"/>
              <w:widowControl w:val="0"/>
              <w:kinsoku/>
              <w:wordWrap/>
              <w:overflowPunct/>
              <w:topLinePunct w:val="0"/>
              <w:autoSpaceDE/>
              <w:autoSpaceDN/>
              <w:bidi w:val="0"/>
              <w:adjustRightInd w:val="0"/>
              <w:snapToGrid w:val="0"/>
              <w:textAlignment w:val="baseline"/>
              <w:rPr>
                <w:rFonts w:hint="default"/>
                <w:lang w:val="en-US" w:eastAsia="zh-CN"/>
              </w:rPr>
            </w:pPr>
            <w:r>
              <w:rPr>
                <w:rFonts w:hint="eastAsia"/>
                <w:lang w:val="en-US" w:eastAsia="zh-CN"/>
              </w:rPr>
              <w:t>灰场占地范围内有6户临时看鱼房，已废弃，无人居住，目前灰场正在进行加固工作，计划将6户临时看鱼房全部拆除。</w:t>
            </w:r>
          </w:p>
          <w:p>
            <w:pPr>
              <w:pStyle w:val="149"/>
              <w:keepNext w:val="0"/>
              <w:keepLines w:val="0"/>
              <w:pageBreakBefore w:val="0"/>
              <w:widowControl w:val="0"/>
              <w:kinsoku/>
              <w:wordWrap/>
              <w:overflowPunct/>
              <w:topLinePunct w:val="0"/>
              <w:autoSpaceDE/>
              <w:autoSpaceDN/>
              <w:bidi w:val="0"/>
              <w:adjustRightInd w:val="0"/>
              <w:snapToGrid w:val="0"/>
              <w:textAlignment w:val="baseline"/>
              <w:rPr>
                <w:rFonts w:hint="default"/>
              </w:rPr>
            </w:pPr>
            <w:r>
              <w:rPr>
                <w:rFonts w:hint="default"/>
              </w:rPr>
              <w:t>本工程生态评价范围为场界外300m范围，噪声评价范围为场界外200m范围</w:t>
            </w:r>
            <w:r>
              <w:rPr>
                <w:rFonts w:hint="eastAsia"/>
                <w:lang w:val="en-US" w:eastAsia="zh-CN"/>
              </w:rPr>
              <w:t>，</w:t>
            </w:r>
            <w:r>
              <w:rPr>
                <w:rFonts w:hint="default"/>
              </w:rPr>
              <w:t>评价范围内无环境保护目标。</w:t>
            </w:r>
          </w:p>
          <w:p>
            <w:pPr>
              <w:tabs>
                <w:tab w:val="left" w:pos="3570"/>
              </w:tabs>
              <w:spacing w:line="360" w:lineRule="auto"/>
              <w:rPr>
                <w:lang w:eastAsia="zh-CN"/>
              </w:rPr>
            </w:pPr>
          </w:p>
          <w:p>
            <w:pPr>
              <w:pStyle w:val="2"/>
              <w:rPr>
                <w:lang w:eastAsia="zh-CN"/>
              </w:rPr>
            </w:pPr>
          </w:p>
        </w:tc>
      </w:tr>
    </w:tbl>
    <w:p>
      <w:pPr>
        <w:spacing w:line="360" w:lineRule="auto"/>
        <w:outlineLvl w:val="0"/>
        <w:rPr>
          <w:b/>
          <w:color w:val="auto"/>
          <w:sz w:val="30"/>
          <w:highlight w:val="none"/>
          <w:lang w:eastAsia="zh-CN"/>
        </w:rPr>
      </w:pPr>
      <w:r>
        <w:rPr>
          <w:b/>
          <w:color w:val="auto"/>
          <w:sz w:val="30"/>
          <w:highlight w:val="yellow"/>
        </w:rPr>
        <w:br w:type="page"/>
      </w:r>
      <w:bookmarkStart w:id="20" w:name="_Toc11226"/>
      <w:r>
        <w:rPr>
          <w:rStyle w:val="171"/>
          <w:rFonts w:hint="eastAsia"/>
          <w:color w:val="auto"/>
          <w:lang w:val="en-US" w:eastAsia="zh-CN"/>
        </w:rPr>
        <w:t>四、评价适用标准</w:t>
      </w:r>
      <w:bookmarkEnd w:id="20"/>
    </w:p>
    <w:tbl>
      <w:tblPr>
        <w:tblStyle w:val="30"/>
        <w:tblW w:w="9071"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457"/>
        <w:gridCol w:w="8614"/>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672" w:hRule="atLeast"/>
          <w:jc w:val="center"/>
        </w:trPr>
        <w:tc>
          <w:tcPr>
            <w:tcW w:w="237" w:type="pct"/>
            <w:vAlign w:val="center"/>
          </w:tcPr>
          <w:p>
            <w:pPr>
              <w:spacing w:line="360" w:lineRule="auto"/>
              <w:jc w:val="center"/>
              <w:rPr>
                <w:b/>
                <w:color w:val="auto"/>
                <w:sz w:val="24"/>
                <w:highlight w:val="none"/>
                <w:lang w:eastAsia="zh-CN"/>
              </w:rPr>
            </w:pPr>
            <w:r>
              <w:rPr>
                <w:b/>
                <w:color w:val="auto"/>
                <w:sz w:val="24"/>
                <w:highlight w:val="none"/>
              </w:rPr>
              <w:t>环境</w:t>
            </w:r>
          </w:p>
          <w:p>
            <w:pPr>
              <w:spacing w:line="360" w:lineRule="auto"/>
              <w:jc w:val="center"/>
              <w:rPr>
                <w:b/>
                <w:color w:val="auto"/>
                <w:sz w:val="24"/>
                <w:highlight w:val="none"/>
                <w:lang w:eastAsia="zh-CN"/>
              </w:rPr>
            </w:pPr>
            <w:r>
              <w:rPr>
                <w:b/>
                <w:color w:val="auto"/>
                <w:sz w:val="24"/>
                <w:highlight w:val="none"/>
              </w:rPr>
              <w:t>质量</w:t>
            </w:r>
          </w:p>
          <w:p>
            <w:pPr>
              <w:spacing w:line="360" w:lineRule="auto"/>
              <w:jc w:val="center"/>
              <w:rPr>
                <w:b/>
                <w:color w:val="auto"/>
                <w:sz w:val="24"/>
                <w:highlight w:val="none"/>
                <w:lang w:eastAsia="zh-CN"/>
              </w:rPr>
            </w:pPr>
            <w:r>
              <w:rPr>
                <w:b/>
                <w:color w:val="auto"/>
                <w:sz w:val="24"/>
                <w:highlight w:val="none"/>
              </w:rPr>
              <w:t>标准</w:t>
            </w:r>
          </w:p>
        </w:tc>
        <w:tc>
          <w:tcPr>
            <w:tcW w:w="4762" w:type="pct"/>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80" w:firstLineChars="200"/>
              <w:jc w:val="both"/>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1、环境空气</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80" w:firstLineChars="200"/>
              <w:jc w:val="both"/>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本项目所在地属于环境空气二类功能区，执行《环境空气质量标准》(GB3095-2012)中的二级标准，标准值详见表11。</w:t>
            </w:r>
          </w:p>
          <w:p>
            <w:pPr>
              <w:keepNext w:val="0"/>
              <w:keepLines w:val="0"/>
              <w:pageBreakBefore w:val="0"/>
              <w:widowControl w:val="0"/>
              <w:kinsoku/>
              <w:wordWrap/>
              <w:overflowPunct/>
              <w:topLinePunct w:val="0"/>
              <w:autoSpaceDE/>
              <w:autoSpaceDN/>
              <w:bidi w:val="0"/>
              <w:adjustRightInd w:val="0"/>
              <w:snapToGrid w:val="0"/>
              <w:spacing w:line="360" w:lineRule="auto"/>
              <w:ind w:left="0"/>
              <w:jc w:val="center"/>
              <w:textAlignment w:val="auto"/>
              <w:rPr>
                <w:rFonts w:hint="default" w:ascii="Times New Roman" w:hAnsi="Times New Roman" w:cs="Times New Roman"/>
                <w:b/>
                <w:bCs/>
                <w:color w:val="auto"/>
                <w:sz w:val="24"/>
                <w:szCs w:val="24"/>
              </w:rPr>
            </w:pPr>
            <w:r>
              <w:rPr>
                <w:rFonts w:hint="default" w:ascii="Times New Roman" w:hAnsi="Times New Roman" w:cs="Times New Roman"/>
                <w:color w:val="auto"/>
                <w:sz w:val="24"/>
                <w:szCs w:val="24"/>
                <w:lang w:val="en-US" w:eastAsia="zh-CN"/>
              </w:rPr>
              <w:t>表11</w:t>
            </w:r>
            <w:r>
              <w:rPr>
                <w:rFonts w:hint="eastAsia" w:cs="Times New Roman"/>
                <w:color w:val="auto"/>
                <w:sz w:val="24"/>
                <w:szCs w:val="24"/>
                <w:lang w:val="en-US" w:eastAsia="zh-CN"/>
              </w:rPr>
              <w:t xml:space="preserve">  </w:t>
            </w:r>
            <w:r>
              <w:rPr>
                <w:rFonts w:hint="default" w:ascii="Times New Roman" w:hAnsi="Times New Roman" w:cs="Times New Roman"/>
                <w:color w:val="auto"/>
                <w:sz w:val="24"/>
                <w:szCs w:val="24"/>
                <w:lang w:val="en-US" w:eastAsia="zh-CN"/>
              </w:rPr>
              <w:t>环境空气质量标准表</w:t>
            </w:r>
            <w:r>
              <w:rPr>
                <w:rFonts w:hint="default" w:ascii="Times New Roman" w:hAnsi="Times New Roman" w:cs="Times New Roman"/>
                <w:b/>
                <w:bCs/>
                <w:color w:val="auto"/>
                <w:sz w:val="24"/>
                <w:szCs w:val="24"/>
              </w:rPr>
              <w:t xml:space="preserve">  </w:t>
            </w:r>
            <w:r>
              <w:rPr>
                <w:rFonts w:hint="default" w:ascii="Times New Roman" w:hAnsi="Times New Roman" w:cs="Times New Roman"/>
                <w:color w:val="auto"/>
                <w:sz w:val="24"/>
                <w:szCs w:val="24"/>
              </w:rPr>
              <w:t xml:space="preserve"> 单位：µg/Nm</w:t>
            </w:r>
            <w:r>
              <w:rPr>
                <w:rFonts w:hint="default" w:ascii="Times New Roman" w:hAnsi="Times New Roman" w:cs="Times New Roman"/>
                <w:color w:val="auto"/>
                <w:sz w:val="24"/>
                <w:szCs w:val="24"/>
                <w:vertAlign w:val="superscript"/>
              </w:rPr>
              <w:t>3</w:t>
            </w:r>
          </w:p>
          <w:tbl>
            <w:tblPr>
              <w:tblStyle w:val="30"/>
              <w:tblW w:w="4998" w:type="pct"/>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3264"/>
              <w:gridCol w:w="3075"/>
              <w:gridCol w:w="205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cantSplit/>
                <w:trHeight w:val="44" w:hRule="atLeast"/>
              </w:trPr>
              <w:tc>
                <w:tcPr>
                  <w:tcW w:w="1945" w:type="pct"/>
                  <w:noWrap w:val="0"/>
                  <w:vAlign w:val="center"/>
                </w:tcPr>
                <w:p>
                  <w:pPr>
                    <w:spacing w:line="240" w:lineRule="exact"/>
                    <w:jc w:val="center"/>
                    <w:rPr>
                      <w:b/>
                      <w:bCs/>
                      <w:color w:val="auto"/>
                      <w:szCs w:val="21"/>
                    </w:rPr>
                  </w:pPr>
                  <w:r>
                    <w:rPr>
                      <w:b/>
                      <w:bCs/>
                      <w:color w:val="auto"/>
                      <w:szCs w:val="21"/>
                    </w:rPr>
                    <w:t>污染物名称</w:t>
                  </w:r>
                </w:p>
              </w:tc>
              <w:tc>
                <w:tcPr>
                  <w:tcW w:w="1832" w:type="pct"/>
                  <w:noWrap w:val="0"/>
                  <w:vAlign w:val="center"/>
                </w:tcPr>
                <w:p>
                  <w:pPr>
                    <w:spacing w:line="240" w:lineRule="exact"/>
                    <w:jc w:val="center"/>
                    <w:rPr>
                      <w:b/>
                      <w:bCs/>
                      <w:color w:val="auto"/>
                      <w:szCs w:val="21"/>
                    </w:rPr>
                  </w:pPr>
                  <w:r>
                    <w:rPr>
                      <w:b/>
                      <w:bCs/>
                      <w:color w:val="auto"/>
                      <w:szCs w:val="21"/>
                    </w:rPr>
                    <w:t>取值时间</w:t>
                  </w:r>
                </w:p>
              </w:tc>
              <w:tc>
                <w:tcPr>
                  <w:tcW w:w="1222" w:type="pct"/>
                  <w:noWrap w:val="0"/>
                  <w:vAlign w:val="center"/>
                </w:tcPr>
                <w:p>
                  <w:pPr>
                    <w:spacing w:line="240" w:lineRule="exact"/>
                    <w:jc w:val="center"/>
                    <w:rPr>
                      <w:b/>
                      <w:bCs/>
                      <w:color w:val="auto"/>
                      <w:szCs w:val="21"/>
                    </w:rPr>
                  </w:pPr>
                  <w:r>
                    <w:rPr>
                      <w:b/>
                      <w:bCs/>
                      <w:color w:val="auto"/>
                      <w:szCs w:val="21"/>
                    </w:rPr>
                    <w:t>浓度限值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cantSplit/>
                <w:trHeight w:val="70" w:hRule="atLeast"/>
              </w:trPr>
              <w:tc>
                <w:tcPr>
                  <w:tcW w:w="1945" w:type="pct"/>
                  <w:vMerge w:val="restart"/>
                  <w:noWrap w:val="0"/>
                  <w:vAlign w:val="center"/>
                </w:tcPr>
                <w:p>
                  <w:pPr>
                    <w:spacing w:line="240" w:lineRule="exact"/>
                    <w:jc w:val="center"/>
                    <w:rPr>
                      <w:color w:val="auto"/>
                      <w:szCs w:val="21"/>
                    </w:rPr>
                  </w:pPr>
                  <w:r>
                    <w:rPr>
                      <w:color w:val="auto"/>
                      <w:szCs w:val="21"/>
                    </w:rPr>
                    <w:t>PM</w:t>
                  </w:r>
                  <w:r>
                    <w:rPr>
                      <w:color w:val="auto"/>
                      <w:szCs w:val="21"/>
                      <w:vertAlign w:val="subscript"/>
                    </w:rPr>
                    <w:t>10</w:t>
                  </w:r>
                </w:p>
              </w:tc>
              <w:tc>
                <w:tcPr>
                  <w:tcW w:w="1832" w:type="pct"/>
                  <w:noWrap w:val="0"/>
                  <w:vAlign w:val="center"/>
                </w:tcPr>
                <w:p>
                  <w:pPr>
                    <w:spacing w:line="240" w:lineRule="exact"/>
                    <w:jc w:val="center"/>
                    <w:rPr>
                      <w:color w:val="auto"/>
                      <w:szCs w:val="21"/>
                    </w:rPr>
                  </w:pPr>
                  <w:r>
                    <w:rPr>
                      <w:color w:val="auto"/>
                      <w:szCs w:val="21"/>
                    </w:rPr>
                    <w:t>年平均</w:t>
                  </w:r>
                </w:p>
              </w:tc>
              <w:tc>
                <w:tcPr>
                  <w:tcW w:w="1222" w:type="pct"/>
                  <w:noWrap w:val="0"/>
                  <w:vAlign w:val="center"/>
                </w:tcPr>
                <w:p>
                  <w:pPr>
                    <w:spacing w:line="240" w:lineRule="exact"/>
                    <w:jc w:val="center"/>
                    <w:rPr>
                      <w:color w:val="auto"/>
                      <w:szCs w:val="21"/>
                    </w:rPr>
                  </w:pPr>
                  <w:r>
                    <w:rPr>
                      <w:color w:val="auto"/>
                      <w:szCs w:val="21"/>
                    </w:rPr>
                    <w:t>70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cantSplit/>
                <w:trHeight w:val="70" w:hRule="atLeast"/>
              </w:trPr>
              <w:tc>
                <w:tcPr>
                  <w:tcW w:w="1945" w:type="pct"/>
                  <w:vMerge w:val="continue"/>
                  <w:noWrap w:val="0"/>
                  <w:vAlign w:val="center"/>
                </w:tcPr>
                <w:p>
                  <w:pPr>
                    <w:spacing w:line="240" w:lineRule="exact"/>
                    <w:jc w:val="center"/>
                    <w:rPr>
                      <w:color w:val="auto"/>
                      <w:szCs w:val="21"/>
                    </w:rPr>
                  </w:pPr>
                </w:p>
              </w:tc>
              <w:tc>
                <w:tcPr>
                  <w:tcW w:w="1832" w:type="pct"/>
                  <w:noWrap w:val="0"/>
                  <w:vAlign w:val="center"/>
                </w:tcPr>
                <w:p>
                  <w:pPr>
                    <w:spacing w:line="240" w:lineRule="exact"/>
                    <w:jc w:val="center"/>
                    <w:rPr>
                      <w:color w:val="auto"/>
                      <w:szCs w:val="21"/>
                    </w:rPr>
                  </w:pPr>
                  <w:r>
                    <w:rPr>
                      <w:color w:val="auto"/>
                      <w:szCs w:val="21"/>
                    </w:rPr>
                    <w:t>24h平均</w:t>
                  </w:r>
                </w:p>
              </w:tc>
              <w:tc>
                <w:tcPr>
                  <w:tcW w:w="1222" w:type="pct"/>
                  <w:noWrap w:val="0"/>
                  <w:vAlign w:val="center"/>
                </w:tcPr>
                <w:p>
                  <w:pPr>
                    <w:spacing w:line="240" w:lineRule="exact"/>
                    <w:jc w:val="center"/>
                    <w:rPr>
                      <w:color w:val="auto"/>
                      <w:szCs w:val="21"/>
                    </w:rPr>
                  </w:pPr>
                  <w:r>
                    <w:rPr>
                      <w:color w:val="auto"/>
                      <w:szCs w:val="21"/>
                    </w:rPr>
                    <w:t>150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cantSplit/>
                <w:trHeight w:val="70" w:hRule="atLeast"/>
              </w:trPr>
              <w:tc>
                <w:tcPr>
                  <w:tcW w:w="1945" w:type="pct"/>
                  <w:vMerge w:val="restart"/>
                  <w:noWrap w:val="0"/>
                  <w:vAlign w:val="center"/>
                </w:tcPr>
                <w:p>
                  <w:pPr>
                    <w:spacing w:line="240" w:lineRule="exact"/>
                    <w:jc w:val="center"/>
                    <w:rPr>
                      <w:color w:val="auto"/>
                      <w:szCs w:val="21"/>
                    </w:rPr>
                  </w:pPr>
                  <w:r>
                    <w:rPr>
                      <w:color w:val="auto"/>
                      <w:szCs w:val="21"/>
                    </w:rPr>
                    <w:t>PM</w:t>
                  </w:r>
                  <w:r>
                    <w:rPr>
                      <w:color w:val="auto"/>
                      <w:szCs w:val="21"/>
                      <w:vertAlign w:val="subscript"/>
                    </w:rPr>
                    <w:t>2.5</w:t>
                  </w:r>
                </w:p>
              </w:tc>
              <w:tc>
                <w:tcPr>
                  <w:tcW w:w="1832" w:type="pct"/>
                  <w:noWrap w:val="0"/>
                  <w:vAlign w:val="center"/>
                </w:tcPr>
                <w:p>
                  <w:pPr>
                    <w:spacing w:line="240" w:lineRule="exact"/>
                    <w:jc w:val="center"/>
                    <w:rPr>
                      <w:color w:val="auto"/>
                      <w:szCs w:val="21"/>
                    </w:rPr>
                  </w:pPr>
                  <w:r>
                    <w:rPr>
                      <w:color w:val="auto"/>
                      <w:szCs w:val="21"/>
                    </w:rPr>
                    <w:t>年平均</w:t>
                  </w:r>
                </w:p>
              </w:tc>
              <w:tc>
                <w:tcPr>
                  <w:tcW w:w="1222" w:type="pct"/>
                  <w:noWrap w:val="0"/>
                  <w:vAlign w:val="center"/>
                </w:tcPr>
                <w:p>
                  <w:pPr>
                    <w:spacing w:line="240" w:lineRule="exact"/>
                    <w:jc w:val="center"/>
                    <w:rPr>
                      <w:color w:val="auto"/>
                      <w:szCs w:val="21"/>
                    </w:rPr>
                  </w:pPr>
                  <w:r>
                    <w:rPr>
                      <w:color w:val="auto"/>
                      <w:szCs w:val="21"/>
                    </w:rPr>
                    <w:t>35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cantSplit/>
                <w:trHeight w:val="70" w:hRule="atLeast"/>
              </w:trPr>
              <w:tc>
                <w:tcPr>
                  <w:tcW w:w="1945" w:type="pct"/>
                  <w:vMerge w:val="continue"/>
                  <w:noWrap w:val="0"/>
                  <w:vAlign w:val="center"/>
                </w:tcPr>
                <w:p>
                  <w:pPr>
                    <w:spacing w:line="240" w:lineRule="exact"/>
                    <w:jc w:val="center"/>
                    <w:rPr>
                      <w:color w:val="auto"/>
                      <w:szCs w:val="21"/>
                    </w:rPr>
                  </w:pPr>
                </w:p>
              </w:tc>
              <w:tc>
                <w:tcPr>
                  <w:tcW w:w="1832" w:type="pct"/>
                  <w:noWrap w:val="0"/>
                  <w:vAlign w:val="center"/>
                </w:tcPr>
                <w:p>
                  <w:pPr>
                    <w:spacing w:line="240" w:lineRule="exact"/>
                    <w:jc w:val="center"/>
                    <w:rPr>
                      <w:color w:val="auto"/>
                      <w:szCs w:val="21"/>
                    </w:rPr>
                  </w:pPr>
                  <w:r>
                    <w:rPr>
                      <w:color w:val="auto"/>
                      <w:szCs w:val="21"/>
                    </w:rPr>
                    <w:t>24h平均</w:t>
                  </w:r>
                </w:p>
              </w:tc>
              <w:tc>
                <w:tcPr>
                  <w:tcW w:w="1222" w:type="pct"/>
                  <w:noWrap w:val="0"/>
                  <w:vAlign w:val="center"/>
                </w:tcPr>
                <w:p>
                  <w:pPr>
                    <w:spacing w:line="240" w:lineRule="exact"/>
                    <w:jc w:val="center"/>
                    <w:rPr>
                      <w:color w:val="auto"/>
                      <w:szCs w:val="21"/>
                    </w:rPr>
                  </w:pPr>
                  <w:r>
                    <w:rPr>
                      <w:color w:val="auto"/>
                      <w:szCs w:val="21"/>
                    </w:rPr>
                    <w:t>75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cantSplit/>
                <w:trHeight w:val="70" w:hRule="atLeast"/>
              </w:trPr>
              <w:tc>
                <w:tcPr>
                  <w:tcW w:w="1945" w:type="pct"/>
                  <w:vMerge w:val="restart"/>
                  <w:noWrap w:val="0"/>
                  <w:vAlign w:val="center"/>
                </w:tcPr>
                <w:p>
                  <w:pPr>
                    <w:spacing w:line="240" w:lineRule="exact"/>
                    <w:jc w:val="center"/>
                    <w:rPr>
                      <w:color w:val="auto"/>
                      <w:szCs w:val="21"/>
                    </w:rPr>
                  </w:pPr>
                  <w:r>
                    <w:rPr>
                      <w:color w:val="auto"/>
                      <w:szCs w:val="21"/>
                    </w:rPr>
                    <w:t>NO</w:t>
                  </w:r>
                  <w:r>
                    <w:rPr>
                      <w:color w:val="auto"/>
                      <w:szCs w:val="21"/>
                      <w:vertAlign w:val="subscript"/>
                    </w:rPr>
                    <w:t>2</w:t>
                  </w:r>
                </w:p>
              </w:tc>
              <w:tc>
                <w:tcPr>
                  <w:tcW w:w="1832" w:type="pct"/>
                  <w:noWrap w:val="0"/>
                  <w:vAlign w:val="center"/>
                </w:tcPr>
                <w:p>
                  <w:pPr>
                    <w:spacing w:line="240" w:lineRule="exact"/>
                    <w:jc w:val="center"/>
                    <w:rPr>
                      <w:color w:val="auto"/>
                      <w:szCs w:val="21"/>
                    </w:rPr>
                  </w:pPr>
                  <w:r>
                    <w:rPr>
                      <w:color w:val="auto"/>
                      <w:szCs w:val="21"/>
                    </w:rPr>
                    <w:t>年平均</w:t>
                  </w:r>
                </w:p>
              </w:tc>
              <w:tc>
                <w:tcPr>
                  <w:tcW w:w="1222" w:type="pct"/>
                  <w:noWrap w:val="0"/>
                  <w:vAlign w:val="center"/>
                </w:tcPr>
                <w:p>
                  <w:pPr>
                    <w:spacing w:line="240" w:lineRule="exact"/>
                    <w:jc w:val="center"/>
                    <w:rPr>
                      <w:color w:val="auto"/>
                      <w:szCs w:val="21"/>
                    </w:rPr>
                  </w:pPr>
                  <w:r>
                    <w:rPr>
                      <w:color w:val="auto"/>
                      <w:szCs w:val="21"/>
                    </w:rPr>
                    <w:t>40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cantSplit/>
                <w:trHeight w:val="70" w:hRule="atLeast"/>
              </w:trPr>
              <w:tc>
                <w:tcPr>
                  <w:tcW w:w="1945" w:type="pct"/>
                  <w:vMerge w:val="continue"/>
                  <w:noWrap w:val="0"/>
                  <w:vAlign w:val="center"/>
                </w:tcPr>
                <w:p>
                  <w:pPr>
                    <w:spacing w:line="240" w:lineRule="exact"/>
                    <w:jc w:val="center"/>
                    <w:rPr>
                      <w:color w:val="auto"/>
                      <w:szCs w:val="21"/>
                    </w:rPr>
                  </w:pPr>
                </w:p>
              </w:tc>
              <w:tc>
                <w:tcPr>
                  <w:tcW w:w="1832" w:type="pct"/>
                  <w:noWrap w:val="0"/>
                  <w:vAlign w:val="center"/>
                </w:tcPr>
                <w:p>
                  <w:pPr>
                    <w:spacing w:line="240" w:lineRule="exact"/>
                    <w:jc w:val="center"/>
                    <w:rPr>
                      <w:color w:val="auto"/>
                      <w:szCs w:val="21"/>
                    </w:rPr>
                  </w:pPr>
                  <w:r>
                    <w:rPr>
                      <w:color w:val="auto"/>
                      <w:szCs w:val="21"/>
                    </w:rPr>
                    <w:t>24h平均</w:t>
                  </w:r>
                </w:p>
              </w:tc>
              <w:tc>
                <w:tcPr>
                  <w:tcW w:w="1222" w:type="pct"/>
                  <w:noWrap w:val="0"/>
                  <w:vAlign w:val="center"/>
                </w:tcPr>
                <w:p>
                  <w:pPr>
                    <w:spacing w:line="240" w:lineRule="exact"/>
                    <w:jc w:val="center"/>
                    <w:rPr>
                      <w:color w:val="auto"/>
                      <w:szCs w:val="21"/>
                    </w:rPr>
                  </w:pPr>
                  <w:r>
                    <w:rPr>
                      <w:color w:val="auto"/>
                      <w:szCs w:val="21"/>
                    </w:rPr>
                    <w:t>80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cantSplit/>
                <w:trHeight w:val="70" w:hRule="atLeast"/>
              </w:trPr>
              <w:tc>
                <w:tcPr>
                  <w:tcW w:w="1945" w:type="pct"/>
                  <w:vMerge w:val="continue"/>
                  <w:noWrap w:val="0"/>
                  <w:vAlign w:val="center"/>
                </w:tcPr>
                <w:p>
                  <w:pPr>
                    <w:spacing w:line="240" w:lineRule="exact"/>
                    <w:jc w:val="center"/>
                    <w:rPr>
                      <w:color w:val="auto"/>
                      <w:szCs w:val="21"/>
                    </w:rPr>
                  </w:pPr>
                </w:p>
              </w:tc>
              <w:tc>
                <w:tcPr>
                  <w:tcW w:w="1832" w:type="pct"/>
                  <w:noWrap w:val="0"/>
                  <w:vAlign w:val="center"/>
                </w:tcPr>
                <w:p>
                  <w:pPr>
                    <w:spacing w:line="240" w:lineRule="exact"/>
                    <w:jc w:val="center"/>
                    <w:rPr>
                      <w:color w:val="auto"/>
                      <w:szCs w:val="21"/>
                    </w:rPr>
                  </w:pPr>
                  <w:r>
                    <w:rPr>
                      <w:color w:val="auto"/>
                      <w:szCs w:val="21"/>
                    </w:rPr>
                    <w:t>1小时平均</w:t>
                  </w:r>
                </w:p>
              </w:tc>
              <w:tc>
                <w:tcPr>
                  <w:tcW w:w="1222" w:type="pct"/>
                  <w:noWrap w:val="0"/>
                  <w:vAlign w:val="center"/>
                </w:tcPr>
                <w:p>
                  <w:pPr>
                    <w:spacing w:line="240" w:lineRule="exact"/>
                    <w:jc w:val="center"/>
                    <w:rPr>
                      <w:color w:val="auto"/>
                      <w:szCs w:val="21"/>
                    </w:rPr>
                  </w:pPr>
                  <w:r>
                    <w:rPr>
                      <w:color w:val="auto"/>
                      <w:szCs w:val="21"/>
                    </w:rPr>
                    <w:t>200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cantSplit/>
                <w:trHeight w:val="70" w:hRule="atLeast"/>
              </w:trPr>
              <w:tc>
                <w:tcPr>
                  <w:tcW w:w="1945" w:type="pct"/>
                  <w:vMerge w:val="restart"/>
                  <w:noWrap w:val="0"/>
                  <w:vAlign w:val="center"/>
                </w:tcPr>
                <w:p>
                  <w:pPr>
                    <w:spacing w:line="240" w:lineRule="exact"/>
                    <w:jc w:val="center"/>
                    <w:rPr>
                      <w:color w:val="auto"/>
                      <w:szCs w:val="21"/>
                    </w:rPr>
                  </w:pPr>
                  <w:r>
                    <w:rPr>
                      <w:color w:val="auto"/>
                      <w:szCs w:val="21"/>
                    </w:rPr>
                    <w:t>SO</w:t>
                  </w:r>
                  <w:r>
                    <w:rPr>
                      <w:color w:val="auto"/>
                      <w:szCs w:val="21"/>
                      <w:vertAlign w:val="subscript"/>
                    </w:rPr>
                    <w:t>2</w:t>
                  </w:r>
                </w:p>
              </w:tc>
              <w:tc>
                <w:tcPr>
                  <w:tcW w:w="1832" w:type="pct"/>
                  <w:noWrap w:val="0"/>
                  <w:vAlign w:val="center"/>
                </w:tcPr>
                <w:p>
                  <w:pPr>
                    <w:spacing w:line="240" w:lineRule="exact"/>
                    <w:jc w:val="center"/>
                    <w:rPr>
                      <w:color w:val="auto"/>
                      <w:szCs w:val="21"/>
                    </w:rPr>
                  </w:pPr>
                  <w:r>
                    <w:rPr>
                      <w:color w:val="auto"/>
                      <w:szCs w:val="21"/>
                    </w:rPr>
                    <w:t>年平均</w:t>
                  </w:r>
                </w:p>
              </w:tc>
              <w:tc>
                <w:tcPr>
                  <w:tcW w:w="1222" w:type="pct"/>
                  <w:noWrap w:val="0"/>
                  <w:vAlign w:val="center"/>
                </w:tcPr>
                <w:p>
                  <w:pPr>
                    <w:spacing w:line="240" w:lineRule="exact"/>
                    <w:jc w:val="center"/>
                    <w:rPr>
                      <w:color w:val="auto"/>
                      <w:szCs w:val="21"/>
                    </w:rPr>
                  </w:pPr>
                  <w:r>
                    <w:rPr>
                      <w:color w:val="auto"/>
                      <w:szCs w:val="21"/>
                    </w:rPr>
                    <w:t>60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cantSplit/>
                <w:trHeight w:val="70" w:hRule="atLeast"/>
              </w:trPr>
              <w:tc>
                <w:tcPr>
                  <w:tcW w:w="1945" w:type="pct"/>
                  <w:vMerge w:val="continue"/>
                  <w:noWrap w:val="0"/>
                  <w:vAlign w:val="center"/>
                </w:tcPr>
                <w:p>
                  <w:pPr>
                    <w:spacing w:line="240" w:lineRule="exact"/>
                    <w:jc w:val="center"/>
                    <w:rPr>
                      <w:color w:val="auto"/>
                      <w:szCs w:val="21"/>
                    </w:rPr>
                  </w:pPr>
                </w:p>
              </w:tc>
              <w:tc>
                <w:tcPr>
                  <w:tcW w:w="1832" w:type="pct"/>
                  <w:noWrap w:val="0"/>
                  <w:vAlign w:val="center"/>
                </w:tcPr>
                <w:p>
                  <w:pPr>
                    <w:spacing w:line="240" w:lineRule="exact"/>
                    <w:jc w:val="center"/>
                    <w:rPr>
                      <w:color w:val="auto"/>
                      <w:szCs w:val="21"/>
                    </w:rPr>
                  </w:pPr>
                  <w:r>
                    <w:rPr>
                      <w:color w:val="auto"/>
                      <w:szCs w:val="21"/>
                    </w:rPr>
                    <w:t>日平均</w:t>
                  </w:r>
                </w:p>
              </w:tc>
              <w:tc>
                <w:tcPr>
                  <w:tcW w:w="1222" w:type="pct"/>
                  <w:noWrap w:val="0"/>
                  <w:vAlign w:val="center"/>
                </w:tcPr>
                <w:p>
                  <w:pPr>
                    <w:spacing w:line="240" w:lineRule="exact"/>
                    <w:jc w:val="center"/>
                    <w:rPr>
                      <w:color w:val="auto"/>
                      <w:szCs w:val="21"/>
                    </w:rPr>
                  </w:pPr>
                  <w:r>
                    <w:rPr>
                      <w:color w:val="auto"/>
                      <w:szCs w:val="21"/>
                    </w:rPr>
                    <w:t>150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cantSplit/>
                <w:trHeight w:val="70" w:hRule="atLeast"/>
              </w:trPr>
              <w:tc>
                <w:tcPr>
                  <w:tcW w:w="1945" w:type="pct"/>
                  <w:vMerge w:val="continue"/>
                  <w:noWrap w:val="0"/>
                  <w:vAlign w:val="center"/>
                </w:tcPr>
                <w:p>
                  <w:pPr>
                    <w:spacing w:line="240" w:lineRule="exact"/>
                    <w:jc w:val="center"/>
                    <w:rPr>
                      <w:color w:val="auto"/>
                      <w:szCs w:val="21"/>
                    </w:rPr>
                  </w:pPr>
                </w:p>
              </w:tc>
              <w:tc>
                <w:tcPr>
                  <w:tcW w:w="1832" w:type="pct"/>
                  <w:noWrap w:val="0"/>
                  <w:vAlign w:val="center"/>
                </w:tcPr>
                <w:p>
                  <w:pPr>
                    <w:spacing w:line="240" w:lineRule="exact"/>
                    <w:jc w:val="center"/>
                    <w:rPr>
                      <w:color w:val="auto"/>
                      <w:szCs w:val="21"/>
                    </w:rPr>
                  </w:pPr>
                  <w:r>
                    <w:rPr>
                      <w:color w:val="auto"/>
                      <w:szCs w:val="21"/>
                    </w:rPr>
                    <w:t>1小时平均</w:t>
                  </w:r>
                </w:p>
              </w:tc>
              <w:tc>
                <w:tcPr>
                  <w:tcW w:w="1222" w:type="pct"/>
                  <w:noWrap w:val="0"/>
                  <w:vAlign w:val="center"/>
                </w:tcPr>
                <w:p>
                  <w:pPr>
                    <w:spacing w:line="240" w:lineRule="exact"/>
                    <w:jc w:val="center"/>
                    <w:rPr>
                      <w:color w:val="auto"/>
                      <w:szCs w:val="21"/>
                    </w:rPr>
                  </w:pPr>
                  <w:r>
                    <w:rPr>
                      <w:color w:val="auto"/>
                      <w:szCs w:val="21"/>
                    </w:rPr>
                    <w:t>500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cantSplit/>
                <w:trHeight w:val="70" w:hRule="atLeast"/>
              </w:trPr>
              <w:tc>
                <w:tcPr>
                  <w:tcW w:w="1945" w:type="pct"/>
                  <w:vMerge w:val="restart"/>
                  <w:noWrap w:val="0"/>
                  <w:vAlign w:val="center"/>
                </w:tcPr>
                <w:p>
                  <w:pPr>
                    <w:spacing w:line="240" w:lineRule="exact"/>
                    <w:jc w:val="center"/>
                    <w:rPr>
                      <w:color w:val="auto"/>
                      <w:szCs w:val="21"/>
                    </w:rPr>
                  </w:pPr>
                  <w:r>
                    <w:rPr>
                      <w:color w:val="auto"/>
                      <w:szCs w:val="21"/>
                    </w:rPr>
                    <w:t>O</w:t>
                  </w:r>
                  <w:r>
                    <w:rPr>
                      <w:color w:val="auto"/>
                      <w:szCs w:val="21"/>
                      <w:vertAlign w:val="subscript"/>
                    </w:rPr>
                    <w:t>3</w:t>
                  </w:r>
                </w:p>
              </w:tc>
              <w:tc>
                <w:tcPr>
                  <w:tcW w:w="1832" w:type="pct"/>
                  <w:noWrap w:val="0"/>
                  <w:vAlign w:val="center"/>
                </w:tcPr>
                <w:p>
                  <w:pPr>
                    <w:spacing w:line="240" w:lineRule="exact"/>
                    <w:jc w:val="center"/>
                    <w:rPr>
                      <w:color w:val="auto"/>
                      <w:szCs w:val="21"/>
                    </w:rPr>
                  </w:pPr>
                  <w:r>
                    <w:rPr>
                      <w:color w:val="auto"/>
                      <w:szCs w:val="21"/>
                    </w:rPr>
                    <w:t>8小时平均</w:t>
                  </w:r>
                </w:p>
              </w:tc>
              <w:tc>
                <w:tcPr>
                  <w:tcW w:w="1222" w:type="pct"/>
                  <w:noWrap w:val="0"/>
                  <w:vAlign w:val="center"/>
                </w:tcPr>
                <w:p>
                  <w:pPr>
                    <w:spacing w:line="240" w:lineRule="exact"/>
                    <w:jc w:val="center"/>
                    <w:rPr>
                      <w:color w:val="auto"/>
                      <w:szCs w:val="21"/>
                    </w:rPr>
                  </w:pPr>
                  <w:r>
                    <w:rPr>
                      <w:rFonts w:hint="eastAsia"/>
                      <w:color w:val="auto"/>
                      <w:szCs w:val="21"/>
                    </w:rPr>
                    <w:t>1</w:t>
                  </w:r>
                  <w:r>
                    <w:rPr>
                      <w:color w:val="auto"/>
                      <w:szCs w:val="21"/>
                    </w:rPr>
                    <w:t>60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cantSplit/>
                <w:trHeight w:val="70" w:hRule="atLeast"/>
              </w:trPr>
              <w:tc>
                <w:tcPr>
                  <w:tcW w:w="1945" w:type="pct"/>
                  <w:vMerge w:val="continue"/>
                  <w:noWrap w:val="0"/>
                  <w:vAlign w:val="center"/>
                </w:tcPr>
                <w:p>
                  <w:pPr>
                    <w:spacing w:line="240" w:lineRule="exact"/>
                    <w:jc w:val="center"/>
                    <w:rPr>
                      <w:color w:val="auto"/>
                      <w:szCs w:val="21"/>
                    </w:rPr>
                  </w:pPr>
                </w:p>
              </w:tc>
              <w:tc>
                <w:tcPr>
                  <w:tcW w:w="1832" w:type="pct"/>
                  <w:noWrap w:val="0"/>
                  <w:vAlign w:val="center"/>
                </w:tcPr>
                <w:p>
                  <w:pPr>
                    <w:spacing w:line="240" w:lineRule="exact"/>
                    <w:jc w:val="center"/>
                    <w:rPr>
                      <w:color w:val="auto"/>
                      <w:szCs w:val="21"/>
                    </w:rPr>
                  </w:pPr>
                  <w:r>
                    <w:rPr>
                      <w:color w:val="auto"/>
                      <w:szCs w:val="21"/>
                    </w:rPr>
                    <w:t>1小时平均</w:t>
                  </w:r>
                </w:p>
              </w:tc>
              <w:tc>
                <w:tcPr>
                  <w:tcW w:w="1222" w:type="pct"/>
                  <w:noWrap w:val="0"/>
                  <w:vAlign w:val="center"/>
                </w:tcPr>
                <w:p>
                  <w:pPr>
                    <w:spacing w:line="240" w:lineRule="exact"/>
                    <w:jc w:val="center"/>
                    <w:rPr>
                      <w:color w:val="auto"/>
                      <w:szCs w:val="21"/>
                    </w:rPr>
                  </w:pPr>
                  <w:r>
                    <w:rPr>
                      <w:rFonts w:hint="eastAsia"/>
                      <w:color w:val="auto"/>
                      <w:szCs w:val="21"/>
                    </w:rPr>
                    <w:t>2</w:t>
                  </w:r>
                  <w:r>
                    <w:rPr>
                      <w:color w:val="auto"/>
                      <w:szCs w:val="21"/>
                    </w:rPr>
                    <w:t>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cantSplit/>
                <w:trHeight w:val="70" w:hRule="atLeast"/>
              </w:trPr>
              <w:tc>
                <w:tcPr>
                  <w:tcW w:w="1945" w:type="pct"/>
                  <w:noWrap w:val="0"/>
                  <w:vAlign w:val="center"/>
                </w:tcPr>
                <w:p>
                  <w:pPr>
                    <w:spacing w:line="240" w:lineRule="exact"/>
                    <w:jc w:val="center"/>
                    <w:rPr>
                      <w:color w:val="auto"/>
                      <w:szCs w:val="21"/>
                    </w:rPr>
                  </w:pPr>
                  <w:r>
                    <w:rPr>
                      <w:color w:val="auto"/>
                      <w:szCs w:val="21"/>
                    </w:rPr>
                    <w:t>CO</w:t>
                  </w:r>
                </w:p>
              </w:tc>
              <w:tc>
                <w:tcPr>
                  <w:tcW w:w="1832" w:type="pct"/>
                  <w:noWrap w:val="0"/>
                  <w:vAlign w:val="center"/>
                </w:tcPr>
                <w:p>
                  <w:pPr>
                    <w:spacing w:line="240" w:lineRule="exact"/>
                    <w:jc w:val="center"/>
                    <w:rPr>
                      <w:color w:val="auto"/>
                      <w:szCs w:val="21"/>
                    </w:rPr>
                  </w:pPr>
                  <w:r>
                    <w:rPr>
                      <w:color w:val="auto"/>
                      <w:szCs w:val="21"/>
                    </w:rPr>
                    <w:t>24小时平均</w:t>
                  </w:r>
                </w:p>
              </w:tc>
              <w:tc>
                <w:tcPr>
                  <w:tcW w:w="1222" w:type="pct"/>
                  <w:noWrap w:val="0"/>
                  <w:vAlign w:val="center"/>
                </w:tcPr>
                <w:p>
                  <w:pPr>
                    <w:spacing w:line="240" w:lineRule="exact"/>
                    <w:jc w:val="center"/>
                    <w:rPr>
                      <w:color w:val="auto"/>
                      <w:szCs w:val="21"/>
                    </w:rPr>
                  </w:pPr>
                  <w:r>
                    <w:rPr>
                      <w:rFonts w:hint="eastAsia"/>
                      <w:color w:val="auto"/>
                      <w:szCs w:val="21"/>
                    </w:rPr>
                    <w:t>4</w:t>
                  </w:r>
                  <w:r>
                    <w:rPr>
                      <w:color w:val="auto"/>
                      <w:szCs w:val="21"/>
                    </w:rPr>
                    <w:t>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cantSplit/>
                <w:trHeight w:val="70" w:hRule="atLeast"/>
              </w:trPr>
              <w:tc>
                <w:tcPr>
                  <w:tcW w:w="1945" w:type="pct"/>
                  <w:vMerge w:val="restart"/>
                  <w:noWrap w:val="0"/>
                  <w:vAlign w:val="center"/>
                </w:tcPr>
                <w:p>
                  <w:pPr>
                    <w:spacing w:line="240" w:lineRule="exact"/>
                    <w:jc w:val="center"/>
                    <w:rPr>
                      <w:rFonts w:hint="eastAsia" w:eastAsia="宋体"/>
                      <w:color w:val="auto"/>
                      <w:szCs w:val="21"/>
                      <w:lang w:val="en-US" w:eastAsia="zh-CN"/>
                    </w:rPr>
                  </w:pPr>
                  <w:r>
                    <w:rPr>
                      <w:rFonts w:hint="eastAsia"/>
                      <w:color w:val="auto"/>
                      <w:szCs w:val="21"/>
                      <w:lang w:val="en-US" w:eastAsia="zh-CN"/>
                    </w:rPr>
                    <w:t>TSP</w:t>
                  </w:r>
                </w:p>
              </w:tc>
              <w:tc>
                <w:tcPr>
                  <w:tcW w:w="1832" w:type="pct"/>
                  <w:noWrap w:val="0"/>
                  <w:vAlign w:val="center"/>
                </w:tcPr>
                <w:p>
                  <w:pPr>
                    <w:spacing w:line="240" w:lineRule="exact"/>
                    <w:jc w:val="center"/>
                    <w:rPr>
                      <w:rFonts w:ascii="Times New Roman" w:hAnsi="Times New Roman" w:eastAsia="宋体" w:cs="Times New Roman"/>
                      <w:color w:val="auto"/>
                      <w:kern w:val="2"/>
                      <w:sz w:val="21"/>
                      <w:szCs w:val="21"/>
                      <w:lang w:val="en-GB" w:eastAsia="zh-TW" w:bidi="ar-SA"/>
                    </w:rPr>
                  </w:pPr>
                  <w:r>
                    <w:rPr>
                      <w:color w:val="auto"/>
                      <w:szCs w:val="21"/>
                    </w:rPr>
                    <w:t>年平均</w:t>
                  </w:r>
                </w:p>
              </w:tc>
              <w:tc>
                <w:tcPr>
                  <w:tcW w:w="1222" w:type="pct"/>
                  <w:noWrap w:val="0"/>
                  <w:vAlign w:val="center"/>
                </w:tcPr>
                <w:p>
                  <w:pPr>
                    <w:spacing w:line="240" w:lineRule="exact"/>
                    <w:jc w:val="center"/>
                    <w:rPr>
                      <w:rFonts w:hint="default" w:eastAsia="宋体"/>
                      <w:color w:val="auto"/>
                      <w:szCs w:val="21"/>
                      <w:lang w:val="en-US" w:eastAsia="zh-CN"/>
                    </w:rPr>
                  </w:pPr>
                  <w:r>
                    <w:rPr>
                      <w:rFonts w:hint="eastAsia"/>
                      <w:color w:val="auto"/>
                      <w:szCs w:val="21"/>
                      <w:lang w:val="en-US" w:eastAsia="zh-CN"/>
                    </w:rPr>
                    <w:t>200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cantSplit/>
                <w:trHeight w:val="70" w:hRule="atLeast"/>
              </w:trPr>
              <w:tc>
                <w:tcPr>
                  <w:tcW w:w="1945" w:type="pct"/>
                  <w:vMerge w:val="continue"/>
                  <w:noWrap w:val="0"/>
                  <w:vAlign w:val="center"/>
                </w:tcPr>
                <w:p>
                  <w:pPr>
                    <w:spacing w:line="240" w:lineRule="exact"/>
                    <w:jc w:val="center"/>
                    <w:rPr>
                      <w:rFonts w:hint="eastAsia"/>
                      <w:color w:val="auto"/>
                      <w:szCs w:val="21"/>
                      <w:lang w:val="en-US" w:eastAsia="zh-CN"/>
                    </w:rPr>
                  </w:pPr>
                </w:p>
              </w:tc>
              <w:tc>
                <w:tcPr>
                  <w:tcW w:w="1832" w:type="pct"/>
                  <w:noWrap w:val="0"/>
                  <w:vAlign w:val="center"/>
                </w:tcPr>
                <w:p>
                  <w:pPr>
                    <w:spacing w:line="240" w:lineRule="exact"/>
                    <w:jc w:val="center"/>
                    <w:rPr>
                      <w:rFonts w:ascii="Times New Roman" w:hAnsi="Times New Roman" w:eastAsia="宋体" w:cs="Times New Roman"/>
                      <w:color w:val="auto"/>
                      <w:kern w:val="2"/>
                      <w:sz w:val="21"/>
                      <w:szCs w:val="21"/>
                      <w:lang w:val="en-GB" w:eastAsia="zh-TW" w:bidi="ar-SA"/>
                    </w:rPr>
                  </w:pPr>
                  <w:r>
                    <w:rPr>
                      <w:color w:val="auto"/>
                      <w:szCs w:val="21"/>
                    </w:rPr>
                    <w:t>24h平均</w:t>
                  </w:r>
                </w:p>
              </w:tc>
              <w:tc>
                <w:tcPr>
                  <w:tcW w:w="1222" w:type="pct"/>
                  <w:noWrap w:val="0"/>
                  <w:vAlign w:val="center"/>
                </w:tcPr>
                <w:p>
                  <w:pPr>
                    <w:spacing w:line="240" w:lineRule="exact"/>
                    <w:jc w:val="center"/>
                    <w:rPr>
                      <w:rFonts w:hint="default" w:eastAsia="宋体"/>
                      <w:color w:val="auto"/>
                      <w:szCs w:val="21"/>
                      <w:lang w:val="en-US" w:eastAsia="zh-CN"/>
                    </w:rPr>
                  </w:pPr>
                  <w:r>
                    <w:rPr>
                      <w:rFonts w:hint="eastAsia"/>
                      <w:color w:val="auto"/>
                      <w:szCs w:val="21"/>
                      <w:lang w:val="en-US" w:eastAsia="zh-CN"/>
                    </w:rPr>
                    <w:t>300</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color w:val="auto"/>
                <w:sz w:val="24"/>
                <w:lang w:val="en-US"/>
              </w:rPr>
            </w:pPr>
            <w:r>
              <w:rPr>
                <w:color w:val="auto"/>
                <w:sz w:val="24"/>
              </w:rPr>
              <w:t>2、</w:t>
            </w:r>
            <w:r>
              <w:rPr>
                <w:rFonts w:hint="eastAsia"/>
                <w:color w:val="auto"/>
                <w:sz w:val="24"/>
                <w:lang w:val="en-US" w:eastAsia="zh-CN"/>
              </w:rPr>
              <w:t>环境噪声</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rPr>
            </w:pPr>
            <w:r>
              <w:rPr>
                <w:rFonts w:hint="eastAsia"/>
                <w:color w:val="auto"/>
                <w:sz w:val="24"/>
              </w:rPr>
              <w:t>本项目区位置属于声环境</w:t>
            </w:r>
            <w:r>
              <w:rPr>
                <w:color w:val="auto"/>
                <w:sz w:val="24"/>
              </w:rPr>
              <w:t>3</w:t>
            </w:r>
            <w:r>
              <w:rPr>
                <w:rFonts w:hint="eastAsia"/>
                <w:color w:val="auto"/>
                <w:sz w:val="24"/>
              </w:rPr>
              <w:t>类功能区，环境噪声执行《声环境质量标准》（GB3096-2008）</w:t>
            </w:r>
            <w:r>
              <w:rPr>
                <w:color w:val="auto"/>
                <w:sz w:val="24"/>
              </w:rPr>
              <w:t>3</w:t>
            </w:r>
            <w:r>
              <w:rPr>
                <w:rFonts w:hint="eastAsia"/>
                <w:color w:val="auto"/>
                <w:sz w:val="24"/>
              </w:rPr>
              <w:t>类区标准，即昼间不超过</w:t>
            </w:r>
            <w:r>
              <w:rPr>
                <w:color w:val="auto"/>
                <w:sz w:val="24"/>
              </w:rPr>
              <w:t>65</w:t>
            </w:r>
            <w:r>
              <w:rPr>
                <w:rFonts w:hint="eastAsia"/>
                <w:color w:val="auto"/>
                <w:sz w:val="24"/>
              </w:rPr>
              <w:t>dB(A)，夜间不超过</w:t>
            </w:r>
            <w:r>
              <w:rPr>
                <w:color w:val="auto"/>
                <w:sz w:val="24"/>
              </w:rPr>
              <w:t>55</w:t>
            </w:r>
            <w:r>
              <w:rPr>
                <w:rFonts w:hint="eastAsia"/>
                <w:color w:val="auto"/>
                <w:sz w:val="24"/>
              </w:rPr>
              <w:t>dB(A)。</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eastAsia="宋体"/>
                <w:color w:val="auto"/>
                <w:sz w:val="24"/>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321" w:hRule="atLeast"/>
          <w:jc w:val="center"/>
        </w:trPr>
        <w:tc>
          <w:tcPr>
            <w:tcW w:w="237" w:type="pct"/>
            <w:vAlign w:val="center"/>
          </w:tcPr>
          <w:p>
            <w:pPr>
              <w:spacing w:line="480" w:lineRule="auto"/>
              <w:jc w:val="center"/>
              <w:rPr>
                <w:b/>
                <w:color w:val="auto"/>
                <w:sz w:val="24"/>
                <w:highlight w:val="none"/>
              </w:rPr>
            </w:pPr>
            <w:r>
              <w:rPr>
                <w:b/>
                <w:color w:val="auto"/>
                <w:sz w:val="24"/>
                <w:highlight w:val="none"/>
              </w:rPr>
              <w:t>污</w:t>
            </w:r>
          </w:p>
          <w:p>
            <w:pPr>
              <w:spacing w:line="480" w:lineRule="auto"/>
              <w:jc w:val="center"/>
              <w:rPr>
                <w:b/>
                <w:color w:val="auto"/>
                <w:sz w:val="24"/>
                <w:highlight w:val="none"/>
              </w:rPr>
            </w:pPr>
            <w:r>
              <w:rPr>
                <w:b/>
                <w:color w:val="auto"/>
                <w:sz w:val="24"/>
                <w:highlight w:val="none"/>
              </w:rPr>
              <w:t>染</w:t>
            </w:r>
          </w:p>
          <w:p>
            <w:pPr>
              <w:spacing w:line="480" w:lineRule="auto"/>
              <w:jc w:val="center"/>
              <w:rPr>
                <w:b/>
                <w:color w:val="auto"/>
                <w:sz w:val="24"/>
                <w:highlight w:val="none"/>
              </w:rPr>
            </w:pPr>
            <w:r>
              <w:rPr>
                <w:b/>
                <w:color w:val="auto"/>
                <w:sz w:val="24"/>
                <w:highlight w:val="none"/>
              </w:rPr>
              <w:t>物</w:t>
            </w:r>
          </w:p>
          <w:p>
            <w:pPr>
              <w:spacing w:line="480" w:lineRule="auto"/>
              <w:jc w:val="center"/>
              <w:rPr>
                <w:b/>
                <w:color w:val="auto"/>
                <w:sz w:val="24"/>
                <w:highlight w:val="none"/>
              </w:rPr>
            </w:pPr>
            <w:r>
              <w:rPr>
                <w:b/>
                <w:color w:val="auto"/>
                <w:sz w:val="24"/>
                <w:highlight w:val="none"/>
              </w:rPr>
              <w:t>排</w:t>
            </w:r>
          </w:p>
          <w:p>
            <w:pPr>
              <w:spacing w:line="480" w:lineRule="auto"/>
              <w:jc w:val="center"/>
              <w:rPr>
                <w:b/>
                <w:color w:val="auto"/>
                <w:sz w:val="24"/>
                <w:highlight w:val="none"/>
                <w:lang w:eastAsia="zh-CN"/>
              </w:rPr>
            </w:pPr>
            <w:r>
              <w:rPr>
                <w:b/>
                <w:color w:val="auto"/>
                <w:sz w:val="24"/>
                <w:highlight w:val="none"/>
              </w:rPr>
              <w:t>放</w:t>
            </w:r>
          </w:p>
          <w:p>
            <w:pPr>
              <w:spacing w:line="480" w:lineRule="auto"/>
              <w:jc w:val="center"/>
              <w:rPr>
                <w:b/>
                <w:color w:val="auto"/>
                <w:sz w:val="24"/>
                <w:highlight w:val="none"/>
                <w:lang w:eastAsia="zh-CN"/>
              </w:rPr>
            </w:pPr>
            <w:r>
              <w:rPr>
                <w:b/>
                <w:color w:val="auto"/>
                <w:sz w:val="24"/>
                <w:highlight w:val="none"/>
              </w:rPr>
              <w:t>标</w:t>
            </w:r>
          </w:p>
          <w:p>
            <w:pPr>
              <w:spacing w:line="480" w:lineRule="auto"/>
              <w:jc w:val="center"/>
              <w:rPr>
                <w:b/>
                <w:color w:val="auto"/>
                <w:sz w:val="24"/>
                <w:highlight w:val="none"/>
                <w:lang w:eastAsia="zh-CN"/>
              </w:rPr>
            </w:pPr>
            <w:r>
              <w:rPr>
                <w:b/>
                <w:color w:val="auto"/>
                <w:sz w:val="24"/>
                <w:highlight w:val="none"/>
              </w:rPr>
              <w:t>准</w:t>
            </w:r>
          </w:p>
        </w:tc>
        <w:tc>
          <w:tcPr>
            <w:tcW w:w="4762" w:type="pct"/>
            <w:vAlign w:val="center"/>
          </w:tcPr>
          <w:p>
            <w:pPr>
              <w:keepNext w:val="0"/>
              <w:keepLines w:val="0"/>
              <w:pageBreakBefore w:val="0"/>
              <w:kinsoku/>
              <w:wordWrap/>
              <w:overflowPunct/>
              <w:topLinePunct w:val="0"/>
              <w:autoSpaceDE/>
              <w:autoSpaceDN/>
              <w:bidi w:val="0"/>
              <w:adjustRightInd w:val="0"/>
              <w:snapToGrid w:val="0"/>
              <w:spacing w:line="360" w:lineRule="auto"/>
              <w:ind w:right="0" w:rightChars="0"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1、废气</w:t>
            </w:r>
          </w:p>
          <w:p>
            <w:pPr>
              <w:keepNext w:val="0"/>
              <w:keepLines w:val="0"/>
              <w:pageBreakBefore w:val="0"/>
              <w:kinsoku/>
              <w:wordWrap/>
              <w:overflowPunct/>
              <w:topLinePunct w:val="0"/>
              <w:autoSpaceDE/>
              <w:autoSpaceDN/>
              <w:bidi w:val="0"/>
              <w:adjustRightInd w:val="0"/>
              <w:snapToGrid w:val="0"/>
              <w:spacing w:line="360" w:lineRule="auto"/>
              <w:ind w:right="0" w:rightChars="0" w:firstLine="480" w:firstLineChars="200"/>
              <w:textAlignment w:val="auto"/>
              <w:rPr>
                <w:rFonts w:hint="eastAsia" w:ascii="Times New Roman" w:hAnsi="Times New Roman" w:eastAsia="宋体" w:cs="Times New Roman"/>
                <w:color w:val="auto"/>
                <w:sz w:val="24"/>
                <w:szCs w:val="20"/>
                <w:lang w:eastAsia="zh-CN"/>
              </w:rPr>
            </w:pPr>
            <w:r>
              <w:rPr>
                <w:rFonts w:hint="default" w:ascii="Times New Roman" w:hAnsi="Times New Roman" w:eastAsia="宋体" w:cs="Times New Roman"/>
                <w:color w:val="auto"/>
                <w:sz w:val="24"/>
              </w:rPr>
              <w:t>《大气污染物综合排放标准》（GB16297-1996）新污染源二级标准，</w:t>
            </w:r>
            <w:r>
              <w:rPr>
                <w:rFonts w:hint="default" w:ascii="Times New Roman" w:hAnsi="Times New Roman" w:eastAsia="宋体" w:cs="Times New Roman"/>
                <w:color w:val="auto"/>
                <w:sz w:val="24"/>
                <w:szCs w:val="20"/>
              </w:rPr>
              <w:t>施工场界外粉尘无组织排放监控浓度小于1.0mg/m</w:t>
            </w:r>
            <w:r>
              <w:rPr>
                <w:rFonts w:hint="default" w:ascii="Times New Roman" w:hAnsi="Times New Roman" w:eastAsia="宋体" w:cs="Times New Roman"/>
                <w:color w:val="auto"/>
                <w:sz w:val="24"/>
                <w:szCs w:val="20"/>
                <w:vertAlign w:val="superscript"/>
              </w:rPr>
              <w:t>3</w:t>
            </w:r>
            <w:r>
              <w:rPr>
                <w:rFonts w:hint="eastAsia" w:cs="Times New Roman"/>
                <w:color w:val="auto"/>
                <w:sz w:val="24"/>
                <w:szCs w:val="20"/>
                <w:vertAlign w:val="baseline"/>
                <w:lang w:eastAsia="zh-CN"/>
              </w:rPr>
              <w:t>。</w:t>
            </w:r>
          </w:p>
          <w:p>
            <w:pPr>
              <w:keepNext w:val="0"/>
              <w:keepLines w:val="0"/>
              <w:pageBreakBefore w:val="0"/>
              <w:kinsoku/>
              <w:wordWrap/>
              <w:overflowPunct/>
              <w:topLinePunct w:val="0"/>
              <w:autoSpaceDE/>
              <w:autoSpaceDN/>
              <w:bidi w:val="0"/>
              <w:adjustRightInd w:val="0"/>
              <w:snapToGrid w:val="0"/>
              <w:spacing w:line="360" w:lineRule="auto"/>
              <w:ind w:right="0" w:rightChars="0"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2、噪声</w:t>
            </w:r>
          </w:p>
          <w:p>
            <w:pPr>
              <w:keepNext w:val="0"/>
              <w:keepLines w:val="0"/>
              <w:pageBreakBefore w:val="0"/>
              <w:kinsoku/>
              <w:wordWrap/>
              <w:overflowPunct/>
              <w:topLinePunct w:val="0"/>
              <w:autoSpaceDE/>
              <w:autoSpaceDN/>
              <w:bidi w:val="0"/>
              <w:adjustRightInd w:val="0"/>
              <w:snapToGrid w:val="0"/>
              <w:spacing w:line="360" w:lineRule="auto"/>
              <w:ind w:right="0" w:rightChars="0"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本工程厂界执行《工业企业厂界环境噪声排放标准》（GB12348-2008）中3类标准，即昼间不超过65dB(A)，夜间不超过55dB(A)。</w:t>
            </w:r>
          </w:p>
          <w:p>
            <w:pPr>
              <w:keepNext w:val="0"/>
              <w:keepLines w:val="0"/>
              <w:pageBreakBefore w:val="0"/>
              <w:kinsoku/>
              <w:wordWrap/>
              <w:overflowPunct/>
              <w:topLinePunct w:val="0"/>
              <w:autoSpaceDE/>
              <w:autoSpaceDN/>
              <w:bidi w:val="0"/>
              <w:adjustRightInd w:val="0"/>
              <w:snapToGrid w:val="0"/>
              <w:spacing w:line="360" w:lineRule="auto"/>
              <w:ind w:right="0" w:rightChars="0" w:firstLine="480" w:firstLineChars="200"/>
              <w:textAlignment w:val="auto"/>
              <w:rPr>
                <w:rFonts w:hint="default" w:ascii="Times New Roman" w:hAnsi="Times New Roman" w:eastAsia="宋体" w:cs="Times New Roman"/>
                <w:b/>
                <w:color w:val="auto"/>
                <w:sz w:val="24"/>
              </w:rPr>
            </w:pPr>
            <w:r>
              <w:rPr>
                <w:rFonts w:hint="default" w:ascii="Times New Roman" w:hAnsi="Times New Roman" w:eastAsia="宋体" w:cs="Times New Roman"/>
                <w:color w:val="auto"/>
                <w:sz w:val="24"/>
              </w:rPr>
              <w:t>本工程建设施工厂界噪声排放标准执行《建筑施工场界环境噪声排放标准》（GB12523-2011），标准值详见表</w:t>
            </w:r>
            <w:r>
              <w:rPr>
                <w:rFonts w:hint="eastAsia" w:cs="Times New Roman"/>
                <w:color w:val="auto"/>
                <w:sz w:val="24"/>
                <w:lang w:val="en-US" w:eastAsia="zh-CN"/>
              </w:rPr>
              <w:t>12</w:t>
            </w:r>
            <w:r>
              <w:rPr>
                <w:rFonts w:hint="default" w:ascii="Times New Roman" w:hAnsi="Times New Roman" w:eastAsia="宋体" w:cs="Times New Roman"/>
                <w:color w:val="auto"/>
                <w:sz w:val="24"/>
              </w:rPr>
              <w:t>。</w:t>
            </w:r>
          </w:p>
          <w:p>
            <w:pPr>
              <w:keepNext w:val="0"/>
              <w:keepLines w:val="0"/>
              <w:pageBreakBefore w:val="0"/>
              <w:widowControl/>
              <w:kinsoku/>
              <w:wordWrap/>
              <w:overflowPunct/>
              <w:topLinePunct w:val="0"/>
              <w:autoSpaceDE/>
              <w:autoSpaceDN/>
              <w:bidi w:val="0"/>
              <w:adjustRightInd w:val="0"/>
              <w:snapToGrid w:val="0"/>
              <w:spacing w:line="360" w:lineRule="auto"/>
              <w:ind w:right="0" w:rightChars="0" w:firstLine="0" w:firstLineChars="0"/>
              <w:jc w:val="center"/>
              <w:textAlignment w:val="auto"/>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表</w:t>
            </w:r>
            <w:r>
              <w:rPr>
                <w:rFonts w:hint="eastAsia" w:cs="Times New Roman"/>
                <w:b/>
                <w:color w:val="auto"/>
                <w:sz w:val="24"/>
                <w:lang w:val="en-US" w:eastAsia="zh-CN"/>
              </w:rPr>
              <w:t>12</w:t>
            </w:r>
            <w:r>
              <w:rPr>
                <w:rFonts w:hint="default" w:ascii="Times New Roman" w:hAnsi="Times New Roman" w:eastAsia="宋体" w:cs="Times New Roman"/>
                <w:b/>
                <w:color w:val="auto"/>
                <w:sz w:val="24"/>
              </w:rPr>
              <w:t xml:space="preserve">  建筑施工场界环境噪声排放限值</w:t>
            </w:r>
          </w:p>
          <w:tbl>
            <w:tblPr>
              <w:tblStyle w:val="30"/>
              <w:tblW w:w="5000"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4195"/>
              <w:gridCol w:w="4198"/>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97" w:hRule="atLeast"/>
                <w:jc w:val="center"/>
              </w:trPr>
              <w:tc>
                <w:tcPr>
                  <w:tcW w:w="5000" w:type="pct"/>
                  <w:gridSpan w:val="2"/>
                  <w:vAlign w:val="center"/>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噪声限值  等效声级L</w:t>
                  </w:r>
                  <w:r>
                    <w:rPr>
                      <w:rFonts w:hint="default" w:ascii="Times New Roman" w:hAnsi="Times New Roman" w:eastAsia="宋体" w:cs="Times New Roman"/>
                      <w:color w:val="auto"/>
                      <w:szCs w:val="21"/>
                      <w:vertAlign w:val="subscript"/>
                    </w:rPr>
                    <w:t>Aeq</w:t>
                  </w:r>
                  <w:r>
                    <w:rPr>
                      <w:rFonts w:hint="default" w:ascii="Times New Roman" w:hAnsi="Times New Roman" w:eastAsia="宋体" w:cs="Times New Roman"/>
                      <w:color w:val="auto"/>
                      <w:szCs w:val="21"/>
                    </w:rPr>
                    <w:t>：dB(A)</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15" w:hRule="atLeast"/>
                <w:jc w:val="center"/>
              </w:trPr>
              <w:tc>
                <w:tcPr>
                  <w:tcW w:w="2499" w:type="pct"/>
                  <w:vAlign w:val="center"/>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昼间</w:t>
                  </w:r>
                </w:p>
              </w:tc>
              <w:tc>
                <w:tcPr>
                  <w:tcW w:w="2500" w:type="pct"/>
                  <w:vAlign w:val="center"/>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夜间</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00" w:hRule="atLeast"/>
                <w:jc w:val="center"/>
              </w:trPr>
              <w:tc>
                <w:tcPr>
                  <w:tcW w:w="2499" w:type="pct"/>
                  <w:vAlign w:val="center"/>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70</w:t>
                  </w:r>
                </w:p>
              </w:tc>
              <w:tc>
                <w:tcPr>
                  <w:tcW w:w="2500" w:type="pct"/>
                  <w:vAlign w:val="center"/>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55</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3、固废</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auto"/>
                <w:sz w:val="24"/>
                <w:lang w:eastAsia="zh-CN"/>
              </w:rPr>
            </w:pPr>
            <w:r>
              <w:rPr>
                <w:rFonts w:hint="default" w:ascii="Times New Roman" w:hAnsi="Times New Roman" w:eastAsia="宋体" w:cs="Times New Roman"/>
                <w:color w:val="auto"/>
                <w:sz w:val="24"/>
                <w:lang w:val="en-US" w:eastAsia="zh-CN"/>
              </w:rPr>
              <w:t>废光伏组件</w:t>
            </w:r>
            <w:r>
              <w:rPr>
                <w:rFonts w:hint="default" w:ascii="Times New Roman" w:hAnsi="Times New Roman" w:eastAsia="宋体" w:cs="Times New Roman"/>
                <w:color w:val="auto"/>
                <w:sz w:val="24"/>
              </w:rPr>
              <w:t>为一般工业固废，其贮存、处置应符合《一般工业固体废物贮存、处置场污染控制标准》(GB18599-2001)及2013年修改单中的相关要求</w:t>
            </w:r>
            <w:r>
              <w:rPr>
                <w:rFonts w:hint="eastAsia" w:cs="Times New Roman"/>
                <w:color w:val="auto"/>
                <w:sz w:val="24"/>
                <w:lang w:eastAsia="zh-CN"/>
              </w:rPr>
              <w:t>。</w:t>
            </w:r>
          </w:p>
          <w:p>
            <w:pPr>
              <w:pStyle w:val="15"/>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sz w:val="24"/>
              </w:rPr>
              <w:t>因设备老化或损坏而被更换的蓄电池、发生异常时变压器排出的事故油均属于危险废物，其临时贮存点、设计要求及运行管理应符合《危险废物贮存污染控制标准》(GB18597-2001)及2013年修改单中的相关要求。</w:t>
            </w:r>
          </w:p>
          <w:p>
            <w:pPr>
              <w:pStyle w:val="15"/>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宋体" w:cs="Times New Roman"/>
                <w:color w:val="auto"/>
                <w:highlight w:val="none"/>
                <w:lang w:val="en-US" w:eastAsia="zh-CN"/>
              </w:rPr>
            </w:pPr>
          </w:p>
          <w:p>
            <w:pPr>
              <w:pStyle w:val="15"/>
              <w:rPr>
                <w:color w:val="auto"/>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112" w:hRule="atLeast"/>
          <w:jc w:val="center"/>
        </w:trPr>
        <w:tc>
          <w:tcPr>
            <w:tcW w:w="237" w:type="pct"/>
            <w:vAlign w:val="center"/>
          </w:tcPr>
          <w:p>
            <w:pPr>
              <w:jc w:val="center"/>
              <w:rPr>
                <w:b/>
                <w:color w:val="auto"/>
                <w:sz w:val="24"/>
                <w:highlight w:val="none"/>
                <w:lang w:eastAsia="zh-CN"/>
              </w:rPr>
            </w:pPr>
            <w:r>
              <w:rPr>
                <w:b/>
                <w:color w:val="auto"/>
                <w:sz w:val="24"/>
                <w:highlight w:val="none"/>
              </w:rPr>
              <w:t>总</w:t>
            </w:r>
          </w:p>
          <w:p>
            <w:pPr>
              <w:jc w:val="center"/>
              <w:rPr>
                <w:b/>
                <w:color w:val="auto"/>
                <w:sz w:val="24"/>
                <w:highlight w:val="none"/>
                <w:lang w:eastAsia="zh-CN"/>
              </w:rPr>
            </w:pPr>
            <w:r>
              <w:rPr>
                <w:b/>
                <w:color w:val="auto"/>
                <w:sz w:val="24"/>
                <w:highlight w:val="none"/>
              </w:rPr>
              <w:t>量</w:t>
            </w:r>
          </w:p>
          <w:p>
            <w:pPr>
              <w:jc w:val="center"/>
              <w:rPr>
                <w:b/>
                <w:color w:val="auto"/>
                <w:sz w:val="24"/>
                <w:highlight w:val="none"/>
                <w:lang w:eastAsia="zh-CN"/>
              </w:rPr>
            </w:pPr>
            <w:r>
              <w:rPr>
                <w:b/>
                <w:color w:val="auto"/>
                <w:sz w:val="24"/>
                <w:highlight w:val="none"/>
              </w:rPr>
              <w:t>控</w:t>
            </w:r>
          </w:p>
          <w:p>
            <w:pPr>
              <w:jc w:val="center"/>
              <w:rPr>
                <w:b/>
                <w:color w:val="auto"/>
                <w:sz w:val="24"/>
                <w:highlight w:val="none"/>
                <w:lang w:eastAsia="zh-CN"/>
              </w:rPr>
            </w:pPr>
            <w:r>
              <w:rPr>
                <w:b/>
                <w:color w:val="auto"/>
                <w:sz w:val="24"/>
                <w:highlight w:val="none"/>
              </w:rPr>
              <w:t>制</w:t>
            </w:r>
          </w:p>
          <w:p>
            <w:pPr>
              <w:jc w:val="center"/>
              <w:rPr>
                <w:b/>
                <w:color w:val="auto"/>
                <w:sz w:val="24"/>
                <w:highlight w:val="none"/>
                <w:lang w:eastAsia="zh-CN"/>
              </w:rPr>
            </w:pPr>
            <w:r>
              <w:rPr>
                <w:b/>
                <w:color w:val="auto"/>
                <w:sz w:val="24"/>
                <w:highlight w:val="none"/>
              </w:rPr>
              <w:t>指</w:t>
            </w:r>
          </w:p>
          <w:p>
            <w:pPr>
              <w:jc w:val="center"/>
              <w:rPr>
                <w:b/>
                <w:color w:val="auto"/>
                <w:sz w:val="24"/>
                <w:highlight w:val="none"/>
                <w:lang w:eastAsia="zh-CN"/>
              </w:rPr>
            </w:pPr>
            <w:r>
              <w:rPr>
                <w:b/>
                <w:color w:val="auto"/>
                <w:sz w:val="24"/>
                <w:highlight w:val="none"/>
              </w:rPr>
              <w:t>标</w:t>
            </w:r>
          </w:p>
        </w:tc>
        <w:tc>
          <w:tcPr>
            <w:tcW w:w="4762" w:type="pct"/>
            <w:vAlign w:val="center"/>
          </w:tcPr>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color w:val="auto"/>
                <w:sz w:val="24"/>
                <w:highlight w:val="none"/>
                <w:lang w:eastAsia="zh-CN"/>
              </w:rPr>
            </w:pPr>
            <w:r>
              <w:rPr>
                <w:color w:val="auto"/>
                <w:sz w:val="24"/>
                <w:highlight w:val="none"/>
                <w:lang w:eastAsia="zh-CN"/>
              </w:rPr>
              <w:t>根据</w:t>
            </w:r>
            <w:r>
              <w:rPr>
                <w:rFonts w:ascii="宋体" w:hAnsi="宋体"/>
                <w:color w:val="auto"/>
                <w:sz w:val="24"/>
                <w:highlight w:val="none"/>
                <w:lang w:eastAsia="zh-CN"/>
              </w:rPr>
              <w:t>《“十</w:t>
            </w:r>
            <w:r>
              <w:rPr>
                <w:rFonts w:hint="eastAsia" w:ascii="宋体" w:hAnsi="宋体"/>
                <w:color w:val="auto"/>
                <w:sz w:val="24"/>
                <w:highlight w:val="none"/>
                <w:lang w:eastAsia="zh-CN"/>
              </w:rPr>
              <w:t>三</w:t>
            </w:r>
            <w:r>
              <w:rPr>
                <w:rFonts w:ascii="宋体" w:hAnsi="宋体"/>
                <w:color w:val="auto"/>
                <w:sz w:val="24"/>
                <w:highlight w:val="none"/>
                <w:lang w:eastAsia="zh-CN"/>
              </w:rPr>
              <w:t>五”全国主要污染物排放总量控制规划》，“十</w:t>
            </w:r>
            <w:r>
              <w:rPr>
                <w:rFonts w:hint="eastAsia" w:ascii="宋体" w:hAnsi="宋体"/>
                <w:color w:val="auto"/>
                <w:sz w:val="24"/>
                <w:highlight w:val="none"/>
                <w:lang w:eastAsia="zh-CN"/>
              </w:rPr>
              <w:t>三</w:t>
            </w:r>
            <w:r>
              <w:rPr>
                <w:rFonts w:ascii="宋体" w:hAnsi="宋体"/>
                <w:color w:val="auto"/>
                <w:sz w:val="24"/>
                <w:highlight w:val="none"/>
                <w:lang w:eastAsia="zh-CN"/>
              </w:rPr>
              <w:t>五”期间总量控制的指</w:t>
            </w:r>
            <w:r>
              <w:rPr>
                <w:color w:val="auto"/>
                <w:sz w:val="24"/>
                <w:highlight w:val="none"/>
                <w:lang w:eastAsia="zh-CN"/>
              </w:rPr>
              <w:t>标为：废气中的</w:t>
            </w:r>
            <w:r>
              <w:rPr>
                <w:rFonts w:hint="eastAsia"/>
                <w:color w:val="auto"/>
                <w:sz w:val="24"/>
                <w:highlight w:val="none"/>
                <w:lang w:eastAsia="zh-CN"/>
              </w:rPr>
              <w:t>二氧化硫</w:t>
            </w:r>
            <w:r>
              <w:rPr>
                <w:color w:val="auto"/>
                <w:sz w:val="24"/>
                <w:highlight w:val="none"/>
                <w:lang w:eastAsia="zh-CN"/>
              </w:rPr>
              <w:t>、氮氧化物，废水中的</w:t>
            </w:r>
            <w:r>
              <w:rPr>
                <w:rFonts w:hint="eastAsia"/>
                <w:color w:val="auto"/>
                <w:sz w:val="24"/>
                <w:highlight w:val="none"/>
                <w:lang w:eastAsia="zh-CN"/>
              </w:rPr>
              <w:t>化学需氧量</w:t>
            </w:r>
            <w:r>
              <w:rPr>
                <w:color w:val="auto"/>
                <w:sz w:val="24"/>
                <w:highlight w:val="none"/>
                <w:lang w:eastAsia="zh-CN"/>
              </w:rPr>
              <w:t>、氨氮。</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color w:val="auto"/>
                <w:kern w:val="0"/>
                <w:sz w:val="24"/>
                <w:szCs w:val="20"/>
                <w:highlight w:val="none"/>
                <w:lang w:eastAsia="zh-CN"/>
              </w:rPr>
            </w:pPr>
            <w:r>
              <w:rPr>
                <w:rFonts w:hint="eastAsia"/>
                <w:color w:val="auto"/>
                <w:sz w:val="24"/>
                <w:highlight w:val="none"/>
                <w:lang w:eastAsia="zh-CN"/>
              </w:rPr>
              <w:t>本工程无废气和废水外排，不需申请主要污染物总量指标。</w:t>
            </w:r>
          </w:p>
          <w:p>
            <w:pPr>
              <w:pStyle w:val="15"/>
              <w:rPr>
                <w:color w:val="auto"/>
                <w:highlight w:val="none"/>
                <w:lang w:eastAsia="zh-CN"/>
              </w:rPr>
            </w:pPr>
          </w:p>
        </w:tc>
      </w:tr>
    </w:tbl>
    <w:p>
      <w:pPr>
        <w:spacing w:line="360" w:lineRule="auto"/>
        <w:rPr>
          <w:color w:val="auto"/>
          <w:sz w:val="28"/>
          <w:highlight w:val="yellow"/>
          <w:lang w:eastAsia="zh-CN"/>
        </w:rPr>
      </w:pPr>
      <w:r>
        <w:rPr>
          <w:color w:val="auto"/>
          <w:sz w:val="28"/>
          <w:highlight w:val="yellow"/>
          <w:lang w:eastAsia="zh-CN"/>
        </w:rPr>
        <w:br w:type="page"/>
      </w:r>
    </w:p>
    <w:p>
      <w:pPr>
        <w:pStyle w:val="25"/>
        <w:bidi w:val="0"/>
        <w:jc w:val="left"/>
        <w:outlineLvl w:val="0"/>
        <w:rPr>
          <w:rFonts w:hint="eastAsia"/>
          <w:color w:val="auto"/>
          <w:lang w:val="en-US" w:eastAsia="zh-CN"/>
        </w:rPr>
      </w:pPr>
      <w:bookmarkStart w:id="21" w:name="_Toc13763"/>
      <w:r>
        <w:rPr>
          <w:rFonts w:hint="eastAsia"/>
          <w:color w:val="auto"/>
          <w:lang w:val="en-US" w:eastAsia="zh-CN"/>
        </w:rPr>
        <w:t>五、建设项目工程分析</w:t>
      </w:r>
      <w:bookmarkEnd w:id="21"/>
    </w:p>
    <w:tbl>
      <w:tblPr>
        <w:tblStyle w:val="30"/>
        <w:tblW w:w="9071"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9071"/>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3318" w:hRule="atLeast"/>
          <w:jc w:val="center"/>
        </w:trPr>
        <w:tc>
          <w:tcPr>
            <w:tcW w:w="5000" w:type="pct"/>
            <w:vAlign w:val="top"/>
          </w:tcPr>
          <w:p>
            <w:pPr>
              <w:keepNext w:val="0"/>
              <w:keepLines w:val="0"/>
              <w:pageBreakBefore w:val="0"/>
              <w:widowControl w:val="0"/>
              <w:kinsoku/>
              <w:wordWrap/>
              <w:overflowPunct/>
              <w:topLinePunct w:val="0"/>
              <w:autoSpaceDE/>
              <w:autoSpaceDN/>
              <w:bidi w:val="0"/>
              <w:adjustRightInd w:val="0"/>
              <w:snapToGrid w:val="0"/>
              <w:spacing w:line="360" w:lineRule="auto"/>
              <w:ind w:leftChars="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mc:AlternateContent>
                <mc:Choice Requires="wps">
                  <w:drawing>
                    <wp:anchor distT="0" distB="0" distL="114300" distR="114300" simplePos="0" relativeHeight="251636736" behindDoc="0" locked="0" layoutInCell="0" allowOverlap="1">
                      <wp:simplePos x="0" y="0"/>
                      <wp:positionH relativeFrom="column">
                        <wp:posOffset>1905000</wp:posOffset>
                      </wp:positionH>
                      <wp:positionV relativeFrom="paragraph">
                        <wp:posOffset>2326005</wp:posOffset>
                      </wp:positionV>
                      <wp:extent cx="635" cy="0"/>
                      <wp:effectExtent l="12065" t="6350" r="6350" b="12700"/>
                      <wp:wrapNone/>
                      <wp:docPr id="55" name="Line 2402"/>
                      <wp:cNvGraphicFramePr/>
                      <a:graphic xmlns:a="http://schemas.openxmlformats.org/drawingml/2006/main">
                        <a:graphicData uri="http://schemas.microsoft.com/office/word/2010/wordprocessingShape">
                          <wps:wsp>
                            <wps:cNvCnPr>
                              <a:cxnSpLocks noChangeShapeType="1"/>
                            </wps:cNvCnPr>
                            <wps:spPr bwMode="auto">
                              <a:xfrm>
                                <a:off x="0" y="0"/>
                                <a:ext cx="635" cy="0"/>
                              </a:xfrm>
                              <a:prstGeom prst="line">
                                <a:avLst/>
                              </a:prstGeom>
                              <a:noFill/>
                              <a:ln w="9525">
                                <a:solidFill>
                                  <a:srgbClr val="000000"/>
                                </a:solidFill>
                                <a:round/>
                              </a:ln>
                            </wps:spPr>
                            <wps:bodyPr/>
                          </wps:wsp>
                        </a:graphicData>
                      </a:graphic>
                    </wp:anchor>
                  </w:drawing>
                </mc:Choice>
                <mc:Fallback>
                  <w:pict>
                    <v:line id="Line 2402" o:spid="_x0000_s1026" o:spt="20" style="position:absolute;left:0pt;margin-left:150pt;margin-top:183.15pt;height:0pt;width:0.05pt;z-index:251636736;mso-width-relative:page;mso-height-relative:page;" filled="f" stroked="t" coordsize="21600,21600" o:allowincell="f" o:gfxdata="UEsDBAoAAAAAAIdO4kAAAAAAAAAAAAAAAAAEAAAAZHJzL1BLAwQUAAAACACHTuJAdIb/ZNYAAAAL&#10;AQAADwAAAGRycy9kb3ducmV2LnhtbE2PT0/DMAzF70h8h8hIXCaWdJUqVJruAPTGhcHE1WtMW9E4&#10;XZP9gU+PkZDgZj8/Pf9etT77UR1pjkNgC9nSgCJugxu4s/D60tzcgooJ2eEYmCx8UoR1fXlRYenC&#10;iZ/puEmdkhCOJVroU5pKrWPbk8e4DBOx3N7D7DHJOnfazXiScD/qlTGF9jiwfOhxovue2o/NwVuI&#10;zZb2zdeiXZi3vAu02j88PaK111eZuQOV6Jz+zPCDL+hQC9MuHNhFNVrIjZEuSYaiyEGJQ5QM1O5X&#10;0XWl/3eovwFQSwMEFAAAAAgAh07iQLwyC8SuAQAAUQMAAA4AAABkcnMvZTJvRG9jLnhtbK1TTY/b&#10;IBC9V+p/QNwbJ26zaq04e8hqe0nbSLv9ARPANlpgEJDY+fcdyEe37a1aH5BhZt689wZW95M17KhC&#10;1OhavpjNOVNOoNSub/nP58cPnzmLCZwEg061/KQiv1+/f7cafaNqHNBIFRiBuNiMvuVDSr6pqigG&#10;ZSHO0CtHwQ6DhUTb0FcywEjo1lT1fH5XjRikDyhUjHT6cA7ydcHvOiXSj66LKjHTcuKWyhrKus9r&#10;tV5B0wfwgxYXGvAfLCxoR01vUA+QgB2C/gfKahEwYpdmAm2FXaeFKhpIzWL+l5qnAbwqWsic6G82&#10;xbeDFd+Pu8C0bPlyyZkDSzPaaqdY/WleZ3dGHxtK2rhdyPrE5J78FsVLZA43A7heFZbPJ0+Vi1xR&#10;/VGSN9FTj/34DSXlwCFhsWrqgs2QZAKbykROt4moKTFBh3cfiZW4nlfQXIt8iOmrQsvyT8sNUS6g&#10;cNzGlElAc03JPRw+amPKsI1jY8u/LOtlKYhotMzBnBZDv9+YwI6Qr0v5iiKKvE4LeHDy3MS4i+Cs&#10;8ezWHuVpF65G0NwKm8sdyxfj9b5U/34J61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0hv9k1gAA&#10;AAsBAAAPAAAAAAAAAAEAIAAAACIAAABkcnMvZG93bnJldi54bWxQSwECFAAUAAAACACHTuJAvDIL&#10;xK4BAABRAwAADgAAAAAAAAABACAAAAAlAQAAZHJzL2Uyb0RvYy54bWxQSwUGAAAAAAYABgBZAQAA&#10;RQUAAAAA&#10;">
                      <v:fill on="f" focussize="0,0"/>
                      <v:stroke color="#000000" joinstyle="round"/>
                      <v:imagedata o:title=""/>
                      <o:lock v:ext="edit" aspectratio="f"/>
                    </v:line>
                  </w:pict>
                </mc:Fallback>
              </mc:AlternateContent>
            </w:r>
            <w:r>
              <w:rPr>
                <w:rFonts w:hint="default" w:ascii="Times New Roman" w:hAnsi="Times New Roman" w:eastAsia="宋体" w:cs="Times New Roman"/>
                <w:color w:val="auto"/>
                <w:sz w:val="24"/>
                <w:szCs w:val="24"/>
                <w:highlight w:val="none"/>
                <w:lang w:val="en-US" w:eastAsia="zh-CN"/>
              </w:rPr>
              <mc:AlternateContent>
                <mc:Choice Requires="wps">
                  <w:drawing>
                    <wp:anchor distT="0" distB="0" distL="114300" distR="114300" simplePos="0" relativeHeight="251635712" behindDoc="0" locked="0" layoutInCell="0" allowOverlap="1">
                      <wp:simplePos x="0" y="0"/>
                      <wp:positionH relativeFrom="column">
                        <wp:posOffset>1905000</wp:posOffset>
                      </wp:positionH>
                      <wp:positionV relativeFrom="paragraph">
                        <wp:posOffset>1809115</wp:posOffset>
                      </wp:positionV>
                      <wp:extent cx="635" cy="0"/>
                      <wp:effectExtent l="12065" t="13335" r="6350" b="5715"/>
                      <wp:wrapNone/>
                      <wp:docPr id="54" name="Line 2401"/>
                      <wp:cNvGraphicFramePr/>
                      <a:graphic xmlns:a="http://schemas.openxmlformats.org/drawingml/2006/main">
                        <a:graphicData uri="http://schemas.microsoft.com/office/word/2010/wordprocessingShape">
                          <wps:wsp>
                            <wps:cNvCnPr>
                              <a:cxnSpLocks noChangeShapeType="1"/>
                            </wps:cNvCnPr>
                            <wps:spPr bwMode="auto">
                              <a:xfrm>
                                <a:off x="0" y="0"/>
                                <a:ext cx="635" cy="0"/>
                              </a:xfrm>
                              <a:prstGeom prst="line">
                                <a:avLst/>
                              </a:prstGeom>
                              <a:noFill/>
                              <a:ln w="9525">
                                <a:solidFill>
                                  <a:srgbClr val="000000"/>
                                </a:solidFill>
                                <a:round/>
                              </a:ln>
                            </wps:spPr>
                            <wps:bodyPr/>
                          </wps:wsp>
                        </a:graphicData>
                      </a:graphic>
                    </wp:anchor>
                  </w:drawing>
                </mc:Choice>
                <mc:Fallback>
                  <w:pict>
                    <v:line id="Line 2401" o:spid="_x0000_s1026" o:spt="20" style="position:absolute;left:0pt;margin-left:150pt;margin-top:142.45pt;height:0pt;width:0.05pt;z-index:251635712;mso-width-relative:page;mso-height-relative:page;" filled="f" stroked="t" coordsize="21600,21600" o:allowincell="f" o:gfxdata="UEsDBAoAAAAAAIdO4kAAAAAAAAAAAAAAAAAEAAAAZHJzL1BLAwQUAAAACACHTuJAAwFMG9YAAAAL&#10;AQAADwAAAGRycy9kb3ducmV2LnhtbE2PzU7DMBCE70i8g7VIXCpqJ0WohDg9ALlxoQVx3cZLEhGv&#10;09j9gadnkZDguLOjmW/K1ckP6kBT7ANbyOYGFHETXM+thZdNfbUEFROywyEwWfikCKvq/KzEwoUj&#10;P9NhnVolIRwLtNClNBZax6Yjj3EeRmL5vYfJY5JzarWb8CjhftC5MTfaY8/S0OFI9x01H+u9txDr&#10;V9rVX7NmZt4WbaB89/D0iNZeXmTmDlSiU/ozww++oEMlTNuwZxfVYGFhjGxJFvLl9S0ocYiSgdr+&#10;Kroq9f8N1TdQSwMEFAAAAAgAh07iQGFG2JeuAQAAUQMAAA4AAABkcnMvZTJvRG9jLnhtbK1TwW7b&#10;MAy9D9g/CLovdrKm2Iw4PaToLtkWoN0HKJJsC5NEgVJi5+9HKU26breiPggW+fhIPlKru8lZdtQY&#10;DfiWz2c1Z9pLUMb3Lf/19PDpC2cxCa+EBa9bftKR360/fliNodELGMAqjYxIfGzG0PIhpdBUVZSD&#10;diLOIGhPzg7QiURX7CuFYiR2Z6tFXd9WI6AKCFLHSNb7s5OvC3/XaZl+dl3UidmWU22pnFjOfT6r&#10;9Uo0PYowGPlchnhDFU4YT0mvVPciCXZA8x+VMxIhQpdmElwFXWekLj1QN/P6n24eBxF06YXEieEq&#10;U3w/WvnjuENmVMuXN5x54WhGW+M1W9zU86zOGGJDoI3fYe5PTv4xbEH+jszDZhC+16XKp1OgyBJR&#10;vQrJlxgox378Doow4pCgSDV16DIlicCmMpHTdSJ6SkyS8fbzkjN5sVeiuQQFjOmbBsfyT8stlVxI&#10;xXEbE5VN0Ask5/DwYKwtw7aejS3/ulwsS0AEa1R2ZljEfr+xyI4ir0v5sgZE9gqGcPDqbLee3Jce&#10;z2rtQZ12mN3ZTnMrBM87lhfj73tBvbyE9R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DAUwb1gAA&#10;AAsBAAAPAAAAAAAAAAEAIAAAACIAAABkcnMvZG93bnJldi54bWxQSwECFAAUAAAACACHTuJAYUbY&#10;l64BAABRAwAADgAAAAAAAAABACAAAAAlAQAAZHJzL2Uyb0RvYy54bWxQSwUGAAAAAAYABgBZAQAA&#10;RQUAAAAA&#10;">
                      <v:fill on="f" focussize="0,0"/>
                      <v:stroke color="#000000" joinstyle="round"/>
                      <v:imagedata o:title=""/>
                      <o:lock v:ext="edit" aspectratio="f"/>
                    </v:line>
                  </w:pict>
                </mc:Fallback>
              </mc:AlternateContent>
            </w:r>
            <w:r>
              <w:rPr>
                <w:rFonts w:hint="default" w:ascii="Times New Roman" w:hAnsi="Times New Roman" w:eastAsia="宋体" w:cs="Times New Roman"/>
                <w:color w:val="auto"/>
                <w:sz w:val="24"/>
                <w:szCs w:val="24"/>
                <w:highlight w:val="none"/>
                <w:lang w:val="en-US" w:eastAsia="zh-CN"/>
              </w:rPr>
              <mc:AlternateContent>
                <mc:Choice Requires="wps">
                  <w:drawing>
                    <wp:anchor distT="0" distB="0" distL="114300" distR="114300" simplePos="0" relativeHeight="251634688" behindDoc="0" locked="0" layoutInCell="0" allowOverlap="1">
                      <wp:simplePos x="0" y="0"/>
                      <wp:positionH relativeFrom="column">
                        <wp:posOffset>1905000</wp:posOffset>
                      </wp:positionH>
                      <wp:positionV relativeFrom="paragraph">
                        <wp:posOffset>1809115</wp:posOffset>
                      </wp:positionV>
                      <wp:extent cx="635" cy="0"/>
                      <wp:effectExtent l="12065" t="13335" r="6350" b="5715"/>
                      <wp:wrapNone/>
                      <wp:docPr id="53" name="Line 2400"/>
                      <wp:cNvGraphicFramePr/>
                      <a:graphic xmlns:a="http://schemas.openxmlformats.org/drawingml/2006/main">
                        <a:graphicData uri="http://schemas.microsoft.com/office/word/2010/wordprocessingShape">
                          <wps:wsp>
                            <wps:cNvCnPr>
                              <a:cxnSpLocks noChangeShapeType="1"/>
                            </wps:cNvCnPr>
                            <wps:spPr bwMode="auto">
                              <a:xfrm>
                                <a:off x="0" y="0"/>
                                <a:ext cx="635" cy="0"/>
                              </a:xfrm>
                              <a:prstGeom prst="line">
                                <a:avLst/>
                              </a:prstGeom>
                              <a:noFill/>
                              <a:ln w="9525">
                                <a:solidFill>
                                  <a:srgbClr val="000000"/>
                                </a:solidFill>
                                <a:round/>
                              </a:ln>
                            </wps:spPr>
                            <wps:bodyPr/>
                          </wps:wsp>
                        </a:graphicData>
                      </a:graphic>
                    </wp:anchor>
                  </w:drawing>
                </mc:Choice>
                <mc:Fallback>
                  <w:pict>
                    <v:line id="Line 2400" o:spid="_x0000_s1026" o:spt="20" style="position:absolute;left:0pt;margin-left:150pt;margin-top:142.45pt;height:0pt;width:0.05pt;z-index:251634688;mso-width-relative:page;mso-height-relative:page;" filled="f" stroked="t" coordsize="21600,21600" o:allowincell="f" o:gfxdata="UEsDBAoAAAAAAIdO4kAAAAAAAAAAAAAAAAAEAAAAZHJzL1BLAwQUAAAACACHTuJAAwFMG9YAAAAL&#10;AQAADwAAAGRycy9kb3ducmV2LnhtbE2PzU7DMBCE70i8g7VIXCpqJ0WohDg9ALlxoQVx3cZLEhGv&#10;09j9gadnkZDguLOjmW/K1ckP6kBT7ANbyOYGFHETXM+thZdNfbUEFROywyEwWfikCKvq/KzEwoUj&#10;P9NhnVolIRwLtNClNBZax6Yjj3EeRmL5vYfJY5JzarWb8CjhftC5MTfaY8/S0OFI9x01H+u9txDr&#10;V9rVX7NmZt4WbaB89/D0iNZeXmTmDlSiU/ozww++oEMlTNuwZxfVYGFhjGxJFvLl9S0ocYiSgdr+&#10;Kroq9f8N1TdQSwMEFAAAAAgAh07iQEOh3v2wAQAAUQMAAA4AAABkcnMvZTJvRG9jLnhtbK1TwW7b&#10;MAy9D9g/CLovdtKl2Iw4PaToLtkWoN0HKJJsC5NEgVRi5+8nqUnabbeiOQiRSD6+90iv7iZn2VEj&#10;GfAtn89qzrSXoIzvW/7r6eHTF84oCq+EBa9bftLE79YfP6zG0OgFDGCVRpZAPDVjaPkQY2iqiuSg&#10;naAZBO1TsAN0IqYr9pVCMSZ0Z6tFXd9WI6AKCFITpdf75yBfF/yu0zL+7DrSkdmWJ26xnFjOfT6r&#10;9Uo0PYowGHmmId7AwgnjU9Mr1L2Igh3Q/AfljEQg6OJMgqug64zURUNSM6//UfM4iKCLlmQOhatN&#10;9H6w8sdxh8yoli9vOPPCpRltjdds8bku7oyBmpS08TvM+uTkH8MW5G9iHjaD8L0uLJ9OIVXOs5/V&#10;XyX5QiH12I/fQaUccYhQrJo6dBkymcCmMpHTdSJ6ikymx9ubJWfy8l6J5lIUkOI3DY7lPy23iXIB&#10;FcctxUxCNJeU3MPDg7G2DNt6Nrb863KxLAUE1qgczGmE/X5jkR1FXpfyK4pS5HUawsGr5ybWnwVn&#10;jXnrqNmDOu3wYkSaW2Fz3rG8GK/vpfrlS1j/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AMBTBvW&#10;AAAACwEAAA8AAAAAAAAAAQAgAAAAIgAAAGRycy9kb3ducmV2LnhtbFBLAQIUABQAAAAIAIdO4kBD&#10;od79sAEAAFEDAAAOAAAAAAAAAAEAIAAAACUBAABkcnMvZTJvRG9jLnhtbFBLBQYAAAAABgAGAFkB&#10;AABHBQAAAAA=&#10;">
                      <v:fill on="f" focussize="0,0"/>
                      <v:stroke color="#000000" joinstyle="round"/>
                      <v:imagedata o:title=""/>
                      <o:lock v:ext="edit" aspectratio="f"/>
                    </v:line>
                  </w:pict>
                </mc:Fallback>
              </mc:AlternateContent>
            </w:r>
            <w:r>
              <w:rPr>
                <w:rFonts w:hint="default" w:ascii="Times New Roman" w:hAnsi="Times New Roman" w:eastAsia="宋体" w:cs="Times New Roman"/>
                <w:color w:val="auto"/>
                <w:sz w:val="24"/>
                <w:szCs w:val="24"/>
                <w:highlight w:val="none"/>
              </w:rPr>
              <w:t>工艺流程简述（图示）：</w:t>
            </w:r>
          </w:p>
          <w:p>
            <w:pPr>
              <w:pStyle w:val="12"/>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2" w:firstLineChars="200"/>
              <w:textAlignment w:val="auto"/>
              <w:rPr>
                <w:rFonts w:hint="default" w:ascii="Times New Roman" w:hAnsi="Times New Roman" w:eastAsia="宋体" w:cs="Times New Roman"/>
                <w:b/>
                <w:color w:val="auto"/>
                <w:sz w:val="24"/>
                <w:szCs w:val="24"/>
              </w:rPr>
            </w:pPr>
            <w:r>
              <w:rPr>
                <w:rFonts w:hint="eastAsia" w:cs="Times New Roman"/>
                <w:b/>
                <w:color w:val="auto"/>
                <w:sz w:val="24"/>
                <w:szCs w:val="24"/>
                <w:lang w:val="en-US" w:eastAsia="zh-CN"/>
              </w:rPr>
              <w:t>一、</w:t>
            </w:r>
            <w:r>
              <w:rPr>
                <w:rFonts w:hint="default" w:ascii="Times New Roman" w:hAnsi="Times New Roman" w:eastAsia="宋体" w:cs="Times New Roman"/>
                <w:b/>
                <w:color w:val="auto"/>
                <w:sz w:val="24"/>
                <w:szCs w:val="24"/>
              </w:rPr>
              <w:t>施工工艺流程简述：</w:t>
            </w:r>
          </w:p>
          <w:p>
            <w:pPr>
              <w:pStyle w:val="12"/>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工序一：碎石铺路。</w:t>
            </w:r>
          </w:p>
          <w:p>
            <w:pPr>
              <w:pStyle w:val="12"/>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工序二：太阳能电池组件及逆变器基础施工。</w:t>
            </w:r>
          </w:p>
          <w:p>
            <w:pPr>
              <w:pStyle w:val="12"/>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工序三：太阳能电池组件支架制作及安装。</w:t>
            </w:r>
          </w:p>
          <w:p>
            <w:pPr>
              <w:pStyle w:val="12"/>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工序四：太阳能电池组件和逆变器安装及电气仪表设备安装调试。</w:t>
            </w:r>
          </w:p>
          <w:p>
            <w:pPr>
              <w:pStyle w:val="12"/>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工序五：上述四道工序完成—联合调试—并网运行调试—试运行—竣工验收。</w:t>
            </w:r>
          </w:p>
          <w:p>
            <w:pPr>
              <w:pStyle w:val="12"/>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光伏电站工程施工过程示意图</w:t>
            </w:r>
            <w:r>
              <w:rPr>
                <w:rFonts w:hint="default" w:ascii="Times New Roman" w:hAnsi="Times New Roman" w:cs="Times New Roman"/>
                <w:color w:val="auto"/>
                <w:sz w:val="24"/>
                <w:szCs w:val="24"/>
                <w:lang w:val="en-US" w:eastAsia="zh-CN"/>
              </w:rPr>
              <w:t>如下：</w:t>
            </w:r>
          </w:p>
          <w:p>
            <w:pPr>
              <w:pStyle w:val="12"/>
              <w:adjustRightInd w:val="0"/>
              <w:snapToGrid w:val="0"/>
              <w:spacing w:line="360" w:lineRule="auto"/>
              <w:ind w:firstLine="422"/>
              <w:rPr>
                <w:rFonts w:hint="default" w:ascii="Times New Roman" w:hAnsi="Times New Roman" w:eastAsia="宋体" w:cs="Times New Roman"/>
                <w:b/>
                <w:color w:val="auto"/>
              </w:rPr>
            </w:pPr>
            <w:r>
              <w:rPr>
                <w:rFonts w:hint="default" w:ascii="Times New Roman" w:hAnsi="Times New Roman" w:eastAsia="宋体" w:cs="Times New Roman"/>
                <w:b/>
                <w:color w:val="auto"/>
              </w:rPr>
              <mc:AlternateContent>
                <mc:Choice Requires="wps">
                  <w:drawing>
                    <wp:anchor distT="0" distB="0" distL="114300" distR="114300" simplePos="0" relativeHeight="251766784" behindDoc="0" locked="0" layoutInCell="1" allowOverlap="1">
                      <wp:simplePos x="0" y="0"/>
                      <wp:positionH relativeFrom="column">
                        <wp:posOffset>2730500</wp:posOffset>
                      </wp:positionH>
                      <wp:positionV relativeFrom="paragraph">
                        <wp:posOffset>86360</wp:posOffset>
                      </wp:positionV>
                      <wp:extent cx="2358390" cy="297180"/>
                      <wp:effectExtent l="4445" t="4445" r="18415" b="22225"/>
                      <wp:wrapNone/>
                      <wp:docPr id="66" name="文本框 66"/>
                      <wp:cNvGraphicFramePr/>
                      <a:graphic xmlns:a="http://schemas.openxmlformats.org/drawingml/2006/main">
                        <a:graphicData uri="http://schemas.microsoft.com/office/word/2010/wordprocessingShape">
                          <wps:wsp>
                            <wps:cNvSpPr txBox="1">
                              <a:spLocks noChangeArrowheads="1"/>
                            </wps:cNvSpPr>
                            <wps:spPr bwMode="auto">
                              <a:xfrm>
                                <a:off x="0" y="0"/>
                                <a:ext cx="2358390" cy="297180"/>
                              </a:xfrm>
                              <a:prstGeom prst="rect">
                                <a:avLst/>
                              </a:prstGeom>
                              <a:noFill/>
                              <a:ln w="9525">
                                <a:solidFill>
                                  <a:srgbClr val="FFFFFF"/>
                                </a:solidFill>
                                <a:miter lim="800000"/>
                              </a:ln>
                            </wps:spPr>
                            <wps:txbx>
                              <w:txbxContent>
                                <w:p>
                                  <w:r>
                                    <w:rPr>
                                      <w:rFonts w:hint="eastAsia"/>
                                    </w:rPr>
                                    <w:t>生态破坏、施工扬尘、水土流失</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215pt;margin-top:6.8pt;height:23.4pt;width:185.7pt;z-index:251766784;mso-width-relative:page;mso-height-relative:page;" filled="f" stroked="t" coordsize="21600,21600" o:gfxdata="UEsDBAoAAAAAAIdO4kAAAAAAAAAAAAAAAAAEAAAAZHJzL1BLAwQUAAAACACHTuJAUcVYgNgAAAAJ&#10;AQAADwAAAGRycy9kb3ducmV2LnhtbE2PwU7DMBBE70j8g7VIXCpqh0ZRFOL0gMSBQ4GWfoAbL3Fa&#10;ex3FTlL+HnOC42hGM2/q7dVZNuMYek8SsrUAhtR63VMn4fj58lACC1GRVtYTSvjGANvm9qZWlfYL&#10;7XE+xI6lEgqVkmBiHCrOQ2vQqbD2A1LyvvzoVExy7Lge1ZLKneWPQhTcqZ7SglEDPhtsL4fJSdi/&#10;mo8V5bud1Xwuzse36X0pV1Le32XiCVjEa/wLwy9+QocmMZ38RDowKyHfiPQlJmNTAEuBUmQ5sJOE&#10;QuTAm5r/f9D8AFBLAwQUAAAACACHTuJARLGkDSYCAAASBAAADgAAAGRycy9lMm9Eb2MueG1srVNN&#10;jtMwFN4jcQfLe5o203baqOlo6KgIafiRBg7gOE5j4fgZ221SDsDcgBUb9pyr5+DZyZQKdggvLNvv&#10;+fN73/d5ddM1ihyEdRJ0TiejMSVCcyil3uX044ftiwUlzjNdMgVa5PQoHL1ZP3+2ak0mUqhBlcIS&#10;BNEua01Oa+9NliSO16JhbgRGaAxWYBvmcWt3SWlZi+iNStLxeJ60YEtjgQvn8PSuD9J1xK8qwf27&#10;qnLCE5VTrM3H2ca5CHOyXrFsZ5mpJR/KYP9QRcOkxkfPUHfMM7K38i+oRnILDio/4tAkUFWSi9gD&#10;djMZ/9HNQ82MiL0gOc6caXL/D5a/Pby3RJY5nc8p0axBjU7fHk/ff55+fCV4hgS1xmWY92Aw03cv&#10;oUOhY7PO3AP/5IiGTc30TtxaC20tWIkFTsLN5OJqj+MCSNG+gRIfYnsPEairbBPYQz4IoqNQx7M4&#10;ovOE42F6NVtcLTHEMZYuryeLqF7Csqfbxjr/SkBDwiKnFsWP6Oxw73yohmVPKeExDVupVDSA0qTN&#10;6XKWzvq+QMkyBEOas7tioyw5MLTQNo7YGkYu0xrp0chKNjldjMMYkpQeaAid9xz4rugGWgsoj0iI&#10;hd6Y+JFwUYP9QkmLpsyp+7xnVlCiXmskdTmZToOL42Y6u05xYy8jxWWEaY5QOfWU9MuN752/N1bu&#10;anypl1HDLQpRychRUKyvaqgbjRepGz5JcPblPmb9/srrX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FHFWIDYAAAACQEAAA8AAAAAAAAAAQAgAAAAIgAAAGRycy9kb3ducmV2LnhtbFBLAQIUABQAAAAI&#10;AIdO4kBEsaQNJgIAABIEAAAOAAAAAAAAAAEAIAAAACcBAABkcnMvZTJvRG9jLnhtbFBLBQYAAAAA&#10;BgAGAFkBAAC/BQAAAAA=&#10;">
                      <v:fill on="f" focussize="0,0"/>
                      <v:stroke color="#FFFFFF" miterlimit="8" joinstyle="miter"/>
                      <v:imagedata o:title=""/>
                      <o:lock v:ext="edit" aspectratio="f"/>
                      <v:textbox>
                        <w:txbxContent>
                          <w:p>
                            <w:r>
                              <w:rPr>
                                <w:rFonts w:hint="eastAsia"/>
                              </w:rPr>
                              <w:t>生态破坏、施工扬尘、水土流失</w:t>
                            </w:r>
                          </w:p>
                        </w:txbxContent>
                      </v:textbox>
                    </v:shape>
                  </w:pict>
                </mc:Fallback>
              </mc:AlternateContent>
            </w:r>
          </w:p>
          <w:p>
            <w:pPr>
              <w:pStyle w:val="12"/>
              <w:adjustRightInd w:val="0"/>
              <w:snapToGrid w:val="0"/>
              <w:spacing w:line="360" w:lineRule="auto"/>
              <w:ind w:firstLine="422"/>
              <w:rPr>
                <w:rFonts w:hint="default" w:ascii="Times New Roman" w:hAnsi="Times New Roman" w:eastAsia="宋体" w:cs="Times New Roman"/>
                <w:b/>
                <w:color w:val="auto"/>
              </w:rPr>
            </w:pPr>
            <w:r>
              <w:rPr>
                <w:rFonts w:hint="default" w:ascii="Times New Roman" w:hAnsi="Times New Roman" w:eastAsia="宋体" w:cs="Times New Roman"/>
                <w:b/>
                <w:color w:val="auto"/>
              </w:rPr>
              <mc:AlternateContent>
                <mc:Choice Requires="wpg">
                  <w:drawing>
                    <wp:anchor distT="0" distB="0" distL="114300" distR="114300" simplePos="0" relativeHeight="251767808" behindDoc="0" locked="0" layoutInCell="1" allowOverlap="1">
                      <wp:simplePos x="0" y="0"/>
                      <wp:positionH relativeFrom="column">
                        <wp:posOffset>3820795</wp:posOffset>
                      </wp:positionH>
                      <wp:positionV relativeFrom="paragraph">
                        <wp:posOffset>64770</wp:posOffset>
                      </wp:positionV>
                      <wp:extent cx="1452880" cy="1528445"/>
                      <wp:effectExtent l="4445" t="0" r="9525" b="14605"/>
                      <wp:wrapNone/>
                      <wp:docPr id="173" name="组合 173"/>
                      <wp:cNvGraphicFramePr/>
                      <a:graphic xmlns:a="http://schemas.openxmlformats.org/drawingml/2006/main">
                        <a:graphicData uri="http://schemas.microsoft.com/office/word/2010/wordprocessingGroup">
                          <wpg:wgp>
                            <wpg:cNvGrpSpPr/>
                            <wpg:grpSpPr>
                              <a:xfrm>
                                <a:off x="0" y="0"/>
                                <a:ext cx="1452880" cy="1528445"/>
                                <a:chOff x="0" y="0"/>
                                <a:chExt cx="2288" cy="2407"/>
                              </a:xfrm>
                            </wpg:grpSpPr>
                            <wps:wsp>
                              <wps:cNvPr id="61" name="Line 6"/>
                              <wps:cNvCnPr>
                                <a:cxnSpLocks noChangeShapeType="1"/>
                              </wps:cNvCnPr>
                              <wps:spPr bwMode="auto">
                                <a:xfrm flipH="1" flipV="1">
                                  <a:off x="1038" y="0"/>
                                  <a:ext cx="6" cy="725"/>
                                </a:xfrm>
                                <a:prstGeom prst="line">
                                  <a:avLst/>
                                </a:prstGeom>
                                <a:noFill/>
                                <a:ln w="9525" cap="rnd">
                                  <a:solidFill>
                                    <a:srgbClr val="000000"/>
                                  </a:solidFill>
                                  <a:prstDash val="sysDot"/>
                                  <a:round/>
                                  <a:tailEnd type="triangle" w="med" len="med"/>
                                </a:ln>
                              </wps:spPr>
                              <wps:bodyPr/>
                            </wps:wsp>
                            <wps:wsp>
                              <wps:cNvPr id="62" name="Text Box 7"/>
                              <wps:cNvSpPr txBox="1">
                                <a:spLocks noChangeArrowheads="1"/>
                              </wps:cNvSpPr>
                              <wps:spPr bwMode="auto">
                                <a:xfrm>
                                  <a:off x="0" y="743"/>
                                  <a:ext cx="2288" cy="467"/>
                                </a:xfrm>
                                <a:prstGeom prst="rect">
                                  <a:avLst/>
                                </a:prstGeom>
                                <a:noFill/>
                                <a:ln w="9525">
                                  <a:solidFill>
                                    <a:srgbClr val="000000"/>
                                  </a:solidFill>
                                  <a:miter lim="800000"/>
                                </a:ln>
                              </wps:spPr>
                              <wps:txbx>
                                <w:txbxContent>
                                  <w:p>
                                    <w:pPr>
                                      <w:jc w:val="center"/>
                                    </w:pPr>
                                    <w:r>
                                      <w:rPr>
                                        <w:rFonts w:hint="eastAsia"/>
                                      </w:rPr>
                                      <w:t>地埋电缆</w:t>
                                    </w:r>
                                  </w:p>
                                </w:txbxContent>
                              </wps:txbx>
                              <wps:bodyPr rot="0" vert="horz" wrap="square" lIns="91440" tIns="45720" rIns="91440" bIns="45720" anchor="t" anchorCtr="0" upright="1">
                                <a:noAutofit/>
                              </wps:bodyPr>
                            </wps:wsp>
                            <wps:wsp>
                              <wps:cNvPr id="63" name="Line 8"/>
                              <wps:cNvCnPr>
                                <a:cxnSpLocks noChangeShapeType="1"/>
                              </wps:cNvCnPr>
                              <wps:spPr bwMode="auto">
                                <a:xfrm>
                                  <a:off x="1036" y="1313"/>
                                  <a:ext cx="2" cy="625"/>
                                </a:xfrm>
                                <a:prstGeom prst="line">
                                  <a:avLst/>
                                </a:prstGeom>
                                <a:noFill/>
                                <a:ln w="9525">
                                  <a:solidFill>
                                    <a:srgbClr val="000000"/>
                                  </a:solidFill>
                                  <a:prstDash val="dash"/>
                                  <a:round/>
                                  <a:tailEnd type="triangle" w="med" len="med"/>
                                </a:ln>
                              </wps:spPr>
                              <wps:bodyPr/>
                            </wps:wsp>
                            <wps:wsp>
                              <wps:cNvPr id="64" name="Text Box 9"/>
                              <wps:cNvSpPr txBox="1">
                                <a:spLocks noChangeArrowheads="1"/>
                              </wps:cNvSpPr>
                              <wps:spPr bwMode="auto">
                                <a:xfrm>
                                  <a:off x="543" y="1938"/>
                                  <a:ext cx="945" cy="469"/>
                                </a:xfrm>
                                <a:prstGeom prst="rect">
                                  <a:avLst/>
                                </a:prstGeom>
                                <a:noFill/>
                                <a:ln w="9525">
                                  <a:solidFill>
                                    <a:srgbClr val="000000"/>
                                  </a:solidFill>
                                  <a:prstDash val="dash"/>
                                  <a:miter lim="800000"/>
                                </a:ln>
                              </wps:spPr>
                              <wps:txbx>
                                <w:txbxContent>
                                  <w:p>
                                    <w:pPr>
                                      <w:jc w:val="center"/>
                                    </w:pPr>
                                    <w:r>
                                      <w:rPr>
                                        <w:rFonts w:hint="eastAsia"/>
                                      </w:rPr>
                                      <w:t>输电</w:t>
                                    </w:r>
                                  </w:p>
                                </w:txbxContent>
                              </wps:txbx>
                              <wps:bodyPr rot="0" vert="horz" wrap="square" lIns="91440" tIns="45720" rIns="91440" bIns="45720" anchor="t" anchorCtr="0" upright="1">
                                <a:noAutofit/>
                              </wps:bodyPr>
                            </wps:wsp>
                          </wpg:wgp>
                        </a:graphicData>
                      </a:graphic>
                    </wp:anchor>
                  </w:drawing>
                </mc:Choice>
                <mc:Fallback>
                  <w:pict>
                    <v:group id="_x0000_s1026" o:spid="_x0000_s1026" o:spt="203" style="position:absolute;left:0pt;margin-left:300.85pt;margin-top:5.1pt;height:120.35pt;width:114.4pt;z-index:251767808;mso-width-relative:page;mso-height-relative:page;" coordsize="2288,2407" o:gfxdata="UEsDBAoAAAAAAIdO4kAAAAAAAAAAAAAAAAAEAAAAZHJzL1BLAwQUAAAACACHTuJALaPK3doAAAAK&#10;AQAADwAAAGRycy9kb3ducmV2LnhtbE2PQUvDQBCF74L/YRnBm91NSmqN2RQp6qkIbQXxts1Ok9Ds&#10;bMhuk/bfO570OLyP974pVhfXiRGH0HrSkMwUCKTK25ZqDZ/7t4cliBANWdN5Qg1XDLAqb28Kk1s/&#10;0RbHXawFl1DIjYYmxj6XMlQNOhNmvkfi7OgHZyKfQy3tYCYud51MlVpIZ1rihcb0uG6wOu3OTsP7&#10;ZKaXefI6bk7H9fV7n318bRLU+v4uUc8gIl7iHwy/+qwOJTsd/JlsEJ2GhUoeGeVApSAYWM5VBuKg&#10;Ic3UE8iykP9fKH8AUEsDBBQAAAAIAIdO4kApcHlgdwMAAAIMAAAOAAAAZHJzL2Uyb0RvYy54bWzd&#10;Vstu3DYU3RfoPxDc1xqNNS/BcpDYiVPATQ3Y7Z5DURIRimRIjqXJOosu+z/9nqC/0UtS8/LUiziw&#10;F5mFhs/Le88995Bnr/pWoHtmLFeywOnJCCMmqSq5rAv8x927X+YYWUdkSYSSrMBrZvGr859/Out0&#10;zsaqUaJkBoERafNOF7hxTudJYmnDWmJPlGYSJitlWuKga+qkNKQD661IxqPRNOmUKbVRlFkLo5dx&#10;Ep8H+1XFqPu9qixzSBQYfHPha8J36b/J+RnJa0N0w+ngBnmCFy3hEg7dmrokjqCV4UemWk6Nsqpy&#10;J1S1iaoqTlmIAaJJRw+iuTJqpUMsdd7VegsTQPsApyebpR/ubwziJeRudoqRJC0k6d9/vnz9+y/k&#10;RwCfTtc5LLsy+lbfmGGgjj0fcl+Z1v9DMKgPyK63yLLeIQqDaTYZz+eQAApzKbSzbBKxpw0k6Ggf&#10;bd4OO8ewL24bZ6OZ35Nsjky8Z1tHOg0MsjuQ7PeBdNsQzQL21kc/gDRNNxhdc8nQNOITVlzIG+Nh&#10;oL281deKfrRIqouGyJoFW3drDdCmIQLvKxiNW3zHArJo2f2mSlhDVk4FMnlkUSW4fu83htafvrWH&#10;djo6BXiOAZ9GzGbjAPMWMpJrY90VUy3yjQILCCPYI/fX1kV0N0v8MVK940LAOMmFRF2BFxMwiSiB&#10;WjWyDFutErz0y/wqa+rlhTDonviKC78haQfL/BmXxDZxnV3bS+X8OpID52UZWo5w8VaWyAXknOGA&#10;pWDYe9GyEiPBQHJ8K7otJHBjA6anrc2XqlwHyoZxYEccfn6ajDc0ufMV8Eb1KFB3yLuvI+R6GN5k&#10;0z5gzGtjVNcwUgKLDyjjt8YgHqeMR/GgGGdZKGSSb8pxV1TZ9LCmjghiQEK/nSCBCU+gRcsdXAeC&#10;twWe73Pnf3Lr+mUPid+lGRkV5R2uI2g0ynwGroC0F9h+WhEDzBG/SgB0kWaZvwtCJ5vMxtAx+zPL&#10;/RkiKZgqsMMoNi9cvD9W2vC6gZNiQUr1Guq24qGIdl4NnHxB7m1lPEjU3FfHwLtnkqg9voEcgfJ4&#10;jT9NH3IuKtL0eRTpqYQ71KESFOkHUqHsSIUWe2x4ORWagP4EUizgsgrSvhGiBTwDwpsgmwbXHr+o&#10;XlaHHqPFj61P4UEFD83wxhoexf4lu98PerZ7up//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OoFAABbQ29udGVudF9UeXBlc10ueG1sUEsBAhQA&#10;CgAAAAAAh07iQAAAAAAAAAAAAAAAAAYAAAAAAAAAAAAQAAAAzAQAAF9yZWxzL1BLAQIUABQAAAAI&#10;AIdO4kCKFGY80QAAAJQBAAALAAAAAAAAAAEAIAAAAPAEAABfcmVscy8ucmVsc1BLAQIUAAoAAAAA&#10;AIdO4kAAAAAAAAAAAAAAAAAEAAAAAAAAAAAAEAAAAAAAAABkcnMvUEsBAhQAFAAAAAgAh07iQC2j&#10;yt3aAAAACgEAAA8AAAAAAAAAAQAgAAAAIgAAAGRycy9kb3ducmV2LnhtbFBLAQIUABQAAAAIAIdO&#10;4kApcHlgdwMAAAIMAAAOAAAAAAAAAAEAIAAAACkBAABkcnMvZTJvRG9jLnhtbFBLBQYAAAAABgAG&#10;AFkBAAASBwAAAAA=&#10;">
                      <o:lock v:ext="edit" aspectratio="f"/>
                      <v:line id="Line 6" o:spid="_x0000_s1026" o:spt="20" style="position:absolute;left:1038;top:0;flip:x y;height:725;width:6;" filled="f" stroked="t" coordsize="21600,21600" o:gfxdata="UEsDBAoAAAAAAIdO4kAAAAAAAAAAAAAAAAAEAAAAZHJzL1BLAwQUAAAACACHTuJAFw8Iob0AAADb&#10;AAAADwAAAGRycy9kb3ducmV2LnhtbEWPzWrDMBCE74W8g9hCL6WWHUoIrmUfAoH2FPILuS3W2jK1&#10;VsZSYvftq0Ihx2FmvmGKara9uNPoO8cKsiQFQVw73XGr4HTcvq1B+ICssXdMCn7IQ1UungrMtZt4&#10;T/dDaEWEsM9RgQlhyKX0tSGLPnEDcfQaN1oMUY6t1CNOEW57uUzTlbTYcVwwONDGUP19uFkFOzZr&#10;2dy64+T27/NFnr9em81VqZfnLP0AEWgOj/B/+1MrWGXw9yX+AFn+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DwihvQAA&#10;ANsAAAAPAAAAAAAAAAEAIAAAACIAAABkcnMvZG93bnJldi54bWxQSwECFAAUAAAACACHTuJAMy8F&#10;njsAAAA5AAAAEAAAAAAAAAABACAAAAAMAQAAZHJzL3NoYXBleG1sLnhtbFBLBQYAAAAABgAGAFsB&#10;AAC2AwAAAAA=&#10;">
                        <v:fill on="f" focussize="0,0"/>
                        <v:stroke color="#000000" joinstyle="round" dashstyle="1 1" endcap="round" endarrow="block"/>
                        <v:imagedata o:title=""/>
                        <o:lock v:ext="edit" aspectratio="f"/>
                      </v:line>
                      <v:shape id="Text Box 7" o:spid="_x0000_s1026" o:spt="202" type="#_x0000_t202" style="position:absolute;left:0;top:743;height:467;width:2288;" filled="f" stroked="t" coordsize="21600,21600" o:gfxdata="UEsDBAoAAAAAAIdO4kAAAAAAAAAAAAAAAAAEAAAAZHJzL1BLAwQUAAAACACHTuJAPBvlpLwAAADb&#10;AAAADwAAAGRycy9kb3ducmV2LnhtbEWPS4vCQBCE74L/YWhhb+vECD6iowd1YY8aX9c20ybBTE/I&#10;zPr69Y6w4LGorq+6pvO7qcSVGldaVtDrRiCIM6tLzhXstj/fIxDOI2usLJOCBzmYz9qtKSba3nhD&#10;19TnIkDYJaig8L5OpHRZQQZd19bEwTvbxqAPssmlbvAW4KaScRQNpMGSQ0OBNS0Kyi7pnwlvxMdd&#10;f7lOaTjEU3+5eu7H50Ol1FenF01AeLr7z/F/+lcrGMTw3hIAIGc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wb5aS8AAAA&#10;2wAAAA8AAAAAAAAAAQAgAAAAIgAAAGRycy9kb3ducmV2LnhtbFBLAQIUABQAAAAIAIdO4kAzLwWe&#10;OwAAADkAAAAQAAAAAAAAAAEAIAAAAAsBAABkcnMvc2hhcGV4bWwueG1sUEsFBgAAAAAGAAYAWwEA&#10;ALUDAAAAAA==&#10;">
                        <v:fill on="f" focussize="0,0"/>
                        <v:stroke color="#000000" miterlimit="8" joinstyle="miter"/>
                        <v:imagedata o:title=""/>
                        <o:lock v:ext="edit" aspectratio="f"/>
                        <v:textbox>
                          <w:txbxContent>
                            <w:p>
                              <w:pPr>
                                <w:jc w:val="center"/>
                              </w:pPr>
                              <w:r>
                                <w:rPr>
                                  <w:rFonts w:hint="eastAsia"/>
                                </w:rPr>
                                <w:t>地埋电缆</w:t>
                              </w:r>
                            </w:p>
                          </w:txbxContent>
                        </v:textbox>
                      </v:shape>
                      <v:line id="Line 8" o:spid="_x0000_s1026" o:spt="20" style="position:absolute;left:1036;top:1313;height:625;width:2;" filled="f" stroked="t" coordsize="21600,21600" o:gfxdata="UEsDBAoAAAAAAIdO4kAAAAAAAAAAAAAAAAAEAAAAZHJzL1BLAwQUAAAACACHTuJAXmNue78AAADb&#10;AAAADwAAAGRycy9kb3ducmV2LnhtbEWPS4vCQBCE7wv+h6EFL4tOVDZIdBTxAQseVqMHj02mTaKZ&#10;npAZH+uv31kQPBZVXxU1mT1MJW7UuNKygn4vAkGcWV1yruCwX3dHIJxH1lhZJgW/5GA2bX1MMNH2&#10;zju6pT4XoYRdggoK7+tESpcVZND1bE0cvJNtDPogm1zqBu+h3FRyEEWxNFhyWCiwpkVB2SW9GgXx&#10;8Qfnp3T7ta13q2yYPpf2c3NWqtPuR2MQnh7+HX7R3zpwQ/j/En6AnP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5jbnu/&#10;AAAA2wAAAA8AAAAAAAAAAQAgAAAAIgAAAGRycy9kb3ducmV2LnhtbFBLAQIUABQAAAAIAIdO4kAz&#10;LwWeOwAAADkAAAAQAAAAAAAAAAEAIAAAAA4BAABkcnMvc2hhcGV4bWwueG1sUEsFBgAAAAAGAAYA&#10;WwEAALgDAAAAAA==&#10;">
                        <v:fill on="f" focussize="0,0"/>
                        <v:stroke color="#000000" joinstyle="round" dashstyle="dash" endarrow="block"/>
                        <v:imagedata o:title=""/>
                        <o:lock v:ext="edit" aspectratio="f"/>
                      </v:line>
                      <v:shape id="Text Box 9" o:spid="_x0000_s1026" o:spt="202" type="#_x0000_t202" style="position:absolute;left:543;top:1938;height:469;width:945;" filled="f" stroked="t" coordsize="21600,21600" o:gfxdata="UEsDBAoAAAAAAIdO4kAAAAAAAAAAAAAAAAAEAAAAZHJzL1BLAwQUAAAACACHTuJAS19DFr8AAADb&#10;AAAADwAAAGRycy9kb3ducmV2LnhtbEWPQWvCQBSE74L/YXlCb2YTa1VS1xyEgoJYanPQ2zP7mgSz&#10;b0N2a9J/3y0UPA4z8w2zzgbTiDt1rrasIIliEMSF1TWXCvLPt+kKhPPIGhvLpOCHHGSb8WiNqbY9&#10;f9D95EsRIOxSVFB536ZSuqIigy6yLXHwvmxn0AfZlVJ32Ae4aeQsjhfSYM1hocKWthUVt9O3UXDJ&#10;++v8eHyRw/vhTP55t8fb8qLU0ySJX0F4Gvwj/N/eaQWLOfx9CT9Ab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tfQxa/&#10;AAAA2wAAAA8AAAAAAAAAAQAgAAAAIgAAAGRycy9kb3ducmV2LnhtbFBLAQIUABQAAAAIAIdO4kAz&#10;LwWeOwAAADkAAAAQAAAAAAAAAAEAIAAAAA4BAABkcnMvc2hhcGV4bWwueG1sUEsFBgAAAAAGAAYA&#10;WwEAALgDAAAAAA==&#10;">
                        <v:fill on="f" focussize="0,0"/>
                        <v:stroke color="#000000" miterlimit="8" joinstyle="miter" dashstyle="dash"/>
                        <v:imagedata o:title=""/>
                        <o:lock v:ext="edit" aspectratio="f"/>
                        <v:textbox>
                          <w:txbxContent>
                            <w:p>
                              <w:pPr>
                                <w:jc w:val="center"/>
                              </w:pPr>
                              <w:r>
                                <w:rPr>
                                  <w:rFonts w:hint="eastAsia"/>
                                </w:rPr>
                                <w:t>输电</w:t>
                              </w:r>
                            </w:p>
                          </w:txbxContent>
                        </v:textbox>
                      </v:shape>
                    </v:group>
                  </w:pict>
                </mc:Fallback>
              </mc:AlternateContent>
            </w:r>
            <w:r>
              <w:rPr>
                <w:rFonts w:hint="default" w:ascii="Times New Roman" w:hAnsi="Times New Roman" w:eastAsia="宋体" w:cs="Times New Roman"/>
                <w:b/>
                <w:color w:val="auto"/>
              </w:rPr>
              <mc:AlternateContent>
                <mc:Choice Requires="wps">
                  <w:drawing>
                    <wp:anchor distT="0" distB="0" distL="114300" distR="114300" simplePos="0" relativeHeight="251773952" behindDoc="0" locked="0" layoutInCell="1" allowOverlap="1">
                      <wp:simplePos x="0" y="0"/>
                      <wp:positionH relativeFrom="column">
                        <wp:posOffset>2893695</wp:posOffset>
                      </wp:positionH>
                      <wp:positionV relativeFrom="paragraph">
                        <wp:posOffset>60325</wp:posOffset>
                      </wp:positionV>
                      <wp:extent cx="3810" cy="346710"/>
                      <wp:effectExtent l="37465" t="0" r="34925" b="15240"/>
                      <wp:wrapNone/>
                      <wp:docPr id="65" name="直接连接符 65"/>
                      <wp:cNvGraphicFramePr/>
                      <a:graphic xmlns:a="http://schemas.openxmlformats.org/drawingml/2006/main">
                        <a:graphicData uri="http://schemas.microsoft.com/office/word/2010/wordprocessingShape">
                          <wps:wsp>
                            <wps:cNvCnPr>
                              <a:cxnSpLocks noChangeShapeType="1"/>
                            </wps:cNvCnPr>
                            <wps:spPr bwMode="auto">
                              <a:xfrm flipH="1" flipV="1">
                                <a:off x="0" y="0"/>
                                <a:ext cx="3810" cy="346710"/>
                              </a:xfrm>
                              <a:prstGeom prst="line">
                                <a:avLst/>
                              </a:prstGeom>
                              <a:noFill/>
                              <a:ln w="9525" cap="rnd">
                                <a:solidFill>
                                  <a:srgbClr val="000000"/>
                                </a:solidFill>
                                <a:prstDash val="sysDot"/>
                                <a:round/>
                                <a:tailEnd type="triangle" w="med" len="med"/>
                              </a:ln>
                            </wps:spPr>
                            <wps:bodyPr/>
                          </wps:wsp>
                        </a:graphicData>
                      </a:graphic>
                    </wp:anchor>
                  </w:drawing>
                </mc:Choice>
                <mc:Fallback>
                  <w:pict>
                    <v:line id="_x0000_s1026" o:spid="_x0000_s1026" o:spt="20" style="position:absolute;left:0pt;flip:x y;margin-left:227.85pt;margin-top:4.75pt;height:27.3pt;width:0.3pt;z-index:251773952;mso-width-relative:page;mso-height-relative:page;" filled="f" stroked="t" coordsize="21600,21600" o:gfxdata="UEsDBAoAAAAAAIdO4kAAAAAAAAAAAAAAAAAEAAAAZHJzL1BLAwQUAAAACACHTuJAxzC2ntgAAAAI&#10;AQAADwAAAGRycy9kb3ducmV2LnhtbE2PQU+DQBSE7yb+h80z8WLaBQWsyKOHJh48mbbaxNsWHiyR&#10;fUvYpeC/dz3pcTKTmW+K7WJ6caHRdZYR4nUEgriydcctwvvxZbUB4bziWvWWCeGbHGzL66tC5bWd&#10;eU+Xg29FKGGXKwTt/ZBL6SpNRrm1HYiD19jRKB/k2Mp6VHMoN728j6JMGtVxWNBqoJ2m6uswGYQ3&#10;1hvZTN1xtvtkOcmP17tm94l4exNHzyA8Lf4vDL/4AR3KwHS2E9dO9AhJmj6GKMJTCiL4SZo9gDgj&#10;ZEkMsizk/wPlD1BLAwQUAAAACACHTuJAhl99jAQCAADGAwAADgAAAGRycy9lMm9Eb2MueG1srVPN&#10;bhMxEL4j8Q6W72STloayyqaHhMKhQKQW7hPbm7Xwn2wnm7wEL4DErZw4cudtKI/BjBMChRtiD6Px&#10;zDd/38xOLrbWsI2KSXvX8NFgyJlywkvtVg1/c3P56JyzlMFJMN6phu9U4hfThw8mfajVie+8kSoy&#10;TOJS3YeGdzmHuqqS6JSFNPBBOXS2PlrI+IyrSkboMbs11clwOK56H2WIXqiU0DrfO/m05G9bJfLr&#10;tk0qM9Nw7C0XGYtckqymE6hXEUKnxaEN+IcuLGiHRY+p5pCBraP+K5XVIvrk2zwQ3la+bbVQZQac&#10;ZjT8Y5rrDoIqsyA5KRxpSv8vrXi1WUSmZcPHZ5w5sLijuw9fvr2//f71I8q7z58YepCmPqQa0TO3&#10;iDSo2LrrcOXFu8Scn3XgVqq0e7MLmGJEEdW9EHqkgMWW/UsvEQPr7Atn2zZa1hodXlBg0d6SRmWQ&#10;IbYt69od16W2mQk0np6PcKUCHaePx09Qp5pQUzoKDTHl58pbRkrDjXbEJdSwuUp5D/0JIbPzl9oY&#10;tENtHOsb/vTsBCkRgFcZnSyhyRstCUaoFFfLmYlsA3Rb5Tt0cA9GNeaQuj0u7dLcZ8JBHf3ayaJl&#10;0OaZkywX8nLUSKdRnLqwSnJmFP5cpO3bNu5ALvG538zSy90ikpt4xmMpVBwOm67x93dB/fr9pj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xzC2ntgAAAAIAQAADwAAAAAAAAABACAAAAAiAAAAZHJz&#10;L2Rvd25yZXYueG1sUEsBAhQAFAAAAAgAh07iQIZffYwEAgAAxgMAAA4AAAAAAAAAAQAgAAAAJwEA&#10;AGRycy9lMm9Eb2MueG1sUEsFBgAAAAAGAAYAWQEAAJ0FAAAAAA==&#10;">
                      <v:fill on="f" focussize="0,0"/>
                      <v:stroke color="#000000" joinstyle="round" dashstyle="1 1" endcap="round" endarrow="block"/>
                      <v:imagedata o:title=""/>
                      <o:lock v:ext="edit" aspectratio="f"/>
                    </v:line>
                  </w:pict>
                </mc:Fallback>
              </mc:AlternateContent>
            </w:r>
          </w:p>
          <w:p>
            <w:pPr>
              <w:pStyle w:val="12"/>
              <w:adjustRightInd w:val="0"/>
              <w:snapToGrid w:val="0"/>
              <w:spacing w:line="360" w:lineRule="auto"/>
              <w:ind w:firstLine="422"/>
              <w:rPr>
                <w:rFonts w:hint="default" w:ascii="Times New Roman" w:hAnsi="Times New Roman" w:eastAsia="宋体" w:cs="Times New Roman"/>
                <w:b/>
                <w:color w:val="auto"/>
              </w:rPr>
            </w:pPr>
            <w:r>
              <w:rPr>
                <w:rFonts w:hint="default" w:ascii="Times New Roman" w:hAnsi="Times New Roman" w:eastAsia="宋体" w:cs="Times New Roman"/>
                <w:b/>
                <w:color w:val="auto"/>
              </w:rPr>
              <mc:AlternateContent>
                <mc:Choice Requires="wps">
                  <w:drawing>
                    <wp:anchor distT="0" distB="0" distL="114300" distR="114300" simplePos="0" relativeHeight="251774976" behindDoc="0" locked="0" layoutInCell="1" allowOverlap="1">
                      <wp:simplePos x="0" y="0"/>
                      <wp:positionH relativeFrom="column">
                        <wp:posOffset>2232025</wp:posOffset>
                      </wp:positionH>
                      <wp:positionV relativeFrom="paragraph">
                        <wp:posOffset>144780</wp:posOffset>
                      </wp:positionV>
                      <wp:extent cx="1146175" cy="297180"/>
                      <wp:effectExtent l="5080" t="4445" r="10795" b="22225"/>
                      <wp:wrapNone/>
                      <wp:docPr id="57" name="文本框 57"/>
                      <wp:cNvGraphicFramePr/>
                      <a:graphic xmlns:a="http://schemas.openxmlformats.org/drawingml/2006/main">
                        <a:graphicData uri="http://schemas.microsoft.com/office/word/2010/wordprocessingShape">
                          <wps:wsp>
                            <wps:cNvSpPr txBox="1">
                              <a:spLocks noChangeArrowheads="1"/>
                            </wps:cNvSpPr>
                            <wps:spPr bwMode="auto">
                              <a:xfrm>
                                <a:off x="0" y="0"/>
                                <a:ext cx="1145969" cy="297180"/>
                              </a:xfrm>
                              <a:prstGeom prst="rect">
                                <a:avLst/>
                              </a:prstGeom>
                              <a:noFill/>
                              <a:ln w="9525">
                                <a:solidFill>
                                  <a:srgbClr val="000000"/>
                                </a:solidFill>
                                <a:miter lim="800000"/>
                              </a:ln>
                            </wps:spPr>
                            <wps:txbx>
                              <w:txbxContent>
                                <w:p>
                                  <w:r>
                                    <w:rPr>
                                      <w:rFonts w:hint="eastAsia"/>
                                    </w:rPr>
                                    <w:t>施工临建工程</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75.75pt;margin-top:11.4pt;height:23.4pt;width:90.25pt;z-index:251774976;mso-width-relative:page;mso-height-relative:page;" filled="f" stroked="t" coordsize="21600,21600" o:gfxdata="UEsDBAoAAAAAAIdO4kAAAAAAAAAAAAAAAAAEAAAAZHJzL1BLAwQUAAAACACHTuJAhpV5JdYAAAAJ&#10;AQAADwAAAGRycy9kb3ducmV2LnhtbE2Py07DMBBF90j8gzVI7KgTR0lpGqcLCnsIhW6deJpE+BHF&#10;7gO+nmFFl6M5c+fcanOxhp1wDqN3EtJFAgxd5/Xoegm795eHR2AhKqeV8Q4lfGOATX17U6lS+7N7&#10;w1MTe0YhLpRKwhDjVHIeugGtCgs/oaPdwc9WRRrnnutZnSncGi6SpOBWjY4+DGrCpwG7r+ZoSUPs&#10;d9n2tcHlUrXZ9vnnY3X4NFLe36XJGljES/yH4U+fbqAmp9YfnQ7MSMjyNCdUghBUgYA8E1SulVCs&#10;CuB1xa8b1L9QSwMEFAAAAAgAh07iQGEAy3MjAgAAEgQAAA4AAABkcnMvZTJvRG9jLnhtbK1TzY7T&#10;MBC+I/EOlu80TdVu26jpaulqEdLyIy08gOM4iYXjMbbbpDwAvMGeuHDnufocjJ1uieCGyMGyM+Nv&#10;Zr7v8+a6bxU5COsk6JymkyklQnMopa5z+vHD3YsVJc4zXTIFWuT0KBy93j5/tulMJmbQgCqFJQii&#10;XdaZnDbemyxJHG9Ey9wEjNAYrMC2zOPR1klpWYforUpm0+lV0oEtjQUunMO/t0OQbiN+VQnu31WV&#10;E56onGJvPq42rkVYk+2GZbVlppH83Ab7hy5aJjUWvUDdMs/I3sq/oFrJLTio/IRDm0BVSS7iDDhN&#10;Ov1jmoeGGRFnQXKcudDk/h8sf3t4b4ksc7pYUqJZixqdHr+dvv88/fhK8B8S1BmXYd6DwUzfv4Qe&#10;hY7DOnMP/JMjGnYN07W4sRa6RrASG0zDzWR0dcBxAaTo3kCJhdjeQwTqK9sG9pAPgugo1PEijug9&#10;4aFkOl+sr9aUcIzN1st0FdVLWPZ021jnXwloSdjk1KL4EZ0d7p0P3bDsKSUU03AnlYoGUJp0OV0v&#10;ZothLlCyDMGQ5mxd7JQlBxYsFL84GkbGaa30aGQl25yuxklKn2kIkw8c+L7oz7QWUB6REAuDMfEh&#10;4aYB+4WSDk2ZU/d5z6ygRL3WSOo6nc+Di+NhvljO8GDHkWIcYZojVE49JcN25wfn742VdYOVBhk1&#10;3KAQlYwcBcWGrs59o/EidedHEpw9Pses3095+w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GlXkl&#10;1gAAAAkBAAAPAAAAAAAAAAEAIAAAACIAAABkcnMvZG93bnJldi54bWxQSwECFAAUAAAACACHTuJA&#10;YQDLcyMCAAASBAAADgAAAAAAAAABACAAAAAlAQAAZHJzL2Uyb0RvYy54bWxQSwUGAAAAAAYABgBZ&#10;AQAAugUAAAAA&#10;">
                      <v:fill on="f" focussize="0,0"/>
                      <v:stroke color="#000000" miterlimit="8" joinstyle="miter"/>
                      <v:imagedata o:title=""/>
                      <o:lock v:ext="edit" aspectratio="f"/>
                      <v:textbox>
                        <w:txbxContent>
                          <w:p>
                            <w:r>
                              <w:rPr>
                                <w:rFonts w:hint="eastAsia"/>
                              </w:rPr>
                              <w:t>施工临建工程</w:t>
                            </w:r>
                          </w:p>
                        </w:txbxContent>
                      </v:textbox>
                    </v:shape>
                  </w:pict>
                </mc:Fallback>
              </mc:AlternateContent>
            </w:r>
            <w:r>
              <w:rPr>
                <w:rFonts w:hint="default" w:ascii="Times New Roman" w:hAnsi="Times New Roman" w:eastAsia="宋体" w:cs="Times New Roman"/>
                <w:b/>
                <w:color w:val="auto"/>
              </w:rPr>
              <mc:AlternateContent>
                <mc:Choice Requires="wps">
                  <w:drawing>
                    <wp:anchor distT="0" distB="0" distL="114300" distR="114300" simplePos="0" relativeHeight="251772928" behindDoc="0" locked="0" layoutInCell="1" allowOverlap="1">
                      <wp:simplePos x="0" y="0"/>
                      <wp:positionH relativeFrom="column">
                        <wp:posOffset>-12065</wp:posOffset>
                      </wp:positionH>
                      <wp:positionV relativeFrom="paragraph">
                        <wp:posOffset>20955</wp:posOffset>
                      </wp:positionV>
                      <wp:extent cx="1866900" cy="297180"/>
                      <wp:effectExtent l="5080" t="4445" r="13970" b="22225"/>
                      <wp:wrapNone/>
                      <wp:docPr id="56" name="文本框 56"/>
                      <wp:cNvGraphicFramePr/>
                      <a:graphic xmlns:a="http://schemas.openxmlformats.org/drawingml/2006/main">
                        <a:graphicData uri="http://schemas.microsoft.com/office/word/2010/wordprocessingShape">
                          <wps:wsp>
                            <wps:cNvSpPr txBox="1">
                              <a:spLocks noChangeArrowheads="1"/>
                            </wps:cNvSpPr>
                            <wps:spPr bwMode="auto">
                              <a:xfrm>
                                <a:off x="0" y="0"/>
                                <a:ext cx="1866900" cy="297180"/>
                              </a:xfrm>
                              <a:prstGeom prst="rect">
                                <a:avLst/>
                              </a:prstGeom>
                              <a:noFill/>
                              <a:ln w="9525">
                                <a:solidFill>
                                  <a:srgbClr val="FFFFFF"/>
                                </a:solidFill>
                                <a:miter lim="800000"/>
                              </a:ln>
                            </wps:spPr>
                            <wps:txbx>
                              <w:txbxContent>
                                <w:p>
                                  <w:pPr>
                                    <w:rPr>
                                      <w:szCs w:val="20"/>
                                    </w:rPr>
                                  </w:pPr>
                                  <w:r>
                                    <w:rPr>
                                      <w:rFonts w:hint="eastAsia"/>
                                      <w:szCs w:val="20"/>
                                    </w:rPr>
                                    <w:t>生态破坏、施工噪声、扬尘等</w:t>
                                  </w:r>
                                </w:p>
                                <w:p>
                                  <w:r>
                                    <w:rPr>
                                      <w:rFonts w:hint="eastAsia"/>
                                    </w:rPr>
                                    <w:t>生态破坏、施工噪声、扬尘等</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0.95pt;margin-top:1.65pt;height:23.4pt;width:147pt;z-index:251772928;mso-width-relative:page;mso-height-relative:page;" filled="f" stroked="t" coordsize="21600,21600" o:gfxdata="UEsDBAoAAAAAAIdO4kAAAAAAAAAAAAAAAAAEAAAAZHJzL1BLAwQUAAAACACHTuJASHTxM9cAAAAH&#10;AQAADwAAAGRycy9kb3ducmV2LnhtbE2OwU7DMBBE70j8g7VIXKrWdgpVm2bTAxIHDgVa+gFu7MaB&#10;eB3FTlL+HnOC42hGb16xu7qWjaYPjScEuRDADFVeN1QjnD6e52tgISrSqvVkEL5NgF15e1OoXPuJ&#10;DmY8xpolCIVcIdgYu5zzUFnjVFj4zlDqLr53KqbY11z3akpw1/JMiBV3qqH0YFVnnqypvo6DQzi8&#10;2PcZPez3rebj6vP0OrxN6xni/Z0UW2DRXOPfGH71kzqUyensB9KBtQhzuUlLhOUSWKqzTSaBnREe&#10;hQReFvy/f/kDUEsDBBQAAAAIAIdO4kDcasjyJQIAABIEAAAOAAAAZHJzL2Uyb0RvYy54bWytU82O&#10;0zAQviPxDpbvNGnVdtuo6Wrpqghp+ZEWHsBxnMTC8RjbbbI8ALzBnrhw57n6HIydbKnghsjBsjPj&#10;b2a+7/Pmum8VOQrrJOicTicpJUJzKKWuc/rxw/7FihLnmS6ZAi1y+iAcvd4+f7bpTCZm0IAqhSUI&#10;ol3WmZw23pssSRxvRMvcBIzQGKzAtszj0dZJaVmH6K1KZmm6TDqwpbHAhXP493YI0m3EryrB/buq&#10;csITlVPszcfVxrUIa7LdsKy2zDSSj22wf+iiZVJj0TPULfOMHKz8C6qV3IKDyk84tAlUleQizoDT&#10;TNM/prlvmBFxFiTHmTNN7v/B8rfH95bIMqeLJSWatajR6fHb6fvP04+vBP8hQZ1xGebdG8z0/Uvo&#10;Ueg4rDN3wD85omHXMF2LG2uhawQrscFpuJlcXB1wXAApujdQYiF28BCB+sq2gT3kgyA6CvVwFkf0&#10;nvBQcrVcrlMMcYzN1lfTVVQvYdnTbWOdfyWgJWGTU4viR3R2vHM+dMOyp5RQTMNeKhUNoDTpcrpe&#10;zBbDXKBkGYIhzdm62ClLjgwttI9fHA0jl2mt9GhkJducrtLwjUlKjzSEyQcOfF/0I60FlA9IiIXB&#10;mPiQcNOA/UJJh6bMqft8YFZQol5rJHU9nc+Di+Nhvria4cFeRorLCNMcoXLqKRm2Oz84/2CsrBus&#10;NMio4QaFqGTkKCg2dDX2jcaL1I2PJDj78hyzfj/l7S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I&#10;dPEz1wAAAAcBAAAPAAAAAAAAAAEAIAAAACIAAABkcnMvZG93bnJldi54bWxQSwECFAAUAAAACACH&#10;TuJA3GrI8iUCAAASBAAADgAAAAAAAAABACAAAAAmAQAAZHJzL2Uyb0RvYy54bWxQSwUGAAAAAAYA&#10;BgBZAQAAvQUAAAAA&#10;">
                      <v:fill on="f" focussize="0,0"/>
                      <v:stroke color="#FFFFFF" miterlimit="8" joinstyle="miter"/>
                      <v:imagedata o:title=""/>
                      <o:lock v:ext="edit" aspectratio="f"/>
                      <v:textbox>
                        <w:txbxContent>
                          <w:p>
                            <w:pPr>
                              <w:rPr>
                                <w:szCs w:val="20"/>
                              </w:rPr>
                            </w:pPr>
                            <w:r>
                              <w:rPr>
                                <w:rFonts w:hint="eastAsia"/>
                                <w:szCs w:val="20"/>
                              </w:rPr>
                              <w:t>生态破坏、施工噪声、扬尘等</w:t>
                            </w:r>
                          </w:p>
                          <w:p>
                            <w:r>
                              <w:rPr>
                                <w:rFonts w:hint="eastAsia"/>
                              </w:rPr>
                              <w:t>生态破坏、施工噪声、扬尘等</w:t>
                            </w:r>
                          </w:p>
                        </w:txbxContent>
                      </v:textbox>
                    </v:shape>
                  </w:pict>
                </mc:Fallback>
              </mc:AlternateContent>
            </w:r>
          </w:p>
          <w:p>
            <w:pPr>
              <w:pStyle w:val="12"/>
              <w:adjustRightInd w:val="0"/>
              <w:snapToGrid w:val="0"/>
              <w:spacing w:line="360" w:lineRule="auto"/>
              <w:ind w:firstLine="422"/>
              <w:rPr>
                <w:rFonts w:hint="default" w:ascii="Times New Roman" w:hAnsi="Times New Roman" w:eastAsia="宋体" w:cs="Times New Roman"/>
                <w:b/>
                <w:color w:val="auto"/>
              </w:rPr>
            </w:pPr>
            <w:r>
              <w:rPr>
                <w:rFonts w:hint="default" w:ascii="Times New Roman" w:hAnsi="Times New Roman" w:eastAsia="宋体" w:cs="Times New Roman"/>
                <w:b/>
                <w:color w:val="auto"/>
              </w:rPr>
              <mc:AlternateContent>
                <mc:Choice Requires="wps">
                  <w:drawing>
                    <wp:anchor distT="0" distB="0" distL="114300" distR="114300" simplePos="0" relativeHeight="251768832" behindDoc="0" locked="0" layoutInCell="1" allowOverlap="1">
                      <wp:simplePos x="0" y="0"/>
                      <wp:positionH relativeFrom="column">
                        <wp:posOffset>3419475</wp:posOffset>
                      </wp:positionH>
                      <wp:positionV relativeFrom="paragraph">
                        <wp:posOffset>53340</wp:posOffset>
                      </wp:positionV>
                      <wp:extent cx="397510" cy="1270"/>
                      <wp:effectExtent l="0" t="36830" r="2540" b="38100"/>
                      <wp:wrapNone/>
                      <wp:docPr id="174" name="直接连接符 174"/>
                      <wp:cNvGraphicFramePr/>
                      <a:graphic xmlns:a="http://schemas.openxmlformats.org/drawingml/2006/main">
                        <a:graphicData uri="http://schemas.microsoft.com/office/word/2010/wordprocessingShape">
                          <wps:wsp>
                            <wps:cNvCnPr>
                              <a:cxnSpLocks noChangeShapeType="1"/>
                            </wps:cNvCnPr>
                            <wps:spPr bwMode="auto">
                              <a:xfrm>
                                <a:off x="0" y="0"/>
                                <a:ext cx="397823" cy="1154"/>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269.25pt;margin-top:4.2pt;height:0.1pt;width:31.3pt;z-index:251768832;mso-width-relative:page;mso-height-relative:page;" filled="f" stroked="t" coordsize="21600,21600" o:gfxdata="UEsDBAoAAAAAAIdO4kAAAAAAAAAAAAAAAAAEAAAAZHJzL1BLAwQUAAAACACHTuJAcRwTbtcAAAAH&#10;AQAADwAAAGRycy9kb3ducmV2LnhtbE2OwU7DMBBE70j8g7VI3KhtoJGVxukBqVxaQG0Rojc3NklE&#10;vI5ipw1/z3Iqx9GM3rxiOfmOndwQ24Aa5EwAc1gF22Kt4X2/ulPAYjJoTRfQafhxEZbl9VVhchvO&#10;uHWnXaoZQTDmRkOTUp9zHqvGeRNnoXdI3VcYvEkUh5rbwZwJ7jt+L0TGvWmRHhrTu6fGVd+70WvY&#10;blZr9bEep2o4PMvX/dvm5TMqrW9vpFgAS25KlzH86ZM6lOR0DCPayDoN8wc1p6kG9QiM+kxICexI&#10;OQNeFvy/f/kLUEsDBBQAAAAIAIdO4kAuWxnG6QEAAJADAAAOAAAAZHJzL2Uyb0RvYy54bWytU8Fu&#10;EzEQvSPxD5bvZJOU0HaVTQ8p5VIgUssHTGxv1sL2WLaTTX6CH0DiBqceufM3lM9g7KShwA2xh9Ha&#10;b+b5zRt7erG1hm1UiBpdw0eDIWfKCZTarRr+7vbq2RlnMYGTYNCphu9U5Bezp0+mva/VGDs0UgVG&#10;JC7WvW94l5KvqyqKTlmIA/TKEdhisJBoGVaVDNATuzXVeDh8UfUYpA8oVIy0e7kH+azwt60S6W3b&#10;RpWYaThpSyWGEpc5VrMp1KsAvtPiIAP+QYUF7ejQI9UlJGDroP+isloEjNimgUBbYdtqoUoP1M1o&#10;+Ec3Nx14VXohc6I/2hT/H614s1kEpiXN7vQ5Zw4sDen+49fvHz7/+PaJ4v3dF5YhMqr3sab8uVuE&#10;3KrYuht/jeJ9ZA7nHbiVKoJvd544Rrmi+q0kL6Kn45b9a5SUA+uExbVtG2ymJD/YtgxndxyO2iYm&#10;aPPk/PRsfMKZIGg0mhRFFdQPpT7E9EqhZfmn4Ua77BzUsLmOKUuB+iElbzu80saU6RvH+oafT8aT&#10;UhDRaJnBnBbDajk3gW0g35/ylb4IeZwWcO1kIUugzUsnWSompKDJFqN4PsEqyZlR9Ezy316ScQeT&#10;si97h5cod4uQ4ewXjb1oP1zRfK8er0vWr4c0+wl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xHBNu&#10;1wAAAAcBAAAPAAAAAAAAAAEAIAAAACIAAABkcnMvZG93bnJldi54bWxQSwECFAAUAAAACACHTuJA&#10;LlsZxukBAACQAwAADgAAAAAAAAABACAAAAAmAQAAZHJzL2Uyb0RvYy54bWxQSwUGAAAAAAYABgBZ&#10;AQAAgQUAAAAA&#10;">
                      <v:fill on="f" focussize="0,0"/>
                      <v:stroke color="#000000" joinstyle="round" endarrow="block"/>
                      <v:imagedata o:title=""/>
                      <o:lock v:ext="edit" aspectratio="f"/>
                    </v:line>
                  </w:pict>
                </mc:Fallback>
              </mc:AlternateContent>
            </w:r>
            <w:r>
              <w:rPr>
                <w:rFonts w:hint="default" w:ascii="Times New Roman" w:hAnsi="Times New Roman" w:eastAsia="宋体" w:cs="Times New Roman"/>
                <w:b/>
                <w:color w:val="auto"/>
              </w:rPr>
              <mc:AlternateContent>
                <mc:Choice Requires="wps">
                  <w:drawing>
                    <wp:anchor distT="0" distB="0" distL="114300" distR="114300" simplePos="0" relativeHeight="251771904" behindDoc="0" locked="0" layoutInCell="1" allowOverlap="1">
                      <wp:simplePos x="0" y="0"/>
                      <wp:positionH relativeFrom="column">
                        <wp:posOffset>3625850</wp:posOffset>
                      </wp:positionH>
                      <wp:positionV relativeFrom="paragraph">
                        <wp:posOffset>185420</wp:posOffset>
                      </wp:positionV>
                      <wp:extent cx="199390" cy="0"/>
                      <wp:effectExtent l="0" t="38100" r="10160" b="38100"/>
                      <wp:wrapNone/>
                      <wp:docPr id="175" name="直接连接符 175"/>
                      <wp:cNvGraphicFramePr/>
                      <a:graphic xmlns:a="http://schemas.openxmlformats.org/drawingml/2006/main">
                        <a:graphicData uri="http://schemas.microsoft.com/office/word/2010/wordprocessingShape">
                          <wps:wsp>
                            <wps:cNvCnPr>
                              <a:cxnSpLocks noChangeShapeType="1"/>
                            </wps:cNvCnPr>
                            <wps:spPr bwMode="auto">
                              <a:xfrm>
                                <a:off x="0" y="0"/>
                                <a:ext cx="199390" cy="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285.5pt;margin-top:14.6pt;height:0pt;width:15.7pt;z-index:251771904;mso-width-relative:page;mso-height-relative:page;" filled="f" stroked="t" coordsize="21600,21600" o:gfxdata="UEsDBAoAAAAAAIdO4kAAAAAAAAAAAAAAAAAEAAAAZHJzL1BLAwQUAAAACACHTuJAPpqkzdoAAAAJ&#10;AQAADwAAAGRycy9kb3ducmV2LnhtbE2PwU7DMBBE70j9B2srcaN2IighxOkBqVxaqNoi1N7ceEki&#10;4nVkO234e4w4wHF2RrNvisVoOnZG51tLEpKZAIZUWd1SLeFtv7zJgPmgSKvOEkr4Qg+LcnJVqFzb&#10;C23xvAs1iyXkcyWhCaHPOfdVg0b5me2RovdhnVEhSldz7dQllpuOp0LMuVEtxQ+N6vGpwepzNxgJ&#10;2/Vylb2vhrFyx+fkdb9Zvxx8JuX1NBGPwAKO4S8MP/gRHcrIdLIDac86CXf3SdwSJKQPKbAYmIv0&#10;Ftjp98DLgv9fUH4DUEsDBBQAAAAIAIdO4kBln+gI5AEAAI0DAAAOAAAAZHJzL2Uyb0RvYy54bWyt&#10;U0uOEzEQ3SNxB8t70klQgLTSmUWGYTNApBkOULHdaQvbZdlOOrkEF0BiByuWs+c2DMeg7HwYYIfo&#10;Rantqnp+9Z49u9hZw7YqRI2u4aPBkDPlBErt1g1/d3v15AVnMYGTYNCphu9V5Bfzx49mva/VGDs0&#10;UgVGIC7WvW94l5KvqyqKTlmIA/TKUbLFYCHRMqwrGaAndGuq8XD4rOoxSB9QqBhp9/KQ5POC37ZK&#10;pLdtG1VipuHELZUYSlzlWM1nUK8D+E6LIw34BxYWtKNDz1CXkIBtgv4LymoRMGKbBgJthW2rhSoz&#10;0DSj4R/T3HTgVZmFxIn+LFP8f7DizXYZmJbk3fMJZw4smXT/8e77h88/vn2ieP/1C8spEqr3sab6&#10;hVuGPKrYuRt/jeJ9ZA4XHbi1KoRv954wRrmj+q0lL6Kn41b9a5RUA5uERbVdG2yGJD3YrpizP5uj&#10;dokJ2hxNp0+nZKE4pSqoT30+xPRKoWX5p+FGuywb1LC9jinzgPpUkrcdXmljivXGsb7h08l4Uhoi&#10;Gi1zMpfFsF4tTGBbyJenfGUoyjwsC7hxsoAl0OalkywVBVLQpIlRPJ9gleTMKHoj+e9AybijQlmU&#10;g7wrlPtlyOksFnleuB/vZ75UD9el6tcrmv8E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PpqkzdoA&#10;AAAJAQAADwAAAAAAAAABACAAAAAiAAAAZHJzL2Rvd25yZXYueG1sUEsBAhQAFAAAAAgAh07iQGWf&#10;6AjkAQAAjQMAAA4AAAAAAAAAAQAgAAAAKQEAAGRycy9lMm9Eb2MueG1sUEsFBgAAAAAGAAYAWQEA&#10;AH8FAAAAAA==&#10;">
                      <v:fill on="f" focussize="0,0"/>
                      <v:stroke color="#000000" joinstyle="round" endarrow="block"/>
                      <v:imagedata o:title=""/>
                      <o:lock v:ext="edit" aspectratio="f"/>
                    </v:line>
                  </w:pict>
                </mc:Fallback>
              </mc:AlternateContent>
            </w:r>
            <w:r>
              <w:rPr>
                <w:rFonts w:hint="default" w:ascii="Times New Roman" w:hAnsi="Times New Roman" w:eastAsia="宋体" w:cs="Times New Roman"/>
                <w:b/>
                <w:color w:val="auto"/>
              </w:rPr>
              <mc:AlternateContent>
                <mc:Choice Requires="wps">
                  <w:drawing>
                    <wp:anchor distT="0" distB="0" distL="114300" distR="114300" simplePos="0" relativeHeight="251770880" behindDoc="0" locked="0" layoutInCell="1" allowOverlap="1">
                      <wp:simplePos x="0" y="0"/>
                      <wp:positionH relativeFrom="column">
                        <wp:posOffset>3612515</wp:posOffset>
                      </wp:positionH>
                      <wp:positionV relativeFrom="paragraph">
                        <wp:posOffset>189230</wp:posOffset>
                      </wp:positionV>
                      <wp:extent cx="9525" cy="880745"/>
                      <wp:effectExtent l="0" t="0" r="0" b="0"/>
                      <wp:wrapNone/>
                      <wp:docPr id="176" name="直接连接符 176"/>
                      <wp:cNvGraphicFramePr/>
                      <a:graphic xmlns:a="http://schemas.openxmlformats.org/drawingml/2006/main">
                        <a:graphicData uri="http://schemas.microsoft.com/office/word/2010/wordprocessingShape">
                          <wps:wsp>
                            <wps:cNvCnPr>
                              <a:cxnSpLocks noChangeShapeType="1"/>
                            </wps:cNvCnPr>
                            <wps:spPr bwMode="auto">
                              <a:xfrm flipH="1">
                                <a:off x="0" y="0"/>
                                <a:ext cx="9525" cy="880745"/>
                              </a:xfrm>
                              <a:prstGeom prst="line">
                                <a:avLst/>
                              </a:prstGeom>
                              <a:noFill/>
                              <a:ln w="9525">
                                <a:solidFill>
                                  <a:srgbClr val="000000"/>
                                </a:solidFill>
                                <a:round/>
                              </a:ln>
                            </wps:spPr>
                            <wps:bodyPr/>
                          </wps:wsp>
                        </a:graphicData>
                      </a:graphic>
                    </wp:anchor>
                  </w:drawing>
                </mc:Choice>
                <mc:Fallback>
                  <w:pict>
                    <v:line id="_x0000_s1026" o:spid="_x0000_s1026" o:spt="20" style="position:absolute;left:0pt;flip:x;margin-left:284.45pt;margin-top:14.9pt;height:69.35pt;width:0.75pt;z-index:251770880;mso-width-relative:page;mso-height-relative:page;" filled="f" stroked="t" coordsize="21600,21600" o:gfxdata="UEsDBAoAAAAAAIdO4kAAAAAAAAAAAAAAAAAEAAAAZHJzL1BLAwQUAAAACACHTuJAeTsq1dgAAAAK&#10;AQAADwAAAGRycy9kb3ducmV2LnhtbE2Py07DMBBF90j8gzVI7KjdQEIS4lQIARukSpS0aycekgg/&#10;othNy98zrGA5mqN7z602Z2vYgnMYvZOwXglg6DqvR9dLaD5ebnJgISqnlfEOJXxjgE19eVGpUvuT&#10;e8dlF3tGIS6USsIQ41RyHroBrQorP6Gj36efrYp0zj3XszpRuDU8ESLjVo2OGgY14dOA3dfuaCU8&#10;Ht6eb7dLa73RRd/stW3EayLl9dVaPACLeI5/MPzqkzrU5NT6o9OBGQlplheESkgKmkBAei/ugLVE&#10;ZnkKvK74/wn1D1BLAwQUAAAACACHTuJAphSaodABAABsAwAADgAAAGRycy9lMm9Eb2MueG1srVPN&#10;jtMwEL4j8Q6W7zRpRXdL1HQPXS0cFqi0ywO4/kksHI9lu036ErwAEjc4cdw7b8PyGIzd0GXhhshh&#10;lPn7Zuab8fJi6AzZSx802JpOJyUl0nIQ2jY1fXd79WxBSYjMCmbAypoeZKAXq6dPlr2r5AxaMEJ6&#10;giA2VL2raRujq4oi8FZ2LEzASYtOBb5jEVXfFMKzHtE7U8zK8qzowQvngcsQ0Hp5dNJVxldK8vhW&#10;qSAjMTXF3mKWPsttksVqyarGM9dqPrbB/qGLjmmLRU9QlywysvP6L6hOcw8BVJxw6ApQSnOZZ8Bp&#10;puUf09y0zMk8C5IT3Imm8P9g+Zv9xhMtcHfnZ5RY1uGS7j/eff/w+ce3Tyjvv34hyYVE9S5UGL+2&#10;G59G5YO9cdfA3wdiYd0y28jc8O3BIcY0ZRSPUpISHJbb9q9BYAzbRcisDcp3RBntXqXEBI7MkCGv&#10;6XBakxwi4Wh8MZ/NKeHoWCzK8+fzXIlVCSSlOh/iSwkdST81NdomDlnF9tchpqYeQpLZwpU2Jt+B&#10;saQf4ZMngNEiObPim+3aeLJn6ZLyN9Z9FOZhZ8WxiLEjAWnmI3tbEIeN/0UMrjR3M55fupnf9Zz9&#10;8EhWP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5OyrV2AAAAAoBAAAPAAAAAAAAAAEAIAAAACIA&#10;AABkcnMvZG93bnJldi54bWxQSwECFAAUAAAACACHTuJAphSaodABAABsAwAADgAAAAAAAAABACAA&#10;AAAnAQAAZHJzL2Uyb0RvYy54bWxQSwUGAAAAAAYABgBZAQAAaQUAAAAA&#10;">
                      <v:fill on="f" focussize="0,0"/>
                      <v:stroke color="#000000" joinstyle="round"/>
                      <v:imagedata o:title=""/>
                      <o:lock v:ext="edit" aspectratio="f"/>
                    </v:line>
                  </w:pict>
                </mc:Fallback>
              </mc:AlternateContent>
            </w:r>
            <w:r>
              <w:rPr>
                <w:rFonts w:hint="default" w:ascii="Times New Roman" w:hAnsi="Times New Roman" w:eastAsia="宋体" w:cs="Times New Roman"/>
                <w:b/>
                <w:color w:val="auto"/>
              </w:rPr>
              <mc:AlternateContent>
                <mc:Choice Requires="wps">
                  <w:drawing>
                    <wp:anchor distT="0" distB="0" distL="114300" distR="114300" simplePos="0" relativeHeight="251784192" behindDoc="0" locked="0" layoutInCell="1" allowOverlap="1">
                      <wp:simplePos x="0" y="0"/>
                      <wp:positionH relativeFrom="column">
                        <wp:posOffset>1934210</wp:posOffset>
                      </wp:positionH>
                      <wp:positionV relativeFrom="paragraph">
                        <wp:posOffset>14605</wp:posOffset>
                      </wp:positionV>
                      <wp:extent cx="300355" cy="1270"/>
                      <wp:effectExtent l="0" t="37465" r="4445" b="37465"/>
                      <wp:wrapNone/>
                      <wp:docPr id="59" name="直接连接符 59"/>
                      <wp:cNvGraphicFramePr/>
                      <a:graphic xmlns:a="http://schemas.openxmlformats.org/drawingml/2006/main">
                        <a:graphicData uri="http://schemas.microsoft.com/office/word/2010/wordprocessingShape">
                          <wps:wsp>
                            <wps:cNvCnPr>
                              <a:cxnSpLocks noChangeShapeType="1"/>
                            </wps:cNvCnPr>
                            <wps:spPr bwMode="auto">
                              <a:xfrm flipV="1">
                                <a:off x="0" y="0"/>
                                <a:ext cx="300355" cy="127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flip:y;margin-left:152.3pt;margin-top:1.15pt;height:0.1pt;width:23.65pt;z-index:251784192;mso-width-relative:page;mso-height-relative:page;" filled="f" stroked="t" coordsize="21600,21600" o:gfxdata="UEsDBAoAAAAAAIdO4kAAAAAAAAAAAAAAAAAEAAAAZHJzL1BLAwQUAAAACACHTuJAyG+mldcAAAAH&#10;AQAADwAAAGRycy9kb3ducmV2LnhtbE2OwU7DMBBE70j8g7VI3KidpqloiNMDAokTghYhcXPjJQmN&#10;18F2m8LXs5zgOJrRm1etT24QRwyx96QhmykQSI23PbUaXrb3V9cgYjJkzeAJNXxhhHV9flaZ0vqJ&#10;nvG4Sa1gCMXSaOhSGkspY9OhM3HmRyTu3n1wJnEMrbTBTAx3g5wrtZTO9MQPnRnxtsNmvzk4Davt&#10;VPinsH9dZP3n2/fdRxofHpPWlxeZugGR8JT+xvCrz+pQs9POH8hGMWjI1WLJUw3zHAT3eZGtQOw4&#10;FyDrSv73r38AUEsDBBQAAAAIAIdO4kBp5Rkw7QEAAJgDAAAOAAAAZHJzL2Uyb0RvYy54bWytU7GO&#10;EzEQ7ZH4B8s92U1OAW6VzRU5juaASHfQO7Y3a2F7LNvJJj/BDyDRQUVJz99wfAYzTpQ7oEO4GNme&#10;mec3b8azi52zbKtjMuBbPh7VnGkvQRm/bvnb26snzzlLWXglLHjd8r1O/GL++NFsCI2eQA9W6cgQ&#10;xKdmCC3vcw5NVSXZayfSCIL26OwgOpHxGNeVimJAdGerSV0/rQaIKkSQOiW8vTw4+bzgd52W+U3X&#10;JZ2ZbTlyy8XGYldkq/lMNOsoQm/kkYb4BxZOGI+PnqAuRRZsE81fUM7ICAm6PJLgKug6I3WpAasZ&#10;139Uc9OLoEstKE4KJ5nS/4OVr7fLyIxq+fScMy8c9uju47cfHz7//P4J7d3XLww9KNMQUoPRC7+M&#10;VKjc+ZtwDfJ9Yh4WvfBrXeje7gNCjCmj+i2FDingY6vhFSiMEZsMRbNdFx3rrAnvKJHAURe2K03a&#10;n5qkd5lJvDyr67PplDOJrvHkWWlhJRoCodQQU36pwTHatNwaTwqKRmyvUyZS9yF07eHKWFumwHo2&#10;tPx8OpmWhATWKHJSWIrr1cJGthU0R2WVCtHzMCzCxqsCloWxL7xiuciRo0GBrOb0gtOKM6vxu9Du&#10;QMn6o1yk0EHrFaj9MpKblMP2F+7HUaX5enguUfcfav4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yG+mldcAAAAHAQAADwAAAAAAAAABACAAAAAiAAAAZHJzL2Rvd25yZXYueG1sUEsBAhQAFAAAAAgA&#10;h07iQGnlGTDtAQAAmAMAAA4AAAAAAAAAAQAgAAAAJgEAAGRycy9lMm9Eb2MueG1sUEsFBgAAAAAG&#10;AAYAWQEAAIUFAAAAAA==&#10;">
                      <v:fill on="f" focussize="0,0"/>
                      <v:stroke color="#000000" joinstyle="round" endarrow="block"/>
                      <v:imagedata o:title=""/>
                      <o:lock v:ext="edit" aspectratio="f"/>
                    </v:line>
                  </w:pict>
                </mc:Fallback>
              </mc:AlternateContent>
            </w:r>
            <w:r>
              <w:rPr>
                <w:rFonts w:hint="default" w:ascii="Times New Roman" w:hAnsi="Times New Roman" w:eastAsia="宋体" w:cs="Times New Roman"/>
                <w:b/>
                <w:color w:val="auto"/>
              </w:rPr>
              <mc:AlternateContent>
                <mc:Choice Requires="wps">
                  <w:drawing>
                    <wp:anchor distT="0" distB="0" distL="114300" distR="114300" simplePos="0" relativeHeight="251783168" behindDoc="0" locked="0" layoutInCell="1" allowOverlap="1">
                      <wp:simplePos x="0" y="0"/>
                      <wp:positionH relativeFrom="column">
                        <wp:posOffset>1929765</wp:posOffset>
                      </wp:positionH>
                      <wp:positionV relativeFrom="paragraph">
                        <wp:posOffset>1905</wp:posOffset>
                      </wp:positionV>
                      <wp:extent cx="3175" cy="1074420"/>
                      <wp:effectExtent l="0" t="0" r="0" b="0"/>
                      <wp:wrapNone/>
                      <wp:docPr id="58" name="直接连接符 58"/>
                      <wp:cNvGraphicFramePr/>
                      <a:graphic xmlns:a="http://schemas.openxmlformats.org/drawingml/2006/main">
                        <a:graphicData uri="http://schemas.microsoft.com/office/word/2010/wordprocessingShape">
                          <wps:wsp>
                            <wps:cNvCnPr>
                              <a:cxnSpLocks noChangeShapeType="1"/>
                            </wps:cNvCnPr>
                            <wps:spPr bwMode="auto">
                              <a:xfrm flipH="1">
                                <a:off x="0" y="0"/>
                                <a:ext cx="3175" cy="1074420"/>
                              </a:xfrm>
                              <a:prstGeom prst="line">
                                <a:avLst/>
                              </a:prstGeom>
                              <a:noFill/>
                              <a:ln w="9525">
                                <a:solidFill>
                                  <a:srgbClr val="000000"/>
                                </a:solidFill>
                                <a:round/>
                              </a:ln>
                            </wps:spPr>
                            <wps:bodyPr/>
                          </wps:wsp>
                        </a:graphicData>
                      </a:graphic>
                    </wp:anchor>
                  </w:drawing>
                </mc:Choice>
                <mc:Fallback>
                  <w:pict>
                    <v:line id="_x0000_s1026" o:spid="_x0000_s1026" o:spt="20" style="position:absolute;left:0pt;flip:x;margin-left:151.95pt;margin-top:0.15pt;height:84.6pt;width:0.25pt;z-index:251783168;mso-width-relative:page;mso-height-relative:page;" filled="f" stroked="t" coordsize="21600,21600" o:gfxdata="UEsDBAoAAAAAAIdO4kAAAAAAAAAAAAAAAAAEAAAAZHJzL1BLAwQUAAAACACHTuJAGTeiwtYAAAAI&#10;AQAADwAAAGRycy9kb3ducmV2LnhtbE2PwU7DMAyG70i8Q2QkbizZOiZamk4IARckJEa3c9qYtiJx&#10;qibrxttjTnCz9X/6/bncnr0TM05xCKRhuVAgkNpgB+o01B/PN3cgYjJkjQuEGr4xwra6vChNYcOJ&#10;3nHepU5wCcXCaOhTGgspY9ujN3ERRiTOPsPkTeJ16qSdzInLvZMrpTbSm4H4Qm9GfOyx/dodvYaH&#10;w+tT9jY3Pjibd/Xe+lq9rLS+vlqqexAJz+kPhl99VoeKnZpwJBuF05CpLGeUBxAcZ2q9BtEwt8lv&#10;QVal/P9A9QNQSwMEFAAAAAgAh07iQOenSR7WAQAAawMAAA4AAABkcnMvZTJvRG9jLnhtbK1TwW4T&#10;MRC9I/EPlu9kd0NDYZVND6kKhwKRWj7A8dq7FrbHsp3s5if4ASRucOqRO39D+xkdOyEtcEPsYbTj&#10;mXme92Y8PxuNJlvhgwLb0GpSUiIsh1bZrqEfri+evaQkRGZbpsGKhu5EoGeLp0/mg6vFFHrQrfAE&#10;QWyoB9fQPkZXF0XgvTAsTMAJi0EJ3rCIru+K1rMB0Y0upmX5ohjAt84DFyHg6fk+SBcZX0rB43sp&#10;g4hENxR7i9n6bNfJFos5qzvPXK/4oQ32D10YpixeeoQ6Z5GRjVd/QRnFPQSQccLBFCCl4iJzQDZV&#10;+Qebq545kbmgOMEdZQr/D5a/2648UW1DZzgpywzO6Pbz95+fvt79+IL29uYbwQjKNLhQY/bSrnwi&#10;ykd75S6BfwzEwrJnthO53eudQ4gqVRS/lSQnOLxsPbyFFnPYJkLWbJTeEKmVe5MKEzjqQsY8pN1x&#10;SGKMhOPh8+p0RgnHQFWenpxM8wwLVieUVOt8iK8FGJJ+GqqVTRKymm0vQ0xdPaSkYwsXSuu8BtqS&#10;oaGvZtNZLgigVZuCKS34br3UnmxZWqT8ZYoYeZzmYWPb/SXaHhRIpPfyraHdrfwvZXCiuZvD9qWV&#10;eezn6oc3srg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GTeiwtYAAAAIAQAADwAAAAAAAAABACAA&#10;AAAiAAAAZHJzL2Rvd25yZXYueG1sUEsBAhQAFAAAAAgAh07iQOenSR7WAQAAawMAAA4AAAAAAAAA&#10;AQAgAAAAJQEAAGRycy9lMm9Eb2MueG1sUEsFBgAAAAAGAAYAWQEAAG0FAAAAAA==&#10;">
                      <v:fill on="f" focussize="0,0"/>
                      <v:stroke color="#000000" joinstyle="round"/>
                      <v:imagedata o:title=""/>
                      <o:lock v:ext="edit" aspectratio="f"/>
                    </v:line>
                  </w:pict>
                </mc:Fallback>
              </mc:AlternateContent>
            </w:r>
            <w:r>
              <w:rPr>
                <w:rFonts w:hint="default" w:ascii="Times New Roman" w:hAnsi="Times New Roman" w:eastAsia="宋体" w:cs="Times New Roman"/>
                <w:b/>
                <w:color w:val="auto"/>
              </w:rPr>
              <mc:AlternateContent>
                <mc:Choice Requires="wps">
                  <w:drawing>
                    <wp:anchor distT="0" distB="0" distL="114300" distR="114300" simplePos="0" relativeHeight="251777024" behindDoc="0" locked="0" layoutInCell="1" allowOverlap="1">
                      <wp:simplePos x="0" y="0"/>
                      <wp:positionH relativeFrom="column">
                        <wp:posOffset>814070</wp:posOffset>
                      </wp:positionH>
                      <wp:positionV relativeFrom="paragraph">
                        <wp:posOffset>53975</wp:posOffset>
                      </wp:positionV>
                      <wp:extent cx="0" cy="297180"/>
                      <wp:effectExtent l="38100" t="0" r="38100" b="7620"/>
                      <wp:wrapNone/>
                      <wp:docPr id="177" name="直接连接符 177"/>
                      <wp:cNvGraphicFramePr/>
                      <a:graphic xmlns:a="http://schemas.openxmlformats.org/drawingml/2006/main">
                        <a:graphicData uri="http://schemas.microsoft.com/office/word/2010/wordprocessingShape">
                          <wps:wsp>
                            <wps:cNvCnPr>
                              <a:cxnSpLocks noChangeShapeType="1"/>
                            </wps:cNvCnPr>
                            <wps:spPr bwMode="auto">
                              <a:xfrm flipV="1">
                                <a:off x="0" y="0"/>
                                <a:ext cx="0" cy="297180"/>
                              </a:xfrm>
                              <a:prstGeom prst="line">
                                <a:avLst/>
                              </a:prstGeom>
                              <a:noFill/>
                              <a:ln w="9525" cap="rnd">
                                <a:solidFill>
                                  <a:srgbClr val="000000"/>
                                </a:solidFill>
                                <a:prstDash val="sysDot"/>
                                <a:round/>
                                <a:tailEnd type="triangle" w="med" len="med"/>
                              </a:ln>
                            </wps:spPr>
                            <wps:bodyPr/>
                          </wps:wsp>
                        </a:graphicData>
                      </a:graphic>
                    </wp:anchor>
                  </w:drawing>
                </mc:Choice>
                <mc:Fallback>
                  <w:pict>
                    <v:line id="_x0000_s1026" o:spid="_x0000_s1026" o:spt="20" style="position:absolute;left:0pt;flip:y;margin-left:64.1pt;margin-top:4.25pt;height:23.4pt;width:0pt;z-index:251777024;mso-width-relative:page;mso-height-relative:page;" filled="f" stroked="t" coordsize="21600,21600" o:gfxdata="UEsDBAoAAAAAAIdO4kAAAAAAAAAAAAAAAAAEAAAAZHJzL1BLAwQUAAAACACHTuJApqzcstQAAAAI&#10;AQAADwAAAGRycy9kb3ducmV2LnhtbE2PMU/DMBCFdyT+g3WVWBB1GhSI0jgdqjIwtoDEeI2vSdT4&#10;HHJuU/49LguMn97Tu+/K1cX16kyjdJ4NLOYJKOLa244bA+9vLw85KAnIFnvPZOCbBFbV7U2JhfUT&#10;b+m8C42KIywFGmhDGAqtpW7Jocz9QByzgx8dhohjo+2IUxx3vU6T5Ek77DheaHGgdUv1cXdyBrpn&#10;2nxNr0HwI90e5P7zKLzeGHM3WyRLUIEu4a8MV/2oDlV02vsTW1F95DRPY9VAnoG65r+8N5Blj6Cr&#10;Uv9/oPoBUEsDBBQAAAAIAIdO4kBoqTVU/QEAALsDAAAOAAAAZHJzL2Uyb0RvYy54bWytU81uEzEQ&#10;viPxDpbvZJNIJe0qmx4SyqVApRbuju3NWtgey3ayyUvwAkjc4MSRO29DeQxmvFFa4IbwYWTPzzcz&#10;34znl3tn2U7HZMA3fDIac6a9BGX8puFv766enXOWsvBKWPC64Qed+OXi6ZN5H2o9hQ6s0pEhiE91&#10;Hxre5Rzqqkqy006kEQTt0dhCdCLjM24qFUWP6M5W0/H4edVDVCGC1CmhdjUY+aLgt62W+U3bJp2Z&#10;bTjWlouMRa5JVou5qDdRhM7IYxniH6pwwnhMeoJaiSzYNpq/oJyRERK0eSTBVdC2RurSA3YzGf/R&#10;zW0ngi69IDkpnGhK/w9Wvt7dRGYUzm4248wLh0O6//jtx4fPP79/Qnn/9QsjExLVh1Sj/9LfRGpV&#10;7v1tuAb5PjEPy074jS4F3x0CYkwoovothB4pYLp1/woU+ohthsLavo2OtdaEdxRI4MgM25cxHU5j&#10;0vvM5KCUqJ1ezCbnZYKVqAmB4kJM+aUGx+jScGs8EShqsbtOmSp6cCG1hytjbVkC61nf8Iuz6Rln&#10;UuAqRq9KaAJrFLlRQIqb9dJGthO0UOWURtHy2I2yr0TqBr90SCvIw65F2HpVEmZh7AuvWC585WiQ&#10;Qas5VeG04sxq/FF0G8q2/sgnUTgMYw3qcBPJTNTihpT+jttMK/j4Xbwe/tzi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Kas3LLUAAAACAEAAA8AAAAAAAAAAQAgAAAAIgAAAGRycy9kb3ducmV2Lnht&#10;bFBLAQIUABQAAAAIAIdO4kBoqTVU/QEAALsDAAAOAAAAAAAAAAEAIAAAACMBAABkcnMvZTJvRG9j&#10;LnhtbFBLBQYAAAAABgAGAFkBAACSBQAAAAA=&#10;">
                      <v:fill on="f" focussize="0,0"/>
                      <v:stroke color="#000000" joinstyle="round" dashstyle="1 1" endcap="round" endarrow="block"/>
                      <v:imagedata o:title=""/>
                      <o:lock v:ext="edit" aspectratio="f"/>
                    </v:line>
                  </w:pict>
                </mc:Fallback>
              </mc:AlternateContent>
            </w:r>
          </w:p>
          <w:p>
            <w:pPr>
              <w:pStyle w:val="12"/>
              <w:adjustRightInd w:val="0"/>
              <w:snapToGrid w:val="0"/>
              <w:spacing w:line="360" w:lineRule="auto"/>
              <w:ind w:firstLine="422"/>
              <w:rPr>
                <w:rFonts w:hint="default" w:ascii="Times New Roman" w:hAnsi="Times New Roman" w:eastAsia="宋体" w:cs="Times New Roman"/>
                <w:b/>
                <w:color w:val="auto"/>
              </w:rPr>
            </w:pPr>
            <w:r>
              <w:rPr>
                <w:rFonts w:hint="default" w:ascii="Times New Roman" w:hAnsi="Times New Roman" w:eastAsia="宋体" w:cs="Times New Roman"/>
                <w:b/>
                <w:color w:val="auto"/>
              </w:rPr>
              <mc:AlternateContent>
                <mc:Choice Requires="wps">
                  <w:drawing>
                    <wp:anchor distT="0" distB="0" distL="114300" distR="114300" simplePos="0" relativeHeight="251782144" behindDoc="0" locked="0" layoutInCell="1" allowOverlap="1">
                      <wp:simplePos x="0" y="0"/>
                      <wp:positionH relativeFrom="column">
                        <wp:posOffset>1287145</wp:posOffset>
                      </wp:positionH>
                      <wp:positionV relativeFrom="paragraph">
                        <wp:posOffset>245745</wp:posOffset>
                      </wp:positionV>
                      <wp:extent cx="636905" cy="0"/>
                      <wp:effectExtent l="0" t="38100" r="10795" b="38100"/>
                      <wp:wrapNone/>
                      <wp:docPr id="178" name="直接连接符 178"/>
                      <wp:cNvGraphicFramePr/>
                      <a:graphic xmlns:a="http://schemas.openxmlformats.org/drawingml/2006/main">
                        <a:graphicData uri="http://schemas.microsoft.com/office/word/2010/wordprocessingShape">
                          <wps:wsp>
                            <wps:cNvCnPr>
                              <a:cxnSpLocks noChangeShapeType="1"/>
                            </wps:cNvCnPr>
                            <wps:spPr bwMode="auto">
                              <a:xfrm>
                                <a:off x="0" y="0"/>
                                <a:ext cx="636905" cy="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101.35pt;margin-top:19.35pt;height:0pt;width:50.15pt;z-index:251782144;mso-width-relative:page;mso-height-relative:page;" filled="f" stroked="t" coordsize="21600,21600" o:gfxdata="UEsDBAoAAAAAAIdO4kAAAAAAAAAAAAAAAAAEAAAAZHJzL1BLAwQUAAAACACHTuJAqhXcjNgAAAAJ&#10;AQAADwAAAGRycy9kb3ducmV2LnhtbE2PQU/DMAyF70j8h8hI3FjSVoKqNN0BaVw2QNsQglvWmLai&#10;caom3cq/x4jDOFn2e3r+XrmcXS+OOIbOk4ZkoUAg1d521Gh43a9uchAhGrKm94QavjHAsrq8KE1h&#10;/Ym2eNzFRnAIhcJoaGMcCilD3aIzYeEHJNY+/ehM5HVspB3NicNdL1OlbqUzHfGH1gz40GL9tZuc&#10;hu1mtc7f1tNcjx+PyfP+ZfP0HnKtr68SdQ8i4hzPZvjFZ3SomOngJ7JB9BpSld6xVUOW82RDpjIu&#10;d/g7yKqU/xtUP1BLAwQUAAAACACHTuJAvJm8puQBAACNAwAADgAAAGRycy9lMm9Eb2MueG1srVNL&#10;jhMxEN0jcQfLe9JJUALTSmcWGYbNAJFmOEDFdqctbJdlO+nkElwAiR2sWLLnNgzHoOx8GGCH6EWp&#10;7ap6fvWePbvcWcO2KkSNruGjwZAz5QRK7dYNf3t3/eQ5ZzGBk2DQqYbvVeSX88ePZr2v1Rg7NFIF&#10;RiAu1r1veJeSr6sqik5ZiAP0ylGyxWAh0TKsKxmgJ3RrqvFwOK16DNIHFCpG2r06JPm84LetEulN&#10;20aVmGk4cUslhhJXOVbzGdTrAL7T4kgD/oGFBe3o0DPUFSRgm6D/grJaBIzYpoFAW2HbaqHKDDTN&#10;aPjHNLcdeFVmIXGiP8sU/x+seL1dBqYlefeMrHJgyaT7D1+/v//049tHivdfPrOcIqF6H2uqX7hl&#10;yKOKnbv1NyjeReZw0YFbq0L4bu8JY5Q7qt9a8iJ6Om7Vv0JJNbBJWFTbtcFmSNKD7Yo5+7M5apeY&#10;oM3p0+nFcMKZOKUqqE99PsT0UqFl+afhRrssG9SwvYkp84D6VJK3HV5rY4r1xrG+4ReT8aQ0RDRa&#10;5mQui2G9WpjAtpAvT/nKUJR5WBZw42QBS6DNCydZKgqkoEkTo3g+wSrJmVH0RvLfgZJxR4WyKAd5&#10;Vyj3y5DTWSzyvHA/3s98qR6uS9WvVzT/C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KoV3IzYAAAA&#10;CQEAAA8AAAAAAAAAAQAgAAAAIgAAAGRycy9kb3ducmV2LnhtbFBLAQIUABQAAAAIAIdO4kC8mbym&#10;5AEAAI0DAAAOAAAAAAAAAAEAIAAAACcBAABkcnMvZTJvRG9jLnhtbFBLBQYAAAAABgAGAFkBAAB9&#10;BQAAAAA=&#10;">
                      <v:fill on="f" focussize="0,0"/>
                      <v:stroke color="#000000" joinstyle="round" endarrow="block"/>
                      <v:imagedata o:title=""/>
                      <o:lock v:ext="edit" aspectratio="f"/>
                    </v:line>
                  </w:pict>
                </mc:Fallback>
              </mc:AlternateContent>
            </w:r>
            <w:r>
              <w:rPr>
                <w:rFonts w:hint="default" w:ascii="Times New Roman" w:hAnsi="Times New Roman" w:eastAsia="宋体" w:cs="Times New Roman"/>
                <w:b/>
                <w:color w:val="auto"/>
              </w:rPr>
              <mc:AlternateContent>
                <mc:Choice Requires="wps">
                  <w:drawing>
                    <wp:anchor distT="0" distB="0" distL="114300" distR="114300" simplePos="0" relativeHeight="251779072" behindDoc="0" locked="0" layoutInCell="1" allowOverlap="1">
                      <wp:simplePos x="0" y="0"/>
                      <wp:positionH relativeFrom="column">
                        <wp:posOffset>363220</wp:posOffset>
                      </wp:positionH>
                      <wp:positionV relativeFrom="paragraph">
                        <wp:posOffset>107950</wp:posOffset>
                      </wp:positionV>
                      <wp:extent cx="923925" cy="297180"/>
                      <wp:effectExtent l="4445" t="4445" r="5080" b="22225"/>
                      <wp:wrapNone/>
                      <wp:docPr id="47" name="文本框 47"/>
                      <wp:cNvGraphicFramePr/>
                      <a:graphic xmlns:a="http://schemas.openxmlformats.org/drawingml/2006/main">
                        <a:graphicData uri="http://schemas.microsoft.com/office/word/2010/wordprocessingShape">
                          <wps:wsp>
                            <wps:cNvSpPr txBox="1">
                              <a:spLocks noChangeArrowheads="1"/>
                            </wps:cNvSpPr>
                            <wps:spPr bwMode="auto">
                              <a:xfrm>
                                <a:off x="0" y="0"/>
                                <a:ext cx="923925" cy="297180"/>
                              </a:xfrm>
                              <a:prstGeom prst="rect">
                                <a:avLst/>
                              </a:prstGeom>
                              <a:noFill/>
                              <a:ln w="9525">
                                <a:solidFill>
                                  <a:srgbClr val="000000"/>
                                </a:solidFill>
                                <a:miter lim="800000"/>
                              </a:ln>
                            </wps:spPr>
                            <wps:txbx>
                              <w:txbxContent>
                                <w:p>
                                  <w:r>
                                    <w:rPr>
                                      <w:rFonts w:hint="eastAsia"/>
                                    </w:rPr>
                                    <w:t>碎石铺路等</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28.6pt;margin-top:8.5pt;height:23.4pt;width:72.75pt;z-index:251779072;mso-width-relative:page;mso-height-relative:page;" filled="f" stroked="t" coordsize="21600,21600" o:gfxdata="UEsDBAoAAAAAAIdO4kAAAAAAAAAAAAAAAAAEAAAAZHJzL1BLAwQUAAAACACHTuJA3BTFDdUAAAAI&#10;AQAADwAAAGRycy9kb3ducmV2LnhtbE2PS0/DMBCE70j8B2uRuFG7jqhLiNMDhTuEAlcn3iYRfkSx&#10;+4Bfz3KC4+7Mzn5Tbc7esSPOaYxBw3IhgGHooh1Dr2H3+nSzBpayCda4GFDDFybY1JcXlSltPIUX&#10;PDa5ZxQSUmk0DDlPJeepG9CbtIgTBtL2cfYm0zj33M7mROHecSnEinszBvowmAkfBuw+m4MnDPmx&#10;K7bPDSpl2mL7+P12t393Wl9fLcU9sIzn/GeGX3y6gZqY2ngINjGn4VZJctJeUSXSpZAKWKthVayB&#10;1xX/X6D+AVBLAwQUAAAACACHTuJA7eIUZSACAAARBAAADgAAAGRycy9lMm9Eb2MueG1srVPNjtMw&#10;EL4j8Q6W7zRtaGkbNV0tXS1CWn6khQdwHKexsD3GdpuUB4A34MSFO8/V52DsdEu13BA+WB7P+JuZ&#10;7xuvrnqtyF44L8GUdDIaUyIMh1qabUk/frh9tqDEB2ZqpsCIkh6Ep1frp09WnS1EDi2oWjiCIMYX&#10;nS1pG4ItsszzVmjmR2CFQWcDTrOApttmtWMdomuV5ePxi6wDV1sHXHiPtzeDk64TftMIHt41jReB&#10;qJJibSHtLu1V3LP1ihVbx2wr+akM9g9VaCYNJj1D3bDAyM7Jv6C05A48NGHEQWfQNJKL1AN2Mxk/&#10;6ua+ZVakXpAcb880+f8Hy9/u3zsi65JO55QYplGj4/dvxx+/jj+/ErxDgjrrC4y7txgZ+pfQo9Cp&#10;WW/vgH/yxMCmZWYrrp2DrhWsxgIn8WV28XTA8RGk6t5AjYnYLkAC6hunI3vIB0F0FOpwFkf0gXC8&#10;XObPl/mMEo6ufDmfLJJ4GSseHlvnwysBmsRDSR1qn8DZ/s6HWAwrHkJiLgO3UqmkvzKkwwQzhI8e&#10;D0rW0ZkMt602ypE9ixOUVursUZiWAedYSV3SxWWQMicWYuMDBaGv+hOrFdQH5MPBMJf4j/DQgvtC&#10;SYczWVL/ececoES9NsjpcjKdxiFOxnQ2z9Fwl57q0sMMR6iSBkqG4yYMg7+zTm5bzDSoaOAadWhk&#10;4igKNlR1qhvnLlF3+iNxsC/tFPXnJ6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NwUxQ3VAAAA&#10;CAEAAA8AAAAAAAAAAQAgAAAAIgAAAGRycy9kb3ducmV2LnhtbFBLAQIUABQAAAAIAIdO4kDt4hRl&#10;IAIAABEEAAAOAAAAAAAAAAEAIAAAACQBAABkcnMvZTJvRG9jLnhtbFBLBQYAAAAABgAGAFkBAAC2&#10;BQAAAAA=&#10;">
                      <v:fill on="f" focussize="0,0"/>
                      <v:stroke color="#000000" miterlimit="8" joinstyle="miter"/>
                      <v:imagedata o:title=""/>
                      <o:lock v:ext="edit" aspectratio="f"/>
                      <v:textbox>
                        <w:txbxContent>
                          <w:p>
                            <w:r>
                              <w:rPr>
                                <w:rFonts w:hint="eastAsia"/>
                              </w:rPr>
                              <w:t>碎石铺路等</w:t>
                            </w:r>
                          </w:p>
                        </w:txbxContent>
                      </v:textbox>
                    </v:shape>
                  </w:pict>
                </mc:Fallback>
              </mc:AlternateContent>
            </w:r>
          </w:p>
          <w:p>
            <w:pPr>
              <w:pStyle w:val="12"/>
              <w:adjustRightInd w:val="0"/>
              <w:snapToGrid w:val="0"/>
              <w:spacing w:line="360" w:lineRule="auto"/>
              <w:ind w:firstLine="422"/>
              <w:rPr>
                <w:rFonts w:hint="default" w:ascii="Times New Roman" w:hAnsi="Times New Roman" w:eastAsia="宋体" w:cs="Times New Roman"/>
                <w:b/>
                <w:color w:val="auto"/>
              </w:rPr>
            </w:pPr>
          </w:p>
          <w:p>
            <w:pPr>
              <w:pStyle w:val="12"/>
              <w:adjustRightInd w:val="0"/>
              <w:snapToGrid w:val="0"/>
              <w:spacing w:line="360" w:lineRule="auto"/>
              <w:ind w:firstLine="422"/>
              <w:rPr>
                <w:rFonts w:hint="default" w:ascii="Times New Roman" w:hAnsi="Times New Roman" w:eastAsia="宋体" w:cs="Times New Roman"/>
                <w:b/>
                <w:color w:val="auto"/>
              </w:rPr>
            </w:pPr>
            <w:r>
              <w:rPr>
                <w:rFonts w:hint="default" w:ascii="Times New Roman" w:hAnsi="Times New Roman" w:eastAsia="宋体" w:cs="Times New Roman"/>
                <w:b/>
                <w:color w:val="auto"/>
              </w:rPr>
              <mc:AlternateContent>
                <mc:Choice Requires="wps">
                  <w:drawing>
                    <wp:anchor distT="0" distB="0" distL="114300" distR="114300" simplePos="0" relativeHeight="251769856" behindDoc="0" locked="0" layoutInCell="1" allowOverlap="1">
                      <wp:simplePos x="0" y="0"/>
                      <wp:positionH relativeFrom="column">
                        <wp:posOffset>3253105</wp:posOffset>
                      </wp:positionH>
                      <wp:positionV relativeFrom="paragraph">
                        <wp:posOffset>168275</wp:posOffset>
                      </wp:positionV>
                      <wp:extent cx="368300" cy="0"/>
                      <wp:effectExtent l="0" t="0" r="0" b="0"/>
                      <wp:wrapNone/>
                      <wp:docPr id="179" name="直接连接符 179"/>
                      <wp:cNvGraphicFramePr/>
                      <a:graphic xmlns:a="http://schemas.openxmlformats.org/drawingml/2006/main">
                        <a:graphicData uri="http://schemas.microsoft.com/office/word/2010/wordprocessingShape">
                          <wps:wsp>
                            <wps:cNvCnPr>
                              <a:cxnSpLocks noChangeShapeType="1"/>
                            </wps:cNvCnPr>
                            <wps:spPr bwMode="auto">
                              <a:xfrm flipV="1">
                                <a:off x="0" y="0"/>
                                <a:ext cx="368135"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flip:y;margin-left:256.15pt;margin-top:13.25pt;height:0pt;width:29pt;z-index:251769856;mso-width-relative:page;mso-height-relative:page;" filled="f" stroked="t" coordsize="21600,21600" o:gfxdata="UEsDBAoAAAAAAIdO4kAAAAAAAAAAAAAAAAAEAAAAZHJzL1BLAwQUAAAACACHTuJAltIXF9UAAAAJ&#10;AQAADwAAAGRycy9kb3ducmV2LnhtbE2PwUrEMBCG74LvEEbw5ibt0lVr00VEvQiCa/WcNmNbTCal&#10;yXbXt3fEgx7nn49/vqm2R+/EgnMcA2nIVgoEUhfsSL2G5vXh4gpETIascYFQwxdG2NanJ5UpbTjQ&#10;Cy671AsuoVgaDUNKUyll7Ab0Jq7ChMS7jzB7k3ice2lnc+By72Su1EZ6MxJfGMyEdwN2n7u913D7&#10;/nS/fl5aH5y97ps36xv1mGt9fpapGxAJj+kPhh99VoeandqwJxuF01Bk+ZpRDfmmAMFAcak4aH8D&#10;WVfy/wf1N1BLAwQUAAAACACHTuJAqmLiftEBAABpAwAADgAAAGRycy9lMm9Eb2MueG1srVPNbhMx&#10;EL4j8Q6W72STVCntKpseUpVLgUgt3B3/7FrYHst2spuX4AWQuMGJY++8DeUxGDtpWuCG2MNoxzPz&#10;eb5vxvOLwRqylSFqcA2djMaUSMdBaNc29N3t1YszSmJiTjADTjZ0JyO9WDx/Nu99LafQgREyEARx&#10;se59Q7uUfF1VkXfSsjgCLx0GFQTLErqhrURgPaJbU03H49OqhyB8AC5jxNPLfZAuCr5Skqe3SkWZ&#10;iGko9paKDcWus60Wc1a3gflO80Mb7B+6sEw7vPQIdckSI5ug/4KymgeIoNKIg61AKc1l4YBsJuM/&#10;2Nx0zMvCBcWJ/ihT/H+w/M12FYgWOLuX55Q4ZnFI95/ufnz88vP7Z7T3376SHEKheh9rzF+6VchU&#10;+eBu/DXwD5E4WHbMtbI0fLvziDHJFdVvJdmJHq9b969BYA7bJCiqDSpYooz273NhBkdlyFDGtDuO&#10;SQ6JcDw8OT2bnMwo4Q+hitUZIdf5ENMrCZbkn4Ya7bKArGbb65hyR48p+djBlTamLIFxpG/o+Ww6&#10;KwURjBY5mNNiaNdLE8iW5TUqX6GHkadpATZO7C8x7sA+E95LtwaxW4UHVXCepZvD7uWFeeqX6scX&#10;svg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ltIXF9UAAAAJAQAADwAAAAAAAAABACAAAAAiAAAA&#10;ZHJzL2Rvd25yZXYueG1sUEsBAhQAFAAAAAgAh07iQKpi4n7RAQAAaQMAAA4AAAAAAAAAAQAgAAAA&#10;JAEAAGRycy9lMm9Eb2MueG1sUEsFBgAAAAAGAAYAWQEAAGcFAAAAAA==&#10;">
                      <v:fill on="f" focussize="0,0"/>
                      <v:stroke color="#000000" joinstyle="round"/>
                      <v:imagedata o:title=""/>
                      <o:lock v:ext="edit" aspectratio="f"/>
                    </v:line>
                  </w:pict>
                </mc:Fallback>
              </mc:AlternateContent>
            </w:r>
            <w:r>
              <w:rPr>
                <w:rFonts w:hint="default" w:ascii="Times New Roman" w:hAnsi="Times New Roman" w:eastAsia="宋体" w:cs="Times New Roman"/>
                <w:b/>
                <w:color w:val="auto"/>
              </w:rPr>
              <mc:AlternateContent>
                <mc:Choice Requires="wps">
                  <w:drawing>
                    <wp:anchor distT="0" distB="0" distL="114300" distR="114300" simplePos="0" relativeHeight="251776000" behindDoc="0" locked="0" layoutInCell="1" allowOverlap="1">
                      <wp:simplePos x="0" y="0"/>
                      <wp:positionH relativeFrom="column">
                        <wp:posOffset>2235200</wp:posOffset>
                      </wp:positionH>
                      <wp:positionV relativeFrom="paragraph">
                        <wp:posOffset>37465</wp:posOffset>
                      </wp:positionV>
                      <wp:extent cx="1016635" cy="297180"/>
                      <wp:effectExtent l="4445" t="4445" r="7620" b="22225"/>
                      <wp:wrapNone/>
                      <wp:docPr id="180" name="文本框 180"/>
                      <wp:cNvGraphicFramePr/>
                      <a:graphic xmlns:a="http://schemas.openxmlformats.org/drawingml/2006/main">
                        <a:graphicData uri="http://schemas.microsoft.com/office/word/2010/wordprocessingShape">
                          <wps:wsp>
                            <wps:cNvSpPr txBox="1">
                              <a:spLocks noChangeArrowheads="1"/>
                            </wps:cNvSpPr>
                            <wps:spPr bwMode="auto">
                              <a:xfrm>
                                <a:off x="0" y="0"/>
                                <a:ext cx="1016635" cy="297180"/>
                              </a:xfrm>
                              <a:prstGeom prst="rect">
                                <a:avLst/>
                              </a:prstGeom>
                              <a:noFill/>
                              <a:ln w="9525">
                                <a:solidFill>
                                  <a:srgbClr val="000000"/>
                                </a:solidFill>
                                <a:miter lim="800000"/>
                              </a:ln>
                            </wps:spPr>
                            <wps:txbx>
                              <w:txbxContent>
                                <w:p>
                                  <w:pPr>
                                    <w:jc w:val="center"/>
                                  </w:pPr>
                                  <w:r>
                                    <w:rPr>
                                      <w:rFonts w:hint="eastAsia"/>
                                    </w:rPr>
                                    <w:t>电池板安装</w:t>
                                  </w:r>
                                </w:p>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76pt;margin-top:2.95pt;height:23.4pt;width:80.05pt;z-index:251776000;mso-width-relative:page;mso-height-relative:page;" filled="f" stroked="t" coordsize="21600,21600" o:gfxdata="UEsDBAoAAAAAAIdO4kAAAAAAAAAAAAAAAAAEAAAAZHJzL1BLAwQUAAAACACHTuJAc3XzU9YAAAAI&#10;AQAADwAAAGRycy9kb3ducmV2LnhtbE2PS0/EMAyE70j8h8hI3Nj0oVK2NN0DC3coC1zTxttWJE7V&#10;ZB/w6zEnuNma8fibenN2VhxxCZMnBekqAYHUezPRoGD3+nRzByJETUZbT6jgCwNsmsuLWlfGn+gF&#10;j20cBIdQqLSCMca5kjL0IzodVn5GYm3vF6cjr8sgzaJPHO6szJLkVjo9EX8Y9YwPI/af7cExRvax&#10;y7fPLZal7vLt4/fbev9ulbq+SpN7EBHP8c8Mv/h8Aw0zdf5AJgirIC8y7hIVFGsQrBdploLoeMhK&#10;kE0t/xdofgBQSwMEFAAAAAgAh07iQPeall8hAgAAFAQAAA4AAABkcnMvZTJvRG9jLnhtbK1TzY7T&#10;MBC+I/EOlu80bWm7bdR0tXS1CGn5kRYewHGcxMLxGNttUh4A3oATF+48V5+DsZMtEdwQOVh2ZvzN&#10;N9983l53jSJHYZ0EndHZZEqJ0BwKqauMfnh/92xNifNMF0yBFhk9CUevd0+fbFuTijnUoAphCYJo&#10;l7Ymo7X3Jk0Sx2vRMDcBIzQGS7AN83i0VVJY1iJ6o5L5dLpKWrCFscCFc/j3tg/SXcQvS8H927J0&#10;whOVUeTm42rjmoc12W1ZWllmaskHGuwfWDRMaix6gbplnpGDlX9BNZJbcFD6CYcmgbKUXMQesJvZ&#10;9I9uHmpmROwFxXHmIpP7f7D8zfGdJbLA2a1RH80aHNL529fz95/nH19I+IkStcalmPlgMNd3L6DD&#10;9NiuM/fAPzqiYV8zXYkba6GtBSuQ4izcTEZXexwXQPL2NRRYiR08RKCutE3QDxUhiI5UTpfxiM4T&#10;HkpOZ6vV8yUlHGPzzdVALmHp421jnX8poCFhk1GL44/o7HjvfGDD0seUUEzDnVQqWkBp0mZ0s5wv&#10;+75AySIEQ5qzVb5XlhxZMFH8YmsYGac10qOVlWwyuh4nKT3IEDrvNfBd3g2y5lCcUBALvTXxKeGm&#10;BvuZkhZtmVH36cCsoES90ijqZrZYBB/Hw2J5NceDHUfycYRpjlAZ9ZT0273vvX8wVlY1VurHqOEG&#10;B1HKqFGYWM9q4I3Wi9INzyR4e3yOWb8f8+4X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c3XzU9YA&#10;AAAIAQAADwAAAAAAAAABACAAAAAiAAAAZHJzL2Rvd25yZXYueG1sUEsBAhQAFAAAAAgAh07iQPea&#10;ll8hAgAAFAQAAA4AAAAAAAAAAQAgAAAAJQEAAGRycy9lMm9Eb2MueG1sUEsFBgAAAAAGAAYAWQEA&#10;ALgFAAAAAA==&#10;">
                      <v:fill on="f" focussize="0,0"/>
                      <v:stroke color="#000000" miterlimit="8" joinstyle="miter"/>
                      <v:imagedata o:title=""/>
                      <o:lock v:ext="edit" aspectratio="f"/>
                      <v:textbox>
                        <w:txbxContent>
                          <w:p>
                            <w:pPr>
                              <w:jc w:val="center"/>
                            </w:pPr>
                            <w:r>
                              <w:rPr>
                                <w:rFonts w:hint="eastAsia"/>
                              </w:rPr>
                              <w:t>电池板安装</w:t>
                            </w:r>
                          </w:p>
                          <w:p/>
                        </w:txbxContent>
                      </v:textbox>
                    </v:shape>
                  </w:pict>
                </mc:Fallback>
              </mc:AlternateContent>
            </w:r>
            <w:r>
              <w:rPr>
                <w:rFonts w:hint="default" w:ascii="Times New Roman" w:hAnsi="Times New Roman" w:eastAsia="宋体" w:cs="Times New Roman"/>
                <w:b/>
                <w:color w:val="auto"/>
              </w:rPr>
              <mc:AlternateContent>
                <mc:Choice Requires="wps">
                  <w:drawing>
                    <wp:anchor distT="0" distB="0" distL="114300" distR="114300" simplePos="0" relativeHeight="251785216" behindDoc="0" locked="0" layoutInCell="1" allowOverlap="1">
                      <wp:simplePos x="0" y="0"/>
                      <wp:positionH relativeFrom="column">
                        <wp:posOffset>1934845</wp:posOffset>
                      </wp:positionH>
                      <wp:positionV relativeFrom="paragraph">
                        <wp:posOffset>165100</wp:posOffset>
                      </wp:positionV>
                      <wp:extent cx="323850" cy="12065"/>
                      <wp:effectExtent l="0" t="34925" r="0" b="29210"/>
                      <wp:wrapNone/>
                      <wp:docPr id="181" name="直接连接符 181"/>
                      <wp:cNvGraphicFramePr/>
                      <a:graphic xmlns:a="http://schemas.openxmlformats.org/drawingml/2006/main">
                        <a:graphicData uri="http://schemas.microsoft.com/office/word/2010/wordprocessingShape">
                          <wps:wsp>
                            <wps:cNvCnPr>
                              <a:cxnSpLocks noChangeShapeType="1"/>
                            </wps:cNvCnPr>
                            <wps:spPr bwMode="auto">
                              <a:xfrm flipV="1">
                                <a:off x="0" y="0"/>
                                <a:ext cx="323850" cy="12065"/>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flip:y;margin-left:152.35pt;margin-top:13pt;height:0.95pt;width:25.5pt;z-index:251785216;mso-width-relative:page;mso-height-relative:page;" filled="f" stroked="t" coordsize="21600,21600" o:gfxdata="UEsDBAoAAAAAAIdO4kAAAAAAAAAAAAAAAAAEAAAAZHJzL1BLAwQUAAAACACHTuJApNo+vNkAAAAJ&#10;AQAADwAAAGRycy9kb3ducmV2LnhtbE2PPU/DMBCGdyT+g3VIbNRO27Q0xOmAQGJC0CIkNjc+ktD4&#10;HGy3Kfx6jgnGe+/R+1GuT64XRwyx86QhmygQSLW3HTUaXrb3V9cgYjJkTe8JNXxhhHV1flaawvqR&#10;nvG4SY1gE4qF0dCmNBRSxrpFZ+LED0j8e/fBmcRnaKQNZmRz18upUgvpTEec0JoBb1us95uD07Da&#10;jrl/CvvXedZ9vn3ffaTh4TFpfXmRqRsQCU/pD4bf+lwdKu608weyUfQaZmq+ZFTDdMGbGJjlOQs7&#10;FpYrkFUp/y+ofgBQSwMEFAAAAAgAh07iQG6g/Q3uAQAAmwMAAA4AAABkcnMvZTJvRG9jLnhtbK1T&#10;zW4TMRC+I/EOlu9kN1ulCqtsekgplwKRWrg7tnfXwvZYtpPdvAQvgMQNThx7520oj8HYSQOFG8KH&#10;kT0/38x8M15cjEaTnfRBgW3odFJSIi0HoWzX0Le3V8/mlITIrGAarGzoXgZ6sXz6ZDG4WlbQgxbS&#10;EwSxoR5cQ/sYXV0UgffSsDABJy0aW/CGRXz6rhCeDYhudFGV5XkxgBfOA5choPbyYKTLjN+2ksc3&#10;bRtkJLqhWFvM0me5SbJYLljdeeZ6xY9lsH+owjBlMekJ6pJFRrZe/QVlFPcQoI0TDqaAtlVc5h6w&#10;m2n5Rzc3PXMy94LkBHeiKfw/WP56t/ZECZzdfEqJZQaHdP/x7vuHzz++fUJ5//ULSSYkanChRv+V&#10;XfvUKh/tjbsG/j4QC6ue2U7mgm/3DjFyRPEoJD2Cw3Sb4RUI9GHbCJm1sfWGtFq5dykwgSMzZMxj&#10;2p/GJMdIOCrPqrP5DIfJ0TStyvNZKq5gdUJJsc6H+FKCIenSUK1sIpHVbHcd4sH1wSWpLVwprfMi&#10;aEuGhj6fVbMcEEArkYzJLfhus9Ke7FhapXyOeR+5edhakcEiU/qFFSRmPqJXyJCWNGUwUlCiJf6Y&#10;dDuUpC028UDRgewNiP3aJ3PS4wbkNo/bmlbs93f2+vWnlj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pNo+vNkAAAAJAQAADwAAAAAAAAABACAAAAAiAAAAZHJzL2Rvd25yZXYueG1sUEsBAhQAFAAA&#10;AAgAh07iQG6g/Q3uAQAAmwMAAA4AAAAAAAAAAQAgAAAAKAEAAGRycy9lMm9Eb2MueG1sUEsFBgAA&#10;AAAGAAYAWQEAAIgFAAAAAA==&#10;">
                      <v:fill on="f" focussize="0,0"/>
                      <v:stroke color="#000000" joinstyle="round" endarrow="block"/>
                      <v:imagedata o:title=""/>
                      <o:lock v:ext="edit" aspectratio="f"/>
                    </v:line>
                  </w:pict>
                </mc:Fallback>
              </mc:AlternateContent>
            </w:r>
          </w:p>
          <w:p>
            <w:pPr>
              <w:pStyle w:val="12"/>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2" w:firstLineChars="200"/>
              <w:textAlignment w:val="auto"/>
              <w:rPr>
                <w:rFonts w:hint="default" w:ascii="Times New Roman" w:hAnsi="Times New Roman" w:eastAsia="宋体" w:cs="Times New Roman"/>
                <w:b/>
                <w:color w:val="auto"/>
                <w:sz w:val="24"/>
                <w:szCs w:val="24"/>
              </w:rPr>
            </w:pPr>
          </w:p>
          <w:p>
            <w:pPr>
              <w:pStyle w:val="12"/>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2" w:firstLineChars="200"/>
              <w:textAlignment w:val="auto"/>
              <w:rPr>
                <w:rFonts w:hint="default" w:ascii="Times New Roman" w:hAnsi="Times New Roman" w:eastAsia="宋体" w:cs="Times New Roman"/>
                <w:b/>
                <w:color w:val="auto"/>
                <w:sz w:val="24"/>
                <w:szCs w:val="24"/>
              </w:rPr>
            </w:pPr>
            <w:r>
              <w:rPr>
                <w:rFonts w:hint="eastAsia" w:cs="Times New Roman"/>
                <w:b/>
                <w:color w:val="auto"/>
                <w:sz w:val="24"/>
                <w:szCs w:val="24"/>
                <w:lang w:val="en-US" w:eastAsia="zh-CN"/>
              </w:rPr>
              <w:t>二、</w:t>
            </w:r>
            <w:r>
              <w:rPr>
                <w:rFonts w:hint="default" w:ascii="Times New Roman" w:hAnsi="Times New Roman" w:eastAsia="宋体" w:cs="Times New Roman"/>
                <w:b/>
                <w:color w:val="auto"/>
                <w:sz w:val="24"/>
                <w:szCs w:val="24"/>
              </w:rPr>
              <w:t>发电工艺流程</w:t>
            </w:r>
          </w:p>
          <w:p>
            <w:pPr>
              <w:pStyle w:val="12"/>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本项目主要工程是利用太阳能光伏发电，是利用技术成熟的多晶硅电池板组件进行发电。主要工艺流程可见下图所示。</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本工程工艺流程图</w:t>
            </w:r>
            <w:r>
              <w:rPr>
                <w:rFonts w:hint="eastAsia" w:cs="Times New Roman"/>
                <w:color w:val="auto"/>
                <w:sz w:val="24"/>
                <w:szCs w:val="24"/>
                <w:lang w:val="en-US" w:eastAsia="zh-CN"/>
              </w:rPr>
              <w:t>如下：</w:t>
            </w:r>
          </w:p>
          <w:p>
            <w:pPr>
              <w:snapToGrid w:val="0"/>
              <w:spacing w:line="440" w:lineRule="exact"/>
              <w:jc w:val="center"/>
              <w:rPr>
                <w:rFonts w:hint="default" w:ascii="Times New Roman" w:hAnsi="Times New Roman" w:eastAsia="宋体" w:cs="Times New Roman"/>
                <w:color w:val="auto"/>
                <w:sz w:val="24"/>
              </w:rPr>
            </w:pPr>
            <w:r>
              <w:rPr>
                <w:rFonts w:hint="default" w:ascii="Times New Roman" w:hAnsi="Times New Roman" w:eastAsia="宋体" w:cs="Times New Roman"/>
                <w:b/>
                <w:color w:val="auto"/>
                <w:sz w:val="24"/>
              </w:rPr>
              <mc:AlternateContent>
                <mc:Choice Requires="wps">
                  <w:drawing>
                    <wp:anchor distT="0" distB="0" distL="114300" distR="114300" simplePos="0" relativeHeight="251796480" behindDoc="0" locked="0" layoutInCell="1" allowOverlap="1">
                      <wp:simplePos x="0" y="0"/>
                      <wp:positionH relativeFrom="column">
                        <wp:posOffset>4527550</wp:posOffset>
                      </wp:positionH>
                      <wp:positionV relativeFrom="paragraph">
                        <wp:posOffset>173990</wp:posOffset>
                      </wp:positionV>
                      <wp:extent cx="596900" cy="297180"/>
                      <wp:effectExtent l="5080" t="4445" r="7620" b="22225"/>
                      <wp:wrapNone/>
                      <wp:docPr id="6" name="Text Box 78"/>
                      <wp:cNvGraphicFramePr/>
                      <a:graphic xmlns:a="http://schemas.openxmlformats.org/drawingml/2006/main">
                        <a:graphicData uri="http://schemas.microsoft.com/office/word/2010/wordprocessingShape">
                          <wps:wsp>
                            <wps:cNvSpPr txBox="1">
                              <a:spLocks noChangeArrowheads="1"/>
                            </wps:cNvSpPr>
                            <wps:spPr bwMode="auto">
                              <a:xfrm>
                                <a:off x="0" y="0"/>
                                <a:ext cx="596900" cy="297180"/>
                              </a:xfrm>
                              <a:prstGeom prst="rect">
                                <a:avLst/>
                              </a:prstGeom>
                              <a:solidFill>
                                <a:srgbClr val="FFFFFF"/>
                              </a:solidFill>
                              <a:ln w="9525">
                                <a:solidFill>
                                  <a:srgbClr val="000000"/>
                                </a:solidFill>
                                <a:miter lim="800000"/>
                              </a:ln>
                            </wps:spPr>
                            <wps:txbx>
                              <w:txbxContent>
                                <w:p>
                                  <w:r>
                                    <w:rPr>
                                      <w:rFonts w:hint="eastAsia"/>
                                    </w:rPr>
                                    <w:t>逆变器</w:t>
                                  </w:r>
                                </w:p>
                              </w:txbxContent>
                            </wps:txbx>
                            <wps:bodyPr rot="0" vert="horz" wrap="square" lIns="91440" tIns="45720" rIns="91440" bIns="45720" anchor="t" anchorCtr="0" upright="1">
                              <a:noAutofit/>
                            </wps:bodyPr>
                          </wps:wsp>
                        </a:graphicData>
                      </a:graphic>
                    </wp:anchor>
                  </w:drawing>
                </mc:Choice>
                <mc:Fallback>
                  <w:pict>
                    <v:shape id="Text Box 78" o:spid="_x0000_s1026" o:spt="202" type="#_x0000_t202" style="position:absolute;left:0pt;margin-left:356.5pt;margin-top:13.7pt;height:23.4pt;width:47pt;z-index:251796480;mso-width-relative:page;mso-height-relative:page;" fillcolor="#FFFFFF" filled="t" stroked="t" coordsize="21600,21600" o:gfxdata="UEsDBAoAAAAAAIdO4kAAAAAAAAAAAAAAAAAEAAAAZHJzL1BLAwQUAAAACACHTuJAv2P0DNgAAAAJ&#10;AQAADwAAAGRycy9kb3ducmV2LnhtbE2PzU7DMBCE70i8g7VIXFBrJ42aEOL0gASCGxRUrm68TSL8&#10;E2w3LW/PcoLjzoxmv2k2Z2vYjCGO3knIlgIYus7r0fUS3t8eFhWwmJTTyniHEr4xwqa9vGhUrf3J&#10;veK8TT2jEhdrJWFIaao5j92AVsWln9CRd/DBqkRn6LkO6kTl1vBciDW3anT0YVAT3g/YfW6PVkJV&#10;PM0f8Xn1suvWB3Obbsr58StIeX2ViTtgCc/pLwy/+IQOLTHt/dHpyIyEMlvRliQhLwtgFKhEScKe&#10;nCIH3jb8/4L2B1BLAwQUAAAACACHTuJAV0cCwxQCAAA4BAAADgAAAGRycy9lMm9Eb2MueG1srVPb&#10;jtsgEH2v1H9AvDd2olytdVbbrFJV2nYr7fYDMMY2KjAUSOz06zvgbBpt25eqPCCGGQ4z58zc3A5a&#10;kaNwXoIp6XSSUyIMh1qatqRfn/fv1pT4wEzNFBhR0pPw9Hb79s1Nbwsxgw5ULRxBEOOL3pa0C8EW&#10;WeZ5JzTzE7DCoLMBp1lA07VZ7ViP6FplszxfZj242jrgwnu8vR+ddJvwm0bw8Ng0XgSiSoq5hbS7&#10;tFdxz7Y3rGgds53k5zTYP2ShmTT46QXqngVGDk7+BqUld+ChCRMOOoOmkVykGrCaaf6qmqeOWZFq&#10;QXK8vdDk/x8s/3z84oisS7qkxDCNEj2LIZD3MJDVOtLTW19g1JPFuDDgPcqcSvX2Afg3TwzsOmZa&#10;cecc9J1gNaY3jS+zq6cjjo8gVf8JavyHHQIkoKFxOnKHbBBER5lOF2liLhwvF5vlJkcPR9dss5qu&#10;k3QZK14eW+fDBwGaxENJHSqfwNnxwYeYDCteQuJfHpSs91KpZLi22ilHjgy7ZJ9Wyv9VmDKkL+lm&#10;MVuM9f8VIk/rTxBaBmx3JXVJ19dBypzpigyNXIWhGs70V1CfkDgHY/viuOGhA/eDkh5bt6T++4E5&#10;QYn6aJD8zXQ+j72ejPliNUPDXXuqaw8zHKFKGigZj7swzsfBOtl2+NMot4E7FKyRicyo7JjVOW9s&#10;z8TxeZRi/1/bKerXwG9/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L9j9AzYAAAACQEAAA8AAAAA&#10;AAAAAQAgAAAAIgAAAGRycy9kb3ducmV2LnhtbFBLAQIUABQAAAAIAIdO4kBXRwLDFAIAADgEAAAO&#10;AAAAAAAAAAEAIAAAACcBAABkcnMvZTJvRG9jLnhtbFBLBQYAAAAABgAGAFkBAACtBQAAAAA=&#10;">
                      <v:fill on="t" focussize="0,0"/>
                      <v:stroke color="#000000" miterlimit="8" joinstyle="miter"/>
                      <v:imagedata o:title=""/>
                      <o:lock v:ext="edit" aspectratio="f"/>
                      <v:textbox>
                        <w:txbxContent>
                          <w:p>
                            <w:r>
                              <w:rPr>
                                <w:rFonts w:hint="eastAsia"/>
                              </w:rPr>
                              <w:t>逆变器</w:t>
                            </w:r>
                          </w:p>
                        </w:txbxContent>
                      </v:textbox>
                    </v:shape>
                  </w:pict>
                </mc:Fallback>
              </mc:AlternateContent>
            </w:r>
            <w:r>
              <w:rPr>
                <w:rFonts w:hint="default" w:ascii="Times New Roman" w:hAnsi="Times New Roman" w:eastAsia="宋体" w:cs="Times New Roman"/>
                <w:b/>
                <w:color w:val="auto"/>
                <w:sz w:val="24"/>
              </w:rPr>
              <mc:AlternateContent>
                <mc:Choice Requires="wps">
                  <w:drawing>
                    <wp:anchor distT="0" distB="0" distL="114300" distR="114300" simplePos="0" relativeHeight="251789312" behindDoc="0" locked="0" layoutInCell="1" allowOverlap="1">
                      <wp:simplePos x="0" y="0"/>
                      <wp:positionH relativeFrom="column">
                        <wp:posOffset>3100705</wp:posOffset>
                      </wp:positionH>
                      <wp:positionV relativeFrom="paragraph">
                        <wp:posOffset>172085</wp:posOffset>
                      </wp:positionV>
                      <wp:extent cx="876300" cy="297180"/>
                      <wp:effectExtent l="4445" t="4445" r="14605" b="22225"/>
                      <wp:wrapNone/>
                      <wp:docPr id="7" name="Text Box 77"/>
                      <wp:cNvGraphicFramePr/>
                      <a:graphic xmlns:a="http://schemas.openxmlformats.org/drawingml/2006/main">
                        <a:graphicData uri="http://schemas.microsoft.com/office/word/2010/wordprocessingShape">
                          <wps:wsp>
                            <wps:cNvSpPr txBox="1">
                              <a:spLocks noChangeArrowheads="1"/>
                            </wps:cNvSpPr>
                            <wps:spPr bwMode="auto">
                              <a:xfrm>
                                <a:off x="0" y="0"/>
                                <a:ext cx="876300" cy="297180"/>
                              </a:xfrm>
                              <a:prstGeom prst="rect">
                                <a:avLst/>
                              </a:prstGeom>
                              <a:solidFill>
                                <a:srgbClr val="FFFFFF"/>
                              </a:solidFill>
                              <a:ln w="9525">
                                <a:solidFill>
                                  <a:srgbClr val="000000"/>
                                </a:solidFill>
                                <a:miter lim="800000"/>
                              </a:ln>
                            </wps:spPr>
                            <wps:txbx>
                              <w:txbxContent>
                                <w:p>
                                  <w:r>
                                    <w:rPr>
                                      <w:rFonts w:hint="eastAsia"/>
                                    </w:rPr>
                                    <w:t>直流配电柜</w:t>
                                  </w:r>
                                </w:p>
                              </w:txbxContent>
                            </wps:txbx>
                            <wps:bodyPr rot="0" vert="horz" wrap="square" lIns="91440" tIns="45720" rIns="91440" bIns="45720" anchor="t" anchorCtr="0" upright="1">
                              <a:noAutofit/>
                            </wps:bodyPr>
                          </wps:wsp>
                        </a:graphicData>
                      </a:graphic>
                    </wp:anchor>
                  </w:drawing>
                </mc:Choice>
                <mc:Fallback>
                  <w:pict>
                    <v:shape id="Text Box 77" o:spid="_x0000_s1026" o:spt="202" type="#_x0000_t202" style="position:absolute;left:0pt;margin-left:244.15pt;margin-top:13.55pt;height:23.4pt;width:69pt;z-index:251789312;mso-width-relative:page;mso-height-relative:page;" fillcolor="#FFFFFF" filled="t" stroked="t" coordsize="21600,21600" o:gfxdata="UEsDBAoAAAAAAIdO4kAAAAAAAAAAAAAAAAAEAAAAZHJzL1BLAwQUAAAACACHTuJAF9XE/tkAAAAJ&#10;AQAADwAAAGRycy9kb3ducmV2LnhtbE2Py07DMBBF90j8gzVIbBB1HlWShjhdIIFgRwtqt27sJhH2&#10;ONhuWv6eYQXLmTm6c26zvljDZu3D6FBAukiAaeycGrEX8PH+dF8BC1GiksahFvCtA6zb66tG1sqd&#10;caPnbewZhWCopYAhxqnmPHSDtjIs3KSRbkfnrYw0+p4rL88Ubg3PkqTgVo5IHwY56cdBd5/bkxVQ&#10;LV/mfXjN33ZdcTSreFfOz19eiNubNHkAFvUl/sHwq0/q0JLTwZ1QBWYELKsqJ1RAVqbACCiyghYH&#10;AWW+At42/H+D9gdQSwMEFAAAAAgAh07iQBpWuSoUAgAAOAQAAA4AAABkcnMvZTJvRG9jLnhtbK1T&#10;247bIBB9r9R/QLw3dtJkk1hxVtusUlXaXqTdfgDG2EYFhgKJnX59B5xNo237UpUHxDDDYeacmc3t&#10;oBU5CuclmJJOJzklwnCopWlL+vVp/2ZFiQ/M1EyBESU9CU9vt69fbXpbiBl0oGrhCIIYX/S2pF0I&#10;tsgyzzuhmZ+AFQadDTjNApquzWrHekTXKpvl+U3Wg6utAy68x9v70Um3Cb9pBA+fm8aLQFRJMbeQ&#10;dpf2Ku7ZdsOK1jHbSX5Og/1DFppJg59eoO5ZYOTg5G9QWnIHHpow4aAzaBrJRaoBq5nmL6p57JgV&#10;qRYkx9sLTf7/wfJPxy+OyLqkS0oM0yjRkxgCeQcDWS4jPb31BUY9WowLA96jzKlUbx+Af/PEwK5j&#10;phV3zkHfCVZjetP4Mrt6OuL4CFL1H6HGf9ghQAIaGqcjd8gGQXSU6XSRJubC8XK1vHmbo4eja7Ze&#10;TldJuowVz4+t8+G9AE3ioaQOlU/g7PjgQ0yGFc8h8S8PStZ7qVQyXFvtlCNHhl2yTyvl/yJMGdKX&#10;dL2YLcb6/wqRp/UnCC0DtruSGiu6DlLmTFdkaOQqDNVwpr+C+oTEORjbF8cNDx24H5T02Lol9d8P&#10;zAlK1AeD5K+n83ns9WTMF8sZGu7aU117mOEIVdJAyXjchXE+DtbJtsOfRrkN3KFgjUxkRmXHrM55&#10;Y3smjs+jFPv/2k5RvwZ++x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X1cT+2QAAAAkBAAAPAAAA&#10;AAAAAAEAIAAAACIAAABkcnMvZG93bnJldi54bWxQSwECFAAUAAAACACHTuJAGla5KhQCAAA4BAAA&#10;DgAAAAAAAAABACAAAAAoAQAAZHJzL2Uyb0RvYy54bWxQSwUGAAAAAAYABgBZAQAArgUAAAAA&#10;">
                      <v:fill on="t" focussize="0,0"/>
                      <v:stroke color="#000000" miterlimit="8" joinstyle="miter"/>
                      <v:imagedata o:title=""/>
                      <o:lock v:ext="edit" aspectratio="f"/>
                      <v:textbox>
                        <w:txbxContent>
                          <w:p>
                            <w:r>
                              <w:rPr>
                                <w:rFonts w:hint="eastAsia"/>
                              </w:rPr>
                              <w:t>直流配电柜</w:t>
                            </w:r>
                          </w:p>
                        </w:txbxContent>
                      </v:textbox>
                    </v:shape>
                  </w:pict>
                </mc:Fallback>
              </mc:AlternateContent>
            </w:r>
            <w:r>
              <w:rPr>
                <w:rFonts w:hint="default" w:ascii="Times New Roman" w:hAnsi="Times New Roman" w:eastAsia="宋体" w:cs="Times New Roman"/>
                <w:b/>
                <w:color w:val="auto"/>
                <w:sz w:val="24"/>
              </w:rPr>
              <mc:AlternateContent>
                <mc:Choice Requires="wps">
                  <w:drawing>
                    <wp:anchor distT="0" distB="0" distL="114300" distR="114300" simplePos="0" relativeHeight="251788288" behindDoc="0" locked="0" layoutInCell="1" allowOverlap="1">
                      <wp:simplePos x="0" y="0"/>
                      <wp:positionH relativeFrom="column">
                        <wp:posOffset>1452245</wp:posOffset>
                      </wp:positionH>
                      <wp:positionV relativeFrom="paragraph">
                        <wp:posOffset>173990</wp:posOffset>
                      </wp:positionV>
                      <wp:extent cx="914400" cy="297180"/>
                      <wp:effectExtent l="4445" t="4445" r="14605" b="22225"/>
                      <wp:wrapNone/>
                      <wp:docPr id="183" name="Text Box 76"/>
                      <wp:cNvGraphicFramePr/>
                      <a:graphic xmlns:a="http://schemas.openxmlformats.org/drawingml/2006/main">
                        <a:graphicData uri="http://schemas.microsoft.com/office/word/2010/wordprocessingShape">
                          <wps:wsp>
                            <wps:cNvSpPr txBox="1">
                              <a:spLocks noChangeArrowheads="1"/>
                            </wps:cNvSpPr>
                            <wps:spPr bwMode="auto">
                              <a:xfrm>
                                <a:off x="0" y="0"/>
                                <a:ext cx="914400" cy="297180"/>
                              </a:xfrm>
                              <a:prstGeom prst="rect">
                                <a:avLst/>
                              </a:prstGeom>
                              <a:solidFill>
                                <a:srgbClr val="FFFFFF"/>
                              </a:solidFill>
                              <a:ln w="9525">
                                <a:solidFill>
                                  <a:srgbClr val="000000"/>
                                </a:solidFill>
                                <a:miter lim="800000"/>
                              </a:ln>
                            </wps:spPr>
                            <wps:txbx>
                              <w:txbxContent>
                                <w:p>
                                  <w:r>
                                    <w:rPr>
                                      <w:rFonts w:hint="eastAsia"/>
                                    </w:rPr>
                                    <w:t>防雷汇流箱</w:t>
                                  </w:r>
                                </w:p>
                              </w:txbxContent>
                            </wps:txbx>
                            <wps:bodyPr rot="0" vert="horz" wrap="square" lIns="91440" tIns="45720" rIns="91440" bIns="45720" anchor="t" anchorCtr="0" upright="1">
                              <a:noAutofit/>
                            </wps:bodyPr>
                          </wps:wsp>
                        </a:graphicData>
                      </a:graphic>
                    </wp:anchor>
                  </w:drawing>
                </mc:Choice>
                <mc:Fallback>
                  <w:pict>
                    <v:shape id="Text Box 76" o:spid="_x0000_s1026" o:spt="202" type="#_x0000_t202" style="position:absolute;left:0pt;margin-left:114.35pt;margin-top:13.7pt;height:23.4pt;width:72pt;z-index:251788288;mso-width-relative:page;mso-height-relative:page;" fillcolor="#FFFFFF" filled="t" stroked="t" coordsize="21600,21600" o:gfxdata="UEsDBAoAAAAAAIdO4kAAAAAAAAAAAAAAAAAEAAAAZHJzL1BLAwQUAAAACACHTuJA7RSxNdcAAAAJ&#10;AQAADwAAAGRycy9kb3ducmV2LnhtbE2Py07DMBBF90j8gzVIbBB16kZ1CHG6QALBDgqCrRtPkwg/&#10;gu2m5e8ZVrCbx9GdM83m5CybMaYxeAXLRQEMfRfM6HsFb6/31xWwlLU32gaPCr4xwaY9P2t0bcLR&#10;v+C8zT2jEJ9qrWDIeao5T92ATqdFmNDTbh+i05na2HMT9ZHCneWiKNbc6dHThUFPeDdg97k9OAVV&#10;+Th/pKfV83u33tubfCXnh6+o1OXFsrgFlvGU/2D41Sd1aMlpFw7eJGYVCFFJQqmQJTACVlLQYKdA&#10;lgJ42/D/H7Q/UEsDBBQAAAAIAIdO4kB/F9hmFAIAADoEAAAOAAAAZHJzL2Uyb0RvYy54bWytU9tu&#10;2zAMfR+wfxD0vtjJkjY14hRdigwDugvQ7gMUWbaFyaJGKbGzrx8lp1nQbS/D9CCIInV0eEiubofO&#10;sINCr8GWfDrJOVNWQqVtU/KvT9s3S858ELYSBqwq+VF5frt+/WrVu0LNoAVTKWQEYn3Ru5K3Ibgi&#10;y7xsVSf8BJyy5KwBOxHIxCarUPSE3plsludXWQ9YOQSpvKfb+9HJ1wm/rpUMn+vaq8BMyYlbSDum&#10;fRf3bL0SRYPCtVqeaIh/YNEJbenTM9S9CILtUf8G1WmJ4KEOEwldBnWtpUo5UDbT/EU2j61wKuVC&#10;4nh3lsn/P1j56fAFma6odsu3nFnRUZGe1BDYOxjY9VUUqHe+oLhHR5FhoHsKTsl69wDym2cWNq2w&#10;jbpDhL5VoiKC0/gyu3g64vgIsus/QkX/iH2ABDTU2EX1SA9G6FSo47k4kYuky5vpfJ6TR5JrdnM9&#10;XabiZaJ4fuzQh/cKOhYPJUeqfQIXhwcfIhlRPIfEvzwYXW21McnAZrcxyA6C+mSbVuL/IsxY1hOT&#10;xWwx5v9XiDytP0F0OlDDG92VfHkZZOxJrqjQqFUYdsNJ/h1URxIOYWxgGjg6tIA/OOupeUvuv+8F&#10;Ks7MB0viJ62o25MxX1zPSDe89OwuPcJKgip54Gw8bsI4IXuHumnpp7HcFu6oYLVOYsbKjqxOvKlB&#10;k8anYYoTcGmnqF8jv/4J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7RSxNdcAAAAJAQAADwAAAAAA&#10;AAABACAAAAAiAAAAZHJzL2Rvd25yZXYueG1sUEsBAhQAFAAAAAgAh07iQH8X2GYUAgAAOgQAAA4A&#10;AAAAAAAAAQAgAAAAJgEAAGRycy9lMm9Eb2MueG1sUEsFBgAAAAAGAAYAWQEAAKwFAAAAAA==&#10;">
                      <v:fill on="t" focussize="0,0"/>
                      <v:stroke color="#000000" miterlimit="8" joinstyle="miter"/>
                      <v:imagedata o:title=""/>
                      <o:lock v:ext="edit" aspectratio="f"/>
                      <v:textbox>
                        <w:txbxContent>
                          <w:p>
                            <w:r>
                              <w:rPr>
                                <w:rFonts w:hint="eastAsia"/>
                              </w:rPr>
                              <w:t>防雷汇流箱</w:t>
                            </w:r>
                          </w:p>
                        </w:txbxContent>
                      </v:textbox>
                    </v:shape>
                  </w:pict>
                </mc:Fallback>
              </mc:AlternateContent>
            </w:r>
            <w:r>
              <w:rPr>
                <w:rFonts w:hint="default" w:ascii="Times New Roman" w:hAnsi="Times New Roman" w:eastAsia="宋体" w:cs="Times New Roman"/>
                <w:color w:val="auto"/>
                <w:sz w:val="24"/>
              </w:rPr>
              <mc:AlternateContent>
                <mc:Choice Requires="wps">
                  <w:drawing>
                    <wp:anchor distT="0" distB="0" distL="114300" distR="114300" simplePos="0" relativeHeight="251787264" behindDoc="0" locked="0" layoutInCell="1" allowOverlap="1">
                      <wp:simplePos x="0" y="0"/>
                      <wp:positionH relativeFrom="column">
                        <wp:posOffset>120015</wp:posOffset>
                      </wp:positionH>
                      <wp:positionV relativeFrom="paragraph">
                        <wp:posOffset>172085</wp:posOffset>
                      </wp:positionV>
                      <wp:extent cx="914400" cy="297180"/>
                      <wp:effectExtent l="4445" t="4445" r="14605" b="22225"/>
                      <wp:wrapNone/>
                      <wp:docPr id="184" name="Text Box 75"/>
                      <wp:cNvGraphicFramePr/>
                      <a:graphic xmlns:a="http://schemas.openxmlformats.org/drawingml/2006/main">
                        <a:graphicData uri="http://schemas.microsoft.com/office/word/2010/wordprocessingShape">
                          <wps:wsp>
                            <wps:cNvSpPr txBox="1">
                              <a:spLocks noChangeArrowheads="1"/>
                            </wps:cNvSpPr>
                            <wps:spPr bwMode="auto">
                              <a:xfrm>
                                <a:off x="0" y="0"/>
                                <a:ext cx="914400" cy="297180"/>
                              </a:xfrm>
                              <a:prstGeom prst="rect">
                                <a:avLst/>
                              </a:prstGeom>
                              <a:solidFill>
                                <a:srgbClr val="FFFFFF"/>
                              </a:solidFill>
                              <a:ln w="9525">
                                <a:solidFill>
                                  <a:srgbClr val="000000"/>
                                </a:solidFill>
                                <a:miter lim="800000"/>
                              </a:ln>
                            </wps:spPr>
                            <wps:txbx>
                              <w:txbxContent>
                                <w:p>
                                  <w:r>
                                    <w:rPr>
                                      <w:rFonts w:hint="eastAsia"/>
                                    </w:rPr>
                                    <w:t>太阳能发电</w:t>
                                  </w:r>
                                </w:p>
                              </w:txbxContent>
                            </wps:txbx>
                            <wps:bodyPr rot="0" vert="horz" wrap="square" lIns="91440" tIns="45720" rIns="91440" bIns="45720" anchor="t" anchorCtr="0" upright="1">
                              <a:noAutofit/>
                            </wps:bodyPr>
                          </wps:wsp>
                        </a:graphicData>
                      </a:graphic>
                    </wp:anchor>
                  </w:drawing>
                </mc:Choice>
                <mc:Fallback>
                  <w:pict>
                    <v:shape id="Text Box 75" o:spid="_x0000_s1026" o:spt="202" type="#_x0000_t202" style="position:absolute;left:0pt;margin-left:9.45pt;margin-top:13.55pt;height:23.4pt;width:72pt;z-index:251787264;mso-width-relative:page;mso-height-relative:page;" fillcolor="#FFFFFF" filled="t" stroked="t" coordsize="21600,21600" o:gfxdata="UEsDBAoAAAAAAIdO4kAAAAAAAAAAAAAAAAAEAAAAZHJzL1BLAwQUAAAACACHTuJApO7kQNcAAAAI&#10;AQAADwAAAGRycy9kb3ducmV2LnhtbE2PzU7DMBCE70i8g7VIXBB1kqL8EacHJBDcaEHt1Y3dJMJe&#10;B9tNy9uzPcFxdkaz3zSrszVs1j6MDgWkiwSYxs6pEXsBnx/P9yWwECUqaRxqAT86wKq9vmpkrdwJ&#10;13rexJ5RCYZaChhinGrOQzdoK8PCTRrJOzhvZSTpe668PFG5NTxLkpxbOSJ9GOSknwbdfW2OVkD5&#10;8DrvwtvyfdvlB1PFu2J++fZC3N6kySOwqM/xLwwXfEKHlpj27ogqMEO6rCgpICtSYBc/z+iwF1As&#10;K+Btw/8PaH8BUEsDBBQAAAAIAIdO4kAfgPI6EwIAADoEAAAOAAAAZHJzL2Uyb0RvYy54bWytU9tu&#10;2zAMfR+wfxD0vtgJkiU14hRdigwDugvQ7gNkWY6FyaJGKbGzrx8lp1nQbS/D9CCIInV0eEiub4fO&#10;sKNCr8GWfDrJOVNWQq3tvuRfn3ZvVpz5IGwtDFhV8pPy/Hbz+tW6d4WaQQumVsgIxPqidyVvQ3BF&#10;lnnZqk74CThlydkAdiKQifusRtETemeyWZ6/zXrA2iFI5T3d3o9Ovkn4TaNk+Nw0XgVmSk7cQtox&#10;7VXcs81aFHsUrtXyTEP8A4tOaEufXqDuRRDsgPo3qE5LBA9NmEjoMmgaLVXKgbKZ5i+yeWyFUykX&#10;Ese7i0z+/8HKT8cvyHRNtVvNObOioyI9qSGwdzCw5SIK1DtfUNyjo8gw0D0Fp2S9ewD5zTML21bY&#10;vbpDhL5VoiaC0/gyu3o64vgIUvUfoaZ/xCFAAhoa7KJ6pAcjdCrU6VKcyEXS5c10Ps/JI8k1u1lO&#10;V6l4mSieHzv04b2CjsVDyZFqn8DF8cGHSEYUzyHxLw9G1zttTDJwX20NsqOgPtmllfi/CDOW9cRk&#10;MVuM+f8VIk/rTxCdDtTwRnclX10HGXuWKyo0ahWGajjLX0F9IuEQxgamgaNDC/iDs56at+T++0Gg&#10;4sx8sCR+0oq6PRnzxXJGuuG1p7r2CCsJquSBs/G4DeOEHBzqfUs/jeW2cEcFa3QSM1Z2ZHXmTQ2a&#10;ND4PU5yAaztF/Rr5zU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k7uRA1wAAAAgBAAAPAAAAAAAA&#10;AAEAIAAAACIAAABkcnMvZG93bnJldi54bWxQSwECFAAUAAAACACHTuJAH4DyOhMCAAA6BAAADgAA&#10;AAAAAAABACAAAAAmAQAAZHJzL2Uyb0RvYy54bWxQSwUGAAAAAAYABgBZAQAAqwUAAAAA&#10;">
                      <v:fill on="t" focussize="0,0"/>
                      <v:stroke color="#000000" miterlimit="8" joinstyle="miter"/>
                      <v:imagedata o:title=""/>
                      <o:lock v:ext="edit" aspectratio="f"/>
                      <v:textbox>
                        <w:txbxContent>
                          <w:p>
                            <w:r>
                              <w:rPr>
                                <w:rFonts w:hint="eastAsia"/>
                              </w:rPr>
                              <w:t>太阳能发电</w:t>
                            </w:r>
                          </w:p>
                        </w:txbxContent>
                      </v:textbox>
                    </v:shape>
                  </w:pict>
                </mc:Fallback>
              </mc:AlternateContent>
            </w:r>
          </w:p>
          <w:p>
            <w:pPr>
              <w:snapToGrid w:val="0"/>
              <w:spacing w:line="440" w:lineRule="exact"/>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mc:AlternateContent>
                <mc:Choice Requires="wps">
                  <w:drawing>
                    <wp:anchor distT="0" distB="0" distL="114300" distR="114300" simplePos="0" relativeHeight="251799552" behindDoc="0" locked="0" layoutInCell="1" allowOverlap="1">
                      <wp:simplePos x="0" y="0"/>
                      <wp:positionH relativeFrom="column">
                        <wp:posOffset>3977005</wp:posOffset>
                      </wp:positionH>
                      <wp:positionV relativeFrom="paragraph">
                        <wp:posOffset>38100</wp:posOffset>
                      </wp:positionV>
                      <wp:extent cx="552450" cy="0"/>
                      <wp:effectExtent l="0" t="38100" r="0" b="38100"/>
                      <wp:wrapNone/>
                      <wp:docPr id="185" name="Line 81"/>
                      <wp:cNvGraphicFramePr/>
                      <a:graphic xmlns:a="http://schemas.openxmlformats.org/drawingml/2006/main">
                        <a:graphicData uri="http://schemas.microsoft.com/office/word/2010/wordprocessingShape">
                          <wps:wsp>
                            <wps:cNvCnPr>
                              <a:cxnSpLocks noChangeShapeType="1"/>
                            </wps:cNvCnPr>
                            <wps:spPr bwMode="auto">
                              <a:xfrm>
                                <a:off x="0" y="0"/>
                                <a:ext cx="552450" cy="0"/>
                              </a:xfrm>
                              <a:prstGeom prst="line">
                                <a:avLst/>
                              </a:prstGeom>
                              <a:noFill/>
                              <a:ln w="9525">
                                <a:solidFill>
                                  <a:srgbClr val="000000"/>
                                </a:solidFill>
                                <a:round/>
                                <a:tailEnd type="triangle" w="med" len="med"/>
                              </a:ln>
                            </wps:spPr>
                            <wps:bodyPr/>
                          </wps:wsp>
                        </a:graphicData>
                      </a:graphic>
                    </wp:anchor>
                  </w:drawing>
                </mc:Choice>
                <mc:Fallback>
                  <w:pict>
                    <v:line id="Line 81" o:spid="_x0000_s1026" o:spt="20" style="position:absolute;left:0pt;margin-left:313.15pt;margin-top:3pt;height:0pt;width:43.5pt;z-index:251799552;mso-width-relative:page;mso-height-relative:page;" filled="f" stroked="t" coordsize="21600,21600" o:gfxdata="UEsDBAoAAAAAAIdO4kAAAAAAAAAAAAAAAAAEAAAAZHJzL1BLAwQUAAAACACHTuJA8M2sCNYAAAAH&#10;AQAADwAAAGRycy9kb3ducmV2LnhtbE2PwU7DMBBE70j8g7VI3KiTVgpRiNMDUrm0ULVFCG5uvCQR&#10;8TqynTb8PUsvcNvRjGbflMvJ9uKEPnSOFKSzBARS7UxHjYLXw+ouBxGiJqN7R6jgGwMsq+urUhfG&#10;nWmHp31sBJdQKLSCNsahkDLULVodZm5AYu/TeasjS99I4/WZy20v50mSSas74g+tHvCxxfprP1oF&#10;u81qnb+tx6n2H0/py2G7eX4PuVK3N2nyACLiFP/C8IvP6FAx09GNZILoFWTzbMFRPngS+/fpgvXx&#10;omVVyv/81Q9QSwMEFAAAAAgAh07iQALJvrfIAQAAgQMAAA4AAABkcnMvZTJvRG9jLnhtbK1TwY7b&#10;IBC9V+o/IO6Nk6iuUivOHrLdXtI20m4/gAC20QKDBhI7f9+BbNJue6vWB2SYN29m3oP13eQsO2mM&#10;BnzLF7M5Z9pLUMb3Lf/59PBhxVlMwithweuWn3Xkd5v379ZjaPQSBrBKIyMSH5sxtHxIKTRVFeWg&#10;nYgzCNpTsAN0ItEW+0qhGInd2Wo5n3+qRkAVEKSOkU7vL0G+Kfxdp2X60XVRJ2ZbTr2lsmJZD3mt&#10;NmvR9CjCYORLG+I/unDCeCp6o7oXSbAjmn+onJEIEbo0k+Aq6DojdZmBplnM/5rmcRBBl1lInBhu&#10;MsW3o5XfT3tkRpF3q5ozLxyZtDNes9UiizOG2BBm6/eYx5OTfww7kM+RedgOwve6NPl0DpRXMqpX&#10;KXkTA5U4jN9AEUYcExSlpg5dpiQN2FQMOd8M0VNikg7revmxJtvkNVSJ5poXMKavGhzLPy231HPh&#10;FaddTNQ5Qa+QXMbDg7G22G09G1v+uV7WJSGCNSoHMyxif9haZCeRL0z5sgxE9gqGcPSqkCVh7Bev&#10;WCoKJDSkidU8V3BacWY1vYv8d2GxnsiuolzkPYA67zGH8zn5XMq93Ml8kf7cF9Tvl7P5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PDNrAjWAAAABwEAAA8AAAAAAAAAAQAgAAAAIgAAAGRycy9kb3du&#10;cmV2LnhtbFBLAQIUABQAAAAIAIdO4kACyb63yAEAAIEDAAAOAAAAAAAAAAEAIAAAACUBAABkcnMv&#10;ZTJvRG9jLnhtbFBLBQYAAAAABgAGAFkBAABfBQAAAAA=&#10;">
                      <v:fill on="f" focussize="0,0"/>
                      <v:stroke color="#000000" joinstyle="round" endarrow="block"/>
                      <v:imagedata o:title=""/>
                      <o:lock v:ext="edit" aspectratio="f"/>
                    </v:line>
                  </w:pict>
                </mc:Fallback>
              </mc:AlternateContent>
            </w:r>
            <w:r>
              <w:rPr>
                <w:rFonts w:hint="default" w:ascii="Times New Roman" w:hAnsi="Times New Roman" w:eastAsia="宋体" w:cs="Times New Roman"/>
                <w:color w:val="auto"/>
                <w:sz w:val="24"/>
              </w:rPr>
              <mc:AlternateContent>
                <mc:Choice Requires="wps">
                  <w:drawing>
                    <wp:anchor distT="0" distB="0" distL="114300" distR="114300" simplePos="0" relativeHeight="251792384" behindDoc="0" locked="0" layoutInCell="1" allowOverlap="1">
                      <wp:simplePos x="0" y="0"/>
                      <wp:positionH relativeFrom="column">
                        <wp:posOffset>2364105</wp:posOffset>
                      </wp:positionH>
                      <wp:positionV relativeFrom="paragraph">
                        <wp:posOffset>38100</wp:posOffset>
                      </wp:positionV>
                      <wp:extent cx="736600" cy="0"/>
                      <wp:effectExtent l="0" t="38100" r="6350" b="38100"/>
                      <wp:wrapNone/>
                      <wp:docPr id="19" name="Line 82"/>
                      <wp:cNvGraphicFramePr/>
                      <a:graphic xmlns:a="http://schemas.openxmlformats.org/drawingml/2006/main">
                        <a:graphicData uri="http://schemas.microsoft.com/office/word/2010/wordprocessingShape">
                          <wps:wsp>
                            <wps:cNvCnPr>
                              <a:cxnSpLocks noChangeShapeType="1"/>
                            </wps:cNvCnPr>
                            <wps:spPr bwMode="auto">
                              <a:xfrm>
                                <a:off x="0" y="0"/>
                                <a:ext cx="736600" cy="0"/>
                              </a:xfrm>
                              <a:prstGeom prst="line">
                                <a:avLst/>
                              </a:prstGeom>
                              <a:noFill/>
                              <a:ln w="9525">
                                <a:solidFill>
                                  <a:srgbClr val="000000"/>
                                </a:solidFill>
                                <a:round/>
                                <a:tailEnd type="triangle" w="med" len="med"/>
                              </a:ln>
                            </wps:spPr>
                            <wps:bodyPr/>
                          </wps:wsp>
                        </a:graphicData>
                      </a:graphic>
                    </wp:anchor>
                  </w:drawing>
                </mc:Choice>
                <mc:Fallback>
                  <w:pict>
                    <v:line id="Line 82" o:spid="_x0000_s1026" o:spt="20" style="position:absolute;left:0pt;margin-left:186.15pt;margin-top:3pt;height:0pt;width:58pt;z-index:251792384;mso-width-relative:page;mso-height-relative:page;" filled="f" stroked="t" coordsize="21600,21600" o:gfxdata="UEsDBAoAAAAAAIdO4kAAAAAAAAAAAAAAAAAEAAAAZHJzL1BLAwQUAAAACACHTuJA2M9D1dcAAAAH&#10;AQAADwAAAGRycy9kb3ducmV2LnhtbE2PwU7DMBBE70j8g7VI3KiTFhUrxOkBqVxaQG0Ram9uvCQR&#10;8TqKnTb8PUsvcHya0ezbfDG6VpywD40nDekkAYFUettQpeF9t7xTIEI0ZE3rCTV8Y4BFcX2Vm8z6&#10;M23wtI2V4BEKmdFQx9hlUoayRmfCxHdInH363pnI2FfS9ubM466V0ySZS2ca4gu16fCpxvJrOzgN&#10;m/VypT5Ww1j2h+f0dfe2ftkHpfXtTZo8gog4xr8y/OqzOhTsdPQD2SBaDbOH6YyrGub8Euf3SjEf&#10;LyyLXP73L34AUEsDBBQAAAAIAIdO4kBA5znJygEAAIADAAAOAAAAZHJzL2Uyb0RvYy54bWytU01v&#10;GyEQvVfqf0Dc6107ipusvM7BaXpxW0tJf8AY2F0UYBBgr/3vO+CPpO2t6h7Qwsy8efMeLB4O1rC9&#10;ClGja/l0UnOmnECpXd/yny9Pn+44iwmcBINOtfyoIn9YfvywGH2jZjigkSowAnGxGX3Lh5R8U1VR&#10;DMpCnKBXjoIdBguJtqGvZICR0K2pZnU9r0YM0gcUKkY6fTwF+bLgd50S6UfXRZWYaTlxS2UNZd3m&#10;tVouoOkD+EGLMw34BxYWtKOmV6hHSMB2Qf8FZbUIGLFLE4G2wq7TQpUZaJpp/cc0zwN4VWYhcaK/&#10;yhT/H6z4vt8EpiV5d8+ZA0serbVT7G6WtRl9bChl5TYhTycO7tmvUbxG5nA1gOtV4fhy9FQ3zRXV&#10;byV5Ez112I7fUFIO7BIWoQ5dsBmSJGCH4sfx6oc6JCbo8PPNfF6Ta+ISqqC51PkQ01eFluWflhvi&#10;XHBhv44p84DmkpLbOHzSxhS3jWNjy+9vZ7elIKLRMgdzWgz9dmUC20O+L+UrQ1HkfVrAnZMFLIE2&#10;X5xkqSiQgiZNjOK5g1WSM6PoWeS/EyXjzgplUU7yblEeNyGHs1hkc+F+vpL5Hr3fl6y3h7P8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NjPQ9XXAAAABwEAAA8AAAAAAAAAAQAgAAAAIgAAAGRycy9k&#10;b3ducmV2LnhtbFBLAQIUABQAAAAIAIdO4kBA5znJygEAAIADAAAOAAAAAAAAAAEAIAAAACYBAABk&#10;cnMvZTJvRG9jLnhtbFBLBQYAAAAABgAGAFkBAABiBQAAAAA=&#10;">
                      <v:fill on="f" focussize="0,0"/>
                      <v:stroke color="#000000" joinstyle="round" endarrow="block"/>
                      <v:imagedata o:title=""/>
                      <o:lock v:ext="edit" aspectratio="f"/>
                    </v:line>
                  </w:pict>
                </mc:Fallback>
              </mc:AlternateContent>
            </w:r>
            <w:r>
              <w:rPr>
                <w:rFonts w:hint="default" w:ascii="Times New Roman" w:hAnsi="Times New Roman" w:eastAsia="宋体" w:cs="Times New Roman"/>
                <w:color w:val="auto"/>
                <w:sz w:val="24"/>
              </w:rPr>
              <mc:AlternateContent>
                <mc:Choice Requires="wps">
                  <w:drawing>
                    <wp:anchor distT="0" distB="0" distL="114300" distR="114300" simplePos="0" relativeHeight="251791360" behindDoc="0" locked="0" layoutInCell="1" allowOverlap="1">
                      <wp:simplePos x="0" y="0"/>
                      <wp:positionH relativeFrom="column">
                        <wp:posOffset>1036955</wp:posOffset>
                      </wp:positionH>
                      <wp:positionV relativeFrom="paragraph">
                        <wp:posOffset>44450</wp:posOffset>
                      </wp:positionV>
                      <wp:extent cx="412750" cy="0"/>
                      <wp:effectExtent l="0" t="38100" r="6350" b="38100"/>
                      <wp:wrapNone/>
                      <wp:docPr id="186" name="Line 81"/>
                      <wp:cNvGraphicFramePr/>
                      <a:graphic xmlns:a="http://schemas.openxmlformats.org/drawingml/2006/main">
                        <a:graphicData uri="http://schemas.microsoft.com/office/word/2010/wordprocessingShape">
                          <wps:wsp>
                            <wps:cNvCnPr>
                              <a:cxnSpLocks noChangeShapeType="1"/>
                            </wps:cNvCnPr>
                            <wps:spPr bwMode="auto">
                              <a:xfrm>
                                <a:off x="0" y="0"/>
                                <a:ext cx="412750" cy="0"/>
                              </a:xfrm>
                              <a:prstGeom prst="line">
                                <a:avLst/>
                              </a:prstGeom>
                              <a:noFill/>
                              <a:ln w="9525">
                                <a:solidFill>
                                  <a:srgbClr val="000000"/>
                                </a:solidFill>
                                <a:round/>
                                <a:tailEnd type="triangle" w="med" len="med"/>
                              </a:ln>
                            </wps:spPr>
                            <wps:bodyPr/>
                          </wps:wsp>
                        </a:graphicData>
                      </a:graphic>
                    </wp:anchor>
                  </w:drawing>
                </mc:Choice>
                <mc:Fallback>
                  <w:pict>
                    <v:line id="Line 81" o:spid="_x0000_s1026" o:spt="20" style="position:absolute;left:0pt;margin-left:81.65pt;margin-top:3.5pt;height:0pt;width:32.5pt;z-index:251791360;mso-width-relative:page;mso-height-relative:page;" filled="f" stroked="t" coordsize="21600,21600" o:gfxdata="UEsDBAoAAAAAAIdO4kAAAAAAAAAAAAAAAAAEAAAAZHJzL1BLAwQUAAAACACHTuJAAHqXS9UAAAAH&#10;AQAADwAAAGRycy9kb3ducmV2LnhtbE2PwU7DMBBE70j8g7VI3KiTVCpRiNMDUrm0ULVFCG5uvCQR&#10;8TqynTb8PUsvcHya0ezbcjnZXpzQh86RgnSWgECqnemoUfB6WN3lIELUZHTvCBV8Y4BldX1V6sK4&#10;M+3wtI+N4BEKhVbQxjgUUoa6RavDzA1InH06b3Vk9I00Xp953PYyS5KFtLojvtDqAR9brL/2o1Ww&#10;26zW+dt6nGr/8ZS+HLab5/eQK3V7kyYPICJO8a8Mv/qsDhU7Hd1IJoieeTGfc1XBPb/EeZblzMcL&#10;y6qU//2rH1BLAwQUAAAACACHTuJAjLm3VMkBAACBAwAADgAAAGRycy9lMm9Eb2MueG1srVPBbhsh&#10;EL1Xyj8g7vXaVp06K69zcJJe3NZS0g/AMLuLCgwC7F3/fQccu0l7q7oHtDBv3sy8B6v70Rp2hBA1&#10;uobPJlPOwElU2nUN//Hy9HHJWUzCKWHQQcNPEPn9+ubDavA1zLFHoyAwInGxHnzD+5R8XVVR9mBF&#10;nKAHR8EWgxWJtqGrVBADsVtTzafT22rAoHxACTHS6cM5yNeFv21Bpu9tGyEx03DqLZU1lHWf12q9&#10;EnUXhO+1fG1D/EMXVmhHRa9UDyIJdgj6LyqrZcCIbZpItBW2rZZQZqBpZtM/pnnuhYcyC4kT/VWm&#10;+P9o5bfjLjCtyLvlLWdOWDJpqx2w5SyLM/hYE2bjdiGPJ0f37Lcof0bmcNML10Fp8uXkKa9kVO9S&#10;8iZ6KrEfvqIijDgkLEqNbbCZkjRgYzHkdDUExsQkHX6azT8vyDZ5CVWivuT5ENMXQMvyT8MN9Vx4&#10;xXEbE3VO0Askl3H4pI0pdhvHhobfLeaLkhDRaJWDGRZDt9+YwI4iX5jyZRmI7B0s4MGpQpaENo9O&#10;sVQUSEGTJgZ4rmBBcWaA3kX+O7MYR2QXUc7y7lGddiGH8zn5XMq93sl8kd7uC+r3y1n/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AB6l0vVAAAABwEAAA8AAAAAAAAAAQAgAAAAIgAAAGRycy9kb3du&#10;cmV2LnhtbFBLAQIUABQAAAAIAIdO4kCMubdUyQEAAIEDAAAOAAAAAAAAAAEAIAAAACQBAABkcnMv&#10;ZTJvRG9jLnhtbFBLBQYAAAAABgAGAFkBAABfBQAAAAA=&#10;">
                      <v:fill on="f" focussize="0,0"/>
                      <v:stroke color="#000000" joinstyle="round" endarrow="block"/>
                      <v:imagedata o:title=""/>
                      <o:lock v:ext="edit" aspectratio="f"/>
                    </v:line>
                  </w:pict>
                </mc:Fallback>
              </mc:AlternateContent>
            </w:r>
            <w:r>
              <w:rPr>
                <w:rFonts w:hint="default" w:ascii="Times New Roman" w:hAnsi="Times New Roman" w:eastAsia="宋体" w:cs="Times New Roman"/>
                <w:color w:val="auto"/>
                <w:sz w:val="24"/>
              </w:rPr>
              <mc:AlternateContent>
                <mc:Choice Requires="wps">
                  <w:drawing>
                    <wp:anchor distT="0" distB="0" distL="114300" distR="114300" simplePos="0" relativeHeight="251793408" behindDoc="0" locked="0" layoutInCell="1" allowOverlap="1">
                      <wp:simplePos x="0" y="0"/>
                      <wp:positionH relativeFrom="column">
                        <wp:posOffset>4844415</wp:posOffset>
                      </wp:positionH>
                      <wp:positionV relativeFrom="paragraph">
                        <wp:posOffset>192405</wp:posOffset>
                      </wp:positionV>
                      <wp:extent cx="635" cy="396240"/>
                      <wp:effectExtent l="37465" t="0" r="38100" b="3810"/>
                      <wp:wrapNone/>
                      <wp:docPr id="187" name="Line 83"/>
                      <wp:cNvGraphicFramePr/>
                      <a:graphic xmlns:a="http://schemas.openxmlformats.org/drawingml/2006/main">
                        <a:graphicData uri="http://schemas.microsoft.com/office/word/2010/wordprocessingShape">
                          <wps:wsp>
                            <wps:cNvCnPr>
                              <a:cxnSpLocks noChangeShapeType="1"/>
                            </wps:cNvCnPr>
                            <wps:spPr bwMode="auto">
                              <a:xfrm>
                                <a:off x="0" y="0"/>
                                <a:ext cx="635" cy="396240"/>
                              </a:xfrm>
                              <a:prstGeom prst="line">
                                <a:avLst/>
                              </a:prstGeom>
                              <a:noFill/>
                              <a:ln w="9525">
                                <a:solidFill>
                                  <a:srgbClr val="000000"/>
                                </a:solidFill>
                                <a:round/>
                                <a:tailEnd type="triangle" w="med" len="med"/>
                              </a:ln>
                            </wps:spPr>
                            <wps:bodyPr/>
                          </wps:wsp>
                        </a:graphicData>
                      </a:graphic>
                    </wp:anchor>
                  </w:drawing>
                </mc:Choice>
                <mc:Fallback>
                  <w:pict>
                    <v:line id="Line 83" o:spid="_x0000_s1026" o:spt="20" style="position:absolute;left:0pt;margin-left:381.45pt;margin-top:15.15pt;height:31.2pt;width:0.05pt;z-index:251793408;mso-width-relative:page;mso-height-relative:page;" filled="f" stroked="t" coordsize="21600,21600" o:gfxdata="UEsDBAoAAAAAAIdO4kAAAAAAAAAAAAAAAAAEAAAAZHJzL1BLAwQUAAAACACHTuJAST8DJNsAAAAJ&#10;AQAADwAAAGRycy9kb3ducmV2LnhtbE2PwU7DMBBE70j8g7VI3KidRErSEKcHpHJpAbVFqL25sUki&#10;4nUUO234e5YTHFf7NPOmXM22Zxcz+s6hhGghgBmsne6wkfB+WD/kwHxQqFXv0Ej4Nh5W1e1NqQrt&#10;rrgzl31oGIWgL5SENoSh4NzXrbHKL9xgkH6fbrQq0Dk2XI/qSuG257EQKbeqQ2po1WCeWlN/7Scr&#10;Ybddb/KPzTTX4+k5ej28bV+OPpfy/i4Sj8CCmcMfDL/6pA4VOZ3dhNqzXkKWxktCJSQiAUZAliY0&#10;7ixhGWfAq5L/X1D9AFBLAwQUAAAACACHTuJAZFPzx88BAACDAwAADgAAAGRycy9lMm9Eb2MueG1s&#10;rVNNj9sgEL1X6n9A3Bvno0mzVpw9ZLu9pG2k3f4AAjhGBQYNJHb+fQeSzW7bW1UfkGFm3rx5D1b3&#10;g7PspDEa8A2fjMacaS9BGX9o+I/nxw9LzmISXgkLXjf8rCO/X79/t+pDrafQgVUaGYH4WPeh4V1K&#10;oa6qKDvtRBxB0J6CLaATibZ4qBSKntCdrabj8aLqAVVAkDpGOn24BPm64Letlul720admG04cUtl&#10;xbLu81qtV6I+oAidkVca4h9YOGE8Nb1BPYgk2BHNX1DOSIQIbRpJcBW0rZG6zEDTTMZ/TPPUiaDL&#10;LCRODDeZ4v+Dld9OO2RGkXfLT5x54cikrfGaLWdZnD7EmnI2fod5PDn4p7AF+TMyD5tO+IMuJJ/P&#10;geomuaL6rSRvYqAW+/4rKMoRxwRFqaFFlyFJAzYUQ843Q/SQmKTDxWzOmaTz2d1i+rG4VYn6pTJg&#10;TF80OJZ/Gm6JdUEWp21MmYmoX1JyIw+PxtpiuPWsb/jdfDovBRGsUTmY0yIe9huL7CTylSlfGYsi&#10;b9MQjl4VsCSM/ewVS0WDhIZUsZrnDk4rzqyml5H/LpSsv2qUZbkIvAd13mEOZ7nI6cL9eivzVXq7&#10;L1mvb2f9C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Ek/AyTbAAAACQEAAA8AAAAAAAAAAQAgAAAA&#10;IgAAAGRycy9kb3ducmV2LnhtbFBLAQIUABQAAAAIAIdO4kBkU/PHzwEAAIMDAAAOAAAAAAAAAAEA&#10;IAAAACoBAABkcnMvZTJvRG9jLnhtbFBLBQYAAAAABgAGAFkBAABrBQAAAAA=&#10;">
                      <v:fill on="f" focussize="0,0"/>
                      <v:stroke color="#000000" joinstyle="round" endarrow="block"/>
                      <v:imagedata o:title=""/>
                      <o:lock v:ext="edit" aspectratio="f"/>
                    </v:line>
                  </w:pict>
                </mc:Fallback>
              </mc:AlternateContent>
            </w:r>
          </w:p>
          <w:p>
            <w:pPr>
              <w:snapToGrid w:val="0"/>
              <w:spacing w:line="440" w:lineRule="exact"/>
              <w:jc w:val="center"/>
              <w:rPr>
                <w:rFonts w:hint="default" w:ascii="Times New Roman" w:hAnsi="Times New Roman" w:eastAsia="宋体" w:cs="Times New Roman"/>
                <w:color w:val="auto"/>
                <w:sz w:val="24"/>
              </w:rPr>
            </w:pPr>
          </w:p>
          <w:p>
            <w:pPr>
              <w:snapToGrid w:val="0"/>
              <w:spacing w:line="440" w:lineRule="exact"/>
              <w:jc w:val="center"/>
              <w:rPr>
                <w:rFonts w:hint="default" w:ascii="Times New Roman" w:hAnsi="Times New Roman" w:eastAsia="宋体" w:cs="Times New Roman"/>
                <w:color w:val="auto"/>
                <w:sz w:val="24"/>
              </w:rPr>
            </w:pPr>
            <w:r>
              <w:rPr>
                <w:rFonts w:hint="default" w:ascii="Times New Roman" w:hAnsi="Times New Roman" w:eastAsia="宋体" w:cs="Times New Roman"/>
                <w:b/>
                <w:color w:val="auto"/>
              </w:rPr>
              <mc:AlternateContent>
                <mc:Choice Requires="wps">
                  <w:drawing>
                    <wp:anchor distT="0" distB="0" distL="114300" distR="114300" simplePos="0" relativeHeight="251801600" behindDoc="0" locked="0" layoutInCell="1" allowOverlap="1">
                      <wp:simplePos x="0" y="0"/>
                      <wp:positionH relativeFrom="column">
                        <wp:posOffset>2633980</wp:posOffset>
                      </wp:positionH>
                      <wp:positionV relativeFrom="paragraph">
                        <wp:posOffset>177165</wp:posOffset>
                      </wp:positionV>
                      <wp:extent cx="519430" cy="0"/>
                      <wp:effectExtent l="0" t="38100" r="13970" b="38100"/>
                      <wp:wrapNone/>
                      <wp:docPr id="188" name="Line 85"/>
                      <wp:cNvGraphicFramePr/>
                      <a:graphic xmlns:a="http://schemas.openxmlformats.org/drawingml/2006/main">
                        <a:graphicData uri="http://schemas.microsoft.com/office/word/2010/wordprocessingShape">
                          <wps:wsp>
                            <wps:cNvCnPr>
                              <a:cxnSpLocks noChangeShapeType="1"/>
                            </wps:cNvCnPr>
                            <wps:spPr bwMode="auto">
                              <a:xfrm flipH="1" flipV="1">
                                <a:off x="0" y="0"/>
                                <a:ext cx="519430" cy="0"/>
                              </a:xfrm>
                              <a:prstGeom prst="line">
                                <a:avLst/>
                              </a:prstGeom>
                              <a:noFill/>
                              <a:ln w="9525">
                                <a:solidFill>
                                  <a:srgbClr val="000000"/>
                                </a:solidFill>
                                <a:round/>
                                <a:tailEnd type="triangle" w="med" len="med"/>
                              </a:ln>
                            </wps:spPr>
                            <wps:bodyPr/>
                          </wps:wsp>
                        </a:graphicData>
                      </a:graphic>
                    </wp:anchor>
                  </w:drawing>
                </mc:Choice>
                <mc:Fallback>
                  <w:pict>
                    <v:line id="Line 85" o:spid="_x0000_s1026" o:spt="20" style="position:absolute;left:0pt;flip:x y;margin-left:207.4pt;margin-top:13.95pt;height:0pt;width:40.9pt;z-index:251801600;mso-width-relative:page;mso-height-relative:page;" filled="f" stroked="t" coordsize="21600,21600" o:gfxdata="UEsDBAoAAAAAAIdO4kAAAAAAAAAAAAAAAAAEAAAAZHJzL1BLAwQUAAAACACHTuJAk/umC9gAAAAJ&#10;AQAADwAAAGRycy9kb3ducmV2LnhtbE2PwU7DMBBE70j9B2srcamo7SgKNMSpqkpAxQXR8gFuvCQB&#10;ex3FTlv+HiMOcNzZ0cyban1xlp1wDL0nBXIpgCE13vTUKng7PNzcAQtRk9HWEyr4wgDrenZV6dL4&#10;M73iaR9blkIolFpBF+NQch6aDp0OSz8gpd+7H52O6RxbbkZ9TuHO8kyIgjvdU2ro9IDbDpvP/eQU&#10;bIaXjynbyUcjDtliYXeF9E/PSl3PpbgHFvES/8zwg5/QoU5MRz+RCcwqyGWe0KOC7HYFLBnyVVEA&#10;O/4KvK74/wX1N1BLAwQUAAAACACHTuJA8I1vmtUBAACVAwAADgAAAGRycy9lMm9Eb2MueG1srVPB&#10;btswDL0P2D8Iui9OsmVIjTg9pOt2yLYA7XZXJNkWJomCpMTO349UsrRbb8V8ECjz8ZF8pFa3o7Ps&#10;qGMy4Bs+m0w5016CMr5r+I/H+3dLzlIWXgkLXjf8pBO/Xb99sxpCrefQg1U6MiTxqR5Cw/ucQ11V&#10;SfbaiTSBoD06W4hOZLzGrlJRDMjubDWfTj9WA0QVIkidEv69Ozv5uvC3rZb5e9smnZltONaWyxnL&#10;uaezWq9E3UUReiMvZYhXVOGE8Zj0SnUnsmCHaF5QOSMjJGjzRIKroG2N1KUH7GY2/aebh14EXXpB&#10;cVK4ypT+H638dtxFZhTObomj8sLhkLbGa7ZckDhDSDViNn4XqT05+oewBfkrMQ+bXvhOlyIfTwHj&#10;ZhRR/RVClxQwxX74Cgox4pChKDW20bHWmvCFAov1kyxKg7qwsQzpdB2SHjOT+HMxu/nwHkcp/7gq&#10;URMXxYWY8mcNjpHRcIt9FD5x3KZMtT1BCO7h3lhbVsB6NjT8ZjFflIAE1ihyEizFbr+xkR0FLVH5&#10;SqPoeQ6LcPCqkGVh7CevWC6q5GhQJ6s5ZXBacWY1vhWyziVZf1GNhDpLvgd12kVyk4A4+1L7ZU9p&#10;uZ7fC+rpNa1/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JP7pgvYAAAACQEAAA8AAAAAAAAAAQAg&#10;AAAAIgAAAGRycy9kb3ducmV2LnhtbFBLAQIUABQAAAAIAIdO4kDwjW+a1QEAAJUDAAAOAAAAAAAA&#10;AAEAIAAAACcBAABkcnMvZTJvRG9jLnhtbFBLBQYAAAAABgAGAFkBAABuBQAAAAA=&#10;">
                      <v:fill on="f" focussize="0,0"/>
                      <v:stroke color="#000000" joinstyle="round" endarrow="block"/>
                      <v:imagedata o:title=""/>
                      <o:lock v:ext="edit" aspectratio="f"/>
                    </v:line>
                  </w:pict>
                </mc:Fallback>
              </mc:AlternateContent>
            </w:r>
            <w:r>
              <w:rPr>
                <w:rFonts w:hint="default" w:ascii="Times New Roman" w:hAnsi="Times New Roman" w:eastAsia="宋体" w:cs="Times New Roman"/>
                <w:b/>
                <w:color w:val="auto"/>
                <w:sz w:val="24"/>
              </w:rPr>
              <mc:AlternateContent>
                <mc:Choice Requires="wps">
                  <w:drawing>
                    <wp:anchor distT="0" distB="0" distL="114300" distR="114300" simplePos="0" relativeHeight="251790336" behindDoc="0" locked="0" layoutInCell="1" allowOverlap="1">
                      <wp:simplePos x="0" y="0"/>
                      <wp:positionH relativeFrom="column">
                        <wp:posOffset>1660525</wp:posOffset>
                      </wp:positionH>
                      <wp:positionV relativeFrom="paragraph">
                        <wp:posOffset>35560</wp:posOffset>
                      </wp:positionV>
                      <wp:extent cx="973455" cy="297180"/>
                      <wp:effectExtent l="5080" t="4445" r="12065" b="22225"/>
                      <wp:wrapNone/>
                      <wp:docPr id="189" name="Text Box 79"/>
                      <wp:cNvGraphicFramePr/>
                      <a:graphic xmlns:a="http://schemas.openxmlformats.org/drawingml/2006/main">
                        <a:graphicData uri="http://schemas.microsoft.com/office/word/2010/wordprocessingShape">
                          <wps:wsp>
                            <wps:cNvSpPr txBox="1">
                              <a:spLocks noChangeArrowheads="1"/>
                            </wps:cNvSpPr>
                            <wps:spPr bwMode="auto">
                              <a:xfrm>
                                <a:off x="0" y="0"/>
                                <a:ext cx="973455" cy="297180"/>
                              </a:xfrm>
                              <a:prstGeom prst="rect">
                                <a:avLst/>
                              </a:prstGeom>
                              <a:solidFill>
                                <a:srgbClr val="FFFFFF"/>
                              </a:solidFill>
                              <a:ln w="9525">
                                <a:solidFill>
                                  <a:srgbClr val="000000"/>
                                </a:solidFill>
                                <a:miter lim="800000"/>
                              </a:ln>
                            </wps:spPr>
                            <wps:txbx>
                              <w:txbxContent>
                                <w:p>
                                  <w:r>
                                    <w:t>35kV</w:t>
                                  </w:r>
                                  <w:r>
                                    <w:rPr>
                                      <w:rFonts w:hint="eastAsia"/>
                                    </w:rPr>
                                    <w:t>开关站</w:t>
                                  </w:r>
                                </w:p>
                              </w:txbxContent>
                            </wps:txbx>
                            <wps:bodyPr rot="0" vert="horz" wrap="square" lIns="91440" tIns="45720" rIns="91440" bIns="45720" anchor="t" anchorCtr="0" upright="1">
                              <a:noAutofit/>
                            </wps:bodyPr>
                          </wps:wsp>
                        </a:graphicData>
                      </a:graphic>
                    </wp:anchor>
                  </w:drawing>
                </mc:Choice>
                <mc:Fallback>
                  <w:pict>
                    <v:shape id="Text Box 79" o:spid="_x0000_s1026" o:spt="202" type="#_x0000_t202" style="position:absolute;left:0pt;margin-left:130.75pt;margin-top:2.8pt;height:23.4pt;width:76.65pt;z-index:251790336;mso-width-relative:page;mso-height-relative:page;" fillcolor="#FFFFFF" filled="t" stroked="t" coordsize="21600,21600" o:gfxdata="UEsDBAoAAAAAAIdO4kAAAAAAAAAAAAAAAAAEAAAAZHJzL1BLAwQUAAAACACHTuJAXfVTkdcAAAAI&#10;AQAADwAAAGRycy9kb3ducmV2LnhtbE2PwU7DMBBE70j8g7VIXBB1EtJQQpwekEBwg4Lg6sbbJMJe&#10;B9tNy9+znOA4mtHMm2Z9dFbMGOLoSUG+yEAgdd6M1Ct4e72/XIGISZPR1hMq+MYI6/b0pNG18Qd6&#10;wXmTesElFGutYEhpqqWM3YBOx4WfkNjb+eB0Yhl6aYI+cLmzssiySjo9Ei8MesK7AbvPzd4pWJWP&#10;80d8unp+76qdvUkX1/PDV1Dq/CzPbkEkPKa/MPziMzq0zLT1ezJRWAVFlS85qmBZgWC/zEu+smVd&#10;lCDbRv4/0P4AUEsDBBQAAAAIAIdO4kASL7JXFQIAADoEAAAOAAAAZHJzL2Uyb0RvYy54bWytU8GO&#10;0zAQvSPxD5bvNG1paRs1XS1dFSEtC9IuH+A6TmLheMzYbVK+nrHTLdUCF4QPlsczfn7zZmZ907eG&#10;HRV6Dbbgk9GYM2UllNrWBf/6tHuz5MwHYUthwKqCn5TnN5vXr9ady9UUGjClQkYg1uedK3gTgsuz&#10;zMtGtcKPwClLzgqwFYFMrLMSRUforcmm4/G7rAMsHYJU3tPt3eDkm4RfVUqGz1XlVWCm4MQtpB3T&#10;vo97tlmLvEbhGi3PNMQ/sGiFtvTpBepOBMEOqH+DarVE8FCFkYQ2g6rSUqUcKJvJ+EU2j41wKuVC&#10;4nh3kcn/P1j5cPyCTJdUu+WKMytaKtKT6gN7Dz1brKJAnfM5xT06igw93VNwSta7e5DfPLOwbYSt&#10;1S0idI0SJRGcxJfZ1dMBx0eQffcJSvpHHAIkoL7CNqpHejBCp0KdLsWJXCRdrhZvZ/M5Z5Jc09Vi&#10;skzFy0T+/NihDx8UtCweCo5U+wQujvc+RDIifw6Jf3kwutxpY5KB9X5rkB0F9ckurcT/RZixrCMm&#10;8+l8yP+vEOO0/gTR6kANb3Rb8OV1kLFnuaJCg1ah3/dn+fdQnkg4hKGBaeDo0AD+4Kyj5i24/34Q&#10;qDgzHy2Jv5rMZrHbkzGbL6Zk4LVnf+0RVhJUwQNnw3Ebhgk5ONR1Qz8N5bZwSwWrdBIzVnZgdeZN&#10;DZo0Pg9TnIBrO0X9GvnNT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F31U5HXAAAACAEAAA8AAAAA&#10;AAAAAQAgAAAAIgAAAGRycy9kb3ducmV2LnhtbFBLAQIUABQAAAAIAIdO4kASL7JXFQIAADoEAAAO&#10;AAAAAAAAAAEAIAAAACYBAABkcnMvZTJvRG9jLnhtbFBLBQYAAAAABgAGAFkBAACtBQAAAAA=&#10;">
                      <v:fill on="t" focussize="0,0"/>
                      <v:stroke color="#000000" miterlimit="8" joinstyle="miter"/>
                      <v:imagedata o:title=""/>
                      <o:lock v:ext="edit" aspectratio="f"/>
                      <v:textbox>
                        <w:txbxContent>
                          <w:p>
                            <w:r>
                              <w:t>35kV</w:t>
                            </w:r>
                            <w:r>
                              <w:rPr>
                                <w:rFonts w:hint="eastAsia"/>
                              </w:rPr>
                              <w:t>开关站</w:t>
                            </w:r>
                          </w:p>
                        </w:txbxContent>
                      </v:textbox>
                    </v:shape>
                  </w:pict>
                </mc:Fallback>
              </mc:AlternateContent>
            </w:r>
            <w:r>
              <w:rPr>
                <w:rFonts w:hint="default" w:ascii="Times New Roman" w:hAnsi="Times New Roman" w:eastAsia="宋体" w:cs="Times New Roman"/>
                <w:b/>
                <w:color w:val="auto"/>
                <w:sz w:val="24"/>
              </w:rPr>
              <mc:AlternateContent>
                <mc:Choice Requires="wps">
                  <w:drawing>
                    <wp:anchor distT="0" distB="0" distL="114300" distR="114300" simplePos="0" relativeHeight="251794432" behindDoc="0" locked="0" layoutInCell="1" allowOverlap="1">
                      <wp:simplePos x="0" y="0"/>
                      <wp:positionH relativeFrom="column">
                        <wp:posOffset>1141095</wp:posOffset>
                      </wp:positionH>
                      <wp:positionV relativeFrom="paragraph">
                        <wp:posOffset>178435</wp:posOffset>
                      </wp:positionV>
                      <wp:extent cx="519430" cy="0"/>
                      <wp:effectExtent l="0" t="38100" r="13970" b="38100"/>
                      <wp:wrapNone/>
                      <wp:docPr id="190" name="Line 85"/>
                      <wp:cNvGraphicFramePr/>
                      <a:graphic xmlns:a="http://schemas.openxmlformats.org/drawingml/2006/main">
                        <a:graphicData uri="http://schemas.microsoft.com/office/word/2010/wordprocessingShape">
                          <wps:wsp>
                            <wps:cNvCnPr>
                              <a:cxnSpLocks noChangeShapeType="1"/>
                            </wps:cNvCnPr>
                            <wps:spPr bwMode="auto">
                              <a:xfrm flipH="1" flipV="1">
                                <a:off x="0" y="0"/>
                                <a:ext cx="519430" cy="0"/>
                              </a:xfrm>
                              <a:prstGeom prst="line">
                                <a:avLst/>
                              </a:prstGeom>
                              <a:noFill/>
                              <a:ln w="9525">
                                <a:solidFill>
                                  <a:srgbClr val="000000"/>
                                </a:solidFill>
                                <a:round/>
                                <a:tailEnd type="triangle" w="med" len="med"/>
                              </a:ln>
                            </wps:spPr>
                            <wps:bodyPr/>
                          </wps:wsp>
                        </a:graphicData>
                      </a:graphic>
                    </wp:anchor>
                  </w:drawing>
                </mc:Choice>
                <mc:Fallback>
                  <w:pict>
                    <v:line id="Line 85" o:spid="_x0000_s1026" o:spt="20" style="position:absolute;left:0pt;flip:x y;margin-left:89.85pt;margin-top:14.05pt;height:0pt;width:40.9pt;z-index:251794432;mso-width-relative:page;mso-height-relative:page;" filled="f" stroked="t" coordsize="21600,21600" o:gfxdata="UEsDBAoAAAAAAIdO4kAAAAAAAAAAAAAAAAAEAAAAZHJzL1BLAwQUAAAACACHTuJA+3qySNcAAAAJ&#10;AQAADwAAAGRycy9kb3ducmV2LnhtbE2Py07DMBBF90j8gzVIbCrqh0Ra0jgVQgIqNoiWD3DjaRKw&#10;x1HstOXvMWIByztzdOdMtT57x444xj6QBjkXwJCaYHtqNbzvHm+WwGIyZI0LhBq+MMK6vryoTGnD&#10;id7wuE0tyyUUS6OhS2koOY9Nh97EeRiQ8u4QRm9SjmPL7WhOudw7roQouDc95QudGfChw+ZzO3kN&#10;98Prx6Q28smKnZrN3KaQ4flF6+srKVbAEp7THww/+lkd6uy0DxPZyFzOi7tFRjWopQSWAVXIW2D7&#10;3wGvK/7/g/obUEsDBBQAAAAIAIdO4kCx1lFA1AEAAJUDAAAOAAAAZHJzL2Uyb0RvYy54bWytU8Fu&#10;2zAMvQ/YPwi6L06yZWiMOD2k63bItgDtdlck2RYmiYKkxM7fj1SytFtvxXwQKJN8fHykVrejs+yo&#10;YzLgGz6bTDnTXoIyvmv4j8f7dzecpSy8Eha8bvhJJ367fvtmNYRaz6EHq3RkCOJTPYSG9zmHuqqS&#10;7LUTaQJBe3S2EJ3IeI1dpaIYEN3Zaj6dfqwGiCpEkDol/Ht3dvJ1wW9bLfP3tk06M9tw5JbLGcu5&#10;p7Nar0TdRRF6Iy80xCtYOGE8Fr1C3Yks2CGaF1DOyAgJ2jyR4CpoWyN16QG7mU3/6eahF0GXXlCc&#10;FK4ypf8HK78dd5EZhbNboj5eOBzS1njNbhYkzhBSjTEbv4vUnhz9Q9iC/JWYh00vfKcLycdTwLwZ&#10;ZVR/pdAlBSyxH76CwhhxyFCUGtvoWGtN+EKJxfpJFpVBXdhYhnS6DkmPmUn8uZgtP7xHqvKPqxI1&#10;YVFeiCl/1uAYGQ232EfBE8dtysTtKYTCPdwba8sKWM+Ghi8X80VJSGCNIieFpdjtNzayo6AlKl9p&#10;FD3PwyIcvCpgWRj7ySuWiyo5GtTJak4VnFacWY1vhawzJesvqpFQZ8n3oE67SG4SEGdfuF/2lJbr&#10;+b1EPb2m9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7erJI1wAAAAkBAAAPAAAAAAAAAAEAIAAA&#10;ACIAAABkcnMvZG93bnJldi54bWxQSwECFAAUAAAACACHTuJAsdZRQNQBAACVAwAADgAAAAAAAAAB&#10;ACAAAAAmAQAAZHJzL2Uyb0RvYy54bWxQSwUGAAAAAAYABgBZAQAAbAUAAAAA&#10;">
                      <v:fill on="f" focussize="0,0"/>
                      <v:stroke color="#000000" joinstyle="round" endarrow="block"/>
                      <v:imagedata o:title=""/>
                      <o:lock v:ext="edit" aspectratio="f"/>
                    </v:line>
                  </w:pict>
                </mc:Fallback>
              </mc:AlternateContent>
            </w:r>
            <w:r>
              <w:rPr>
                <w:rFonts w:hint="default" w:ascii="Times New Roman" w:hAnsi="Times New Roman" w:eastAsia="宋体" w:cs="Times New Roman"/>
                <w:b/>
                <w:color w:val="auto"/>
              </w:rPr>
              <mc:AlternateContent>
                <mc:Choice Requires="wps">
                  <w:drawing>
                    <wp:anchor distT="0" distB="0" distL="114300" distR="114300" simplePos="0" relativeHeight="251800576" behindDoc="0" locked="0" layoutInCell="1" allowOverlap="1">
                      <wp:simplePos x="0" y="0"/>
                      <wp:positionH relativeFrom="column">
                        <wp:posOffset>3196590</wp:posOffset>
                      </wp:positionH>
                      <wp:positionV relativeFrom="paragraph">
                        <wp:posOffset>35560</wp:posOffset>
                      </wp:positionV>
                      <wp:extent cx="577215" cy="297180"/>
                      <wp:effectExtent l="4445" t="4445" r="8890" b="22225"/>
                      <wp:wrapNone/>
                      <wp:docPr id="191" name="Text Box 79"/>
                      <wp:cNvGraphicFramePr/>
                      <a:graphic xmlns:a="http://schemas.openxmlformats.org/drawingml/2006/main">
                        <a:graphicData uri="http://schemas.microsoft.com/office/word/2010/wordprocessingShape">
                          <wps:wsp>
                            <wps:cNvSpPr txBox="1">
                              <a:spLocks noChangeArrowheads="1"/>
                            </wps:cNvSpPr>
                            <wps:spPr bwMode="auto">
                              <a:xfrm>
                                <a:off x="0" y="0"/>
                                <a:ext cx="577215" cy="297180"/>
                              </a:xfrm>
                              <a:prstGeom prst="rect">
                                <a:avLst/>
                              </a:prstGeom>
                              <a:solidFill>
                                <a:srgbClr val="FFFFFF"/>
                              </a:solidFill>
                              <a:ln w="9525">
                                <a:solidFill>
                                  <a:srgbClr val="000000"/>
                                </a:solidFill>
                                <a:miter lim="800000"/>
                              </a:ln>
                            </wps:spPr>
                            <wps:txbx>
                              <w:txbxContent>
                                <w:p>
                                  <w:r>
                                    <w:rPr>
                                      <w:rFonts w:hint="eastAsia"/>
                                    </w:rPr>
                                    <w:t>箱变</w:t>
                                  </w:r>
                                </w:p>
                              </w:txbxContent>
                            </wps:txbx>
                            <wps:bodyPr rot="0" vert="horz" wrap="square" lIns="91440" tIns="45720" rIns="91440" bIns="45720" anchor="t" anchorCtr="0" upright="1">
                              <a:noAutofit/>
                            </wps:bodyPr>
                          </wps:wsp>
                        </a:graphicData>
                      </a:graphic>
                    </wp:anchor>
                  </w:drawing>
                </mc:Choice>
                <mc:Fallback>
                  <w:pict>
                    <v:shape id="Text Box 79" o:spid="_x0000_s1026" o:spt="202" type="#_x0000_t202" style="position:absolute;left:0pt;margin-left:251.7pt;margin-top:2.8pt;height:23.4pt;width:45.45pt;z-index:251800576;mso-width-relative:page;mso-height-relative:page;" fillcolor="#FFFFFF" filled="t" stroked="t" coordsize="21600,21600" o:gfxdata="UEsDBAoAAAAAAIdO4kAAAAAAAAAAAAAAAAAEAAAAZHJzL1BLAwQUAAAACACHTuJAE5chutcAAAAI&#10;AQAADwAAAGRycy9kb3ducmV2LnhtbE2PwU7DMBBE70j8g7VIXBC126ShDXF6QALBDQqCqxtvkwh7&#10;HWI3LX/PcoLbrGY0+6banLwTE46xD6RhPlMgkJpge2o1vL3eX69AxGTIGhcINXxjhE19flaZ0oYj&#10;veC0Ta3gEoql0dClNJRSxqZDb+IsDEjs7cPoTeJzbKUdzZHLvZMLpQrpTU/8oTMD3nXYfG4PXsMq&#10;f5w+4lP2/N4Ue7dOVzfTw9eo9eXFXN2CSHhKf2H4xWd0qJlpFw5ko3AalirLOcqiAMH+cp1nIHYs&#10;FjnIupL/B9Q/UEsDBBQAAAAIAIdO4kD0+rQQFgIAADoEAAAOAAAAZHJzL2Uyb0RvYy54bWytU9uO&#10;2yAQfa/Uf0C8N46tpNlYcVbbrFJV2l6k3X4AxthGBYYCiZ1+fQecTaNt+1KVB8Qww2HmnJnN7agV&#10;OQrnJZiK5rM5JcJwaKTpKvr1af/mhhIfmGmYAiMqehKe3m5fv9oMthQF9KAa4QiCGF8OtqJ9CLbM&#10;Ms97oZmfgRUGnS04zQKarssaxwZE1yor5vO32QCusQ648B5v7ycn3Sb8thU8fG5bLwJRFcXcQtpd&#10;2uu4Z9sNKzvHbC/5OQ32D1loJg1+eoG6Z4GRg5O/QWnJHXhow4yDzqBtJRepBqwmn7+o5rFnVqRa&#10;kBxvLzT5/wfLPx2/OCIb1G6dU2KYRpGexBjIOxjJah0JGqwvMe7RYmQY8R6DU7HePgD/5omBXc9M&#10;J+6cg6EXrMEE8/gyu3o64fgIUg8focF/2CFAAhpbpyN7yAdBdBTqdBEn5sLxcrlaFfmSEo6uYr3K&#10;b5J4GSufH1vnw3sBmsRDRR1qn8DZ8cGHmAwrn0PiXx6UbPZSqWS4rt4pR44M+2SfVsr/RZgyZKjo&#10;elksp/r/CjFP608QWgZseCV1RW+ug5Q50xUZmrgKYz2e6a+hOSFxDqYGxoHDQw/uByUDNm9F/fcD&#10;c4IS9cEg+et8sYjdnozFclWg4a499bWHGY5QFQ2UTMddmCbkYJ3sevxpktvAHQrWykRmVHbK6pw3&#10;Nmji+DxMcQKu7RT1a+S3P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TlyG61wAAAAgBAAAPAAAA&#10;AAAAAAEAIAAAACIAAABkcnMvZG93bnJldi54bWxQSwECFAAUAAAACACHTuJA9Pq0EBYCAAA6BAAA&#10;DgAAAAAAAAABACAAAAAmAQAAZHJzL2Uyb0RvYy54bWxQSwUGAAAAAAYABgBZAQAArgUAAAAA&#10;">
                      <v:fill on="t" focussize="0,0"/>
                      <v:stroke color="#000000" miterlimit="8" joinstyle="miter"/>
                      <v:imagedata o:title=""/>
                      <o:lock v:ext="edit" aspectratio="f"/>
                      <v:textbox>
                        <w:txbxContent>
                          <w:p>
                            <w:r>
                              <w:rPr>
                                <w:rFonts w:hint="eastAsia"/>
                              </w:rPr>
                              <w:t>箱变</w:t>
                            </w:r>
                          </w:p>
                        </w:txbxContent>
                      </v:textbox>
                    </v:shape>
                  </w:pict>
                </mc:Fallback>
              </mc:AlternateContent>
            </w:r>
            <w:r>
              <w:rPr>
                <w:rFonts w:hint="default" w:ascii="Times New Roman" w:hAnsi="Times New Roman" w:eastAsia="宋体" w:cs="Times New Roman"/>
                <w:b/>
                <w:color w:val="auto"/>
                <w:sz w:val="24"/>
              </w:rPr>
              <mc:AlternateContent>
                <mc:Choice Requires="wps">
                  <w:drawing>
                    <wp:anchor distT="0" distB="0" distL="114300" distR="114300" simplePos="0" relativeHeight="251795456" behindDoc="0" locked="0" layoutInCell="1" allowOverlap="1">
                      <wp:simplePos x="0" y="0"/>
                      <wp:positionH relativeFrom="column">
                        <wp:posOffset>74295</wp:posOffset>
                      </wp:positionH>
                      <wp:positionV relativeFrom="paragraph">
                        <wp:posOffset>34925</wp:posOffset>
                      </wp:positionV>
                      <wp:extent cx="1066800" cy="297815"/>
                      <wp:effectExtent l="5080" t="4445" r="13970" b="21590"/>
                      <wp:wrapNone/>
                      <wp:docPr id="192" name="Text Box 87"/>
                      <wp:cNvGraphicFramePr/>
                      <a:graphic xmlns:a="http://schemas.openxmlformats.org/drawingml/2006/main">
                        <a:graphicData uri="http://schemas.microsoft.com/office/word/2010/wordprocessingShape">
                          <wps:wsp>
                            <wps:cNvSpPr txBox="1">
                              <a:spLocks noChangeArrowheads="1"/>
                            </wps:cNvSpPr>
                            <wps:spPr bwMode="auto">
                              <a:xfrm>
                                <a:off x="0" y="0"/>
                                <a:ext cx="1066800" cy="297815"/>
                              </a:xfrm>
                              <a:prstGeom prst="rect">
                                <a:avLst/>
                              </a:prstGeom>
                              <a:solidFill>
                                <a:srgbClr val="FFFFFF"/>
                              </a:solidFill>
                              <a:ln w="9525">
                                <a:solidFill>
                                  <a:srgbClr val="000000"/>
                                </a:solidFill>
                                <a:miter lim="800000"/>
                              </a:ln>
                            </wps:spPr>
                            <wps:txbx>
                              <w:txbxContent>
                                <w:p>
                                  <w:pPr>
                                    <w:ind w:firstLine="105" w:firstLineChars="50"/>
                                  </w:pPr>
                                  <w:r>
                                    <w:rPr>
                                      <w:rFonts w:hint="eastAsia"/>
                                    </w:rPr>
                                    <w:t>附近的变电站</w:t>
                                  </w:r>
                                </w:p>
                              </w:txbxContent>
                            </wps:txbx>
                            <wps:bodyPr rot="0" vert="horz" wrap="square" lIns="91440" tIns="45720" rIns="91440" bIns="45720" anchor="t" anchorCtr="0" upright="1">
                              <a:noAutofit/>
                            </wps:bodyPr>
                          </wps:wsp>
                        </a:graphicData>
                      </a:graphic>
                    </wp:anchor>
                  </w:drawing>
                </mc:Choice>
                <mc:Fallback>
                  <w:pict>
                    <v:shape id="Text Box 87" o:spid="_x0000_s1026" o:spt="202" type="#_x0000_t202" style="position:absolute;left:0pt;margin-left:5.85pt;margin-top:2.75pt;height:23.45pt;width:84pt;z-index:251795456;mso-width-relative:page;mso-height-relative:page;" fillcolor="#FFFFFF" filled="t" stroked="t" coordsize="21600,21600" o:gfxdata="UEsDBAoAAAAAAIdO4kAAAAAAAAAAAAAAAAAEAAAAZHJzL1BLAwQUAAAACACHTuJAD12roNQAAAAH&#10;AQAADwAAAGRycy9kb3ducmV2LnhtbE2OwU7DMBBE70j8g7VIXBB1UtqmDXF6QALBrRQEVzfeJhH2&#10;OthuWv6e7QmOTzOaedX65KwYMcTek4J8koFAarzpqVXw/vZ4uwQRkyajrSdU8IMR1vXlRaVL44/0&#10;iuM2tYJHKJZaQZfSUEoZmw6djhM/IHG298HpxBhaaYI+8rizcpplC+l0T/zQ6QEfOmy+tgenYDl7&#10;Hj/jy93mo1ns7SrdFOPTd1Dq+irP7kEkPKW/Mpz1WR1qdtr5A5koLHNecFPBfA7iHBcr5h3zdAay&#10;ruR///oXUEsDBBQAAAAIAIdO4kD1WsFeFgIAADsEAAAOAAAAZHJzL2Uyb0RvYy54bWytU9tu2zAM&#10;fR+wfxD0vtgxcjXiFF2KDAO6dUC7D5Bl2RYmi5qkxO6+fpTsZtntZZgeBFEkD8lDcnczdIqchXUS&#10;dEHns5QSoTlUUjcF/fx0fLOhxHmmK6ZAi4I+C0dv9q9f7XqTiwxaUJWwBEG0y3tT0NZ7kyeJ463o&#10;mJuBERqVNdiOeRRtk1SW9YjeqSRL01XSg62MBS6cw9+7UUn3Eb+uBfcPde2EJ6qgmJuPt413Ge5k&#10;v2N5Y5lpJZ/SYP+QRcekxqAXqDvmGTlZ+RtUJ7kFB7WfcegSqGvJRawBq5mnv1Tz2DIjYi1IjjMX&#10;mtz/g+Ufz58skRX2bptRolmHTXoSgydvYSCbdSCoNy5Hu0eDln7AfzSOxTpzD/yLIxoOLdONuLUW&#10;+lawChOcB8/kynXEcQGk7D9AhXHYyUMEGmrbBfaQD4Lo2KjnS3NCLjyETFerTYoqjrpsu97MlzEE&#10;y1+8jXX+nYCOhEdBLTY/orPzvfMhG5a/mIRgDpSsjlKpKNimPChLzgwH5RjPhP6TmdKkL+h2mS1H&#10;Av4KkcbzJ4hOepx4JbuCYjl4JiOlJ74CRSNZfiiHif8SqmdkzsI4wbhx+GjBfqOkx+ktqPt6YlZQ&#10;ot5rZH87XyzCuEdhsVxnKNhrTXmtYZojVEE9JePz4McVORkrmxYjjf3WcIsdq2UkM7R2zGrKGyc0&#10;cjxtU1iBazla/dj5/X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PXaug1AAAAAcBAAAPAAAAAAAA&#10;AAEAIAAAACIAAABkcnMvZG93bnJldi54bWxQSwECFAAUAAAACACHTuJA9VrBXhYCAAA7BAAADgAA&#10;AAAAAAABACAAAAAjAQAAZHJzL2Uyb0RvYy54bWxQSwUGAAAAAAYABgBZAQAAqwUAAAAA&#10;">
                      <v:fill on="t" focussize="0,0"/>
                      <v:stroke color="#000000" miterlimit="8" joinstyle="miter"/>
                      <v:imagedata o:title=""/>
                      <o:lock v:ext="edit" aspectratio="f"/>
                      <v:textbox>
                        <w:txbxContent>
                          <w:p>
                            <w:pPr>
                              <w:ind w:firstLine="105" w:firstLineChars="50"/>
                            </w:pPr>
                            <w:r>
                              <w:rPr>
                                <w:rFonts w:hint="eastAsia"/>
                              </w:rPr>
                              <w:t>附近的变电站</w:t>
                            </w:r>
                          </w:p>
                        </w:txbxContent>
                      </v:textbox>
                    </v:shape>
                  </w:pict>
                </mc:Fallback>
              </mc:AlternateContent>
            </w:r>
            <w:r>
              <w:rPr>
                <w:rFonts w:hint="default" w:ascii="Times New Roman" w:hAnsi="Times New Roman" w:eastAsia="宋体" w:cs="Times New Roman"/>
                <w:b/>
                <w:color w:val="auto"/>
                <w:sz w:val="24"/>
              </w:rPr>
              <mc:AlternateContent>
                <mc:Choice Requires="wps">
                  <w:drawing>
                    <wp:anchor distT="0" distB="0" distL="114300" distR="114300" simplePos="0" relativeHeight="251798528" behindDoc="0" locked="0" layoutInCell="1" allowOverlap="1">
                      <wp:simplePos x="0" y="0"/>
                      <wp:positionH relativeFrom="column">
                        <wp:posOffset>3773805</wp:posOffset>
                      </wp:positionH>
                      <wp:positionV relativeFrom="paragraph">
                        <wp:posOffset>178435</wp:posOffset>
                      </wp:positionV>
                      <wp:extent cx="552450" cy="0"/>
                      <wp:effectExtent l="0" t="38100" r="0" b="38100"/>
                      <wp:wrapNone/>
                      <wp:docPr id="193" name="Line 84"/>
                      <wp:cNvGraphicFramePr/>
                      <a:graphic xmlns:a="http://schemas.openxmlformats.org/drawingml/2006/main">
                        <a:graphicData uri="http://schemas.microsoft.com/office/word/2010/wordprocessingShape">
                          <wps:wsp>
                            <wps:cNvCnPr>
                              <a:cxnSpLocks noChangeShapeType="1"/>
                            </wps:cNvCnPr>
                            <wps:spPr bwMode="auto">
                              <a:xfrm flipH="1">
                                <a:off x="0" y="0"/>
                                <a:ext cx="552450" cy="0"/>
                              </a:xfrm>
                              <a:prstGeom prst="line">
                                <a:avLst/>
                              </a:prstGeom>
                              <a:noFill/>
                              <a:ln w="9525">
                                <a:solidFill>
                                  <a:srgbClr val="000000"/>
                                </a:solidFill>
                                <a:round/>
                                <a:tailEnd type="triangle" w="med" len="med"/>
                              </a:ln>
                            </wps:spPr>
                            <wps:bodyPr/>
                          </wps:wsp>
                        </a:graphicData>
                      </a:graphic>
                    </wp:anchor>
                  </w:drawing>
                </mc:Choice>
                <mc:Fallback>
                  <w:pict>
                    <v:line id="Line 84" o:spid="_x0000_s1026" o:spt="20" style="position:absolute;left:0pt;flip:x;margin-left:297.15pt;margin-top:14.05pt;height:0pt;width:43.5pt;z-index:251798528;mso-width-relative:page;mso-height-relative:page;" filled="f" stroked="t" coordsize="21600,21600" o:gfxdata="UEsDBAoAAAAAAIdO4kAAAAAAAAAAAAAAAAAEAAAAZHJzL1BLAwQUAAAACACHTuJAe6l0N9gAAAAJ&#10;AQAADwAAAGRycy9kb3ducmV2LnhtbE2PwU7DMAyG70i8Q2QkbizN2KauNN0BgcQJwYaQuGWNacsa&#10;pyTZOnh6PHGAo39/+v25XB1dLw4YYudJg5pkIJBqbztqNLxs7q9yEDEZsqb3hBq+MMKqOj8rTWH9&#10;SM94WKdGcAnFwmhoUxoKKWPdojNx4gck3r374EziMTTSBjNyuevlNMsW0pmO+EJrBrxtsd6t907D&#10;cjPO/VPYvc5U9/n2ffeRhofHpPXlhcpuQCQ8pj8YTvqsDhU7bf2ebBS9hvlyds2ohmmuQDCwyBUH&#10;299AVqX8/0H1A1BLAwQUAAAACACHTuJAwUzRtNABAACLAwAADgAAAGRycy9lMm9Eb2MueG1srVPB&#10;bhshEL1X6j8g7vXabrZKVl7n4DTtwW0tJf0ADOwuKjAIsHf9953BrpO2t6ocEDBvHm/ewOp+cpYd&#10;dUwGfMsXszln2ktQxvct//78+O6Ws5SFV8KC1y0/6cTv12/frMbQ6CUMYJWODEl8asbQ8iHn0FRV&#10;koN2Is0gaI/BDqITGbexr1QUI7I7Wy3n8w/VCFGFCFKnhKcP5yBfF/6u0zJ/67qkM7MtR225zLHM&#10;e5qr9Uo0fRRhMPIiQ/yDCieMx0uvVA8iC3aI5i8qZ2SEBF2eSXAVdJ2RutSA1Szmf1TzNIigSy1o&#10;TgpXm9L/o5Vfj7vIjMLe3b3nzAuHTdoar9ntDZkzhtQgZuN3kcqTk38KW5A/EvOwGYTvdRH5fAqY&#10;t6CM6rcU2qSAV+zHL6AQIw4ZilNTFx3rrAmfKZHI0Q02ldacrq3RU2YSD+t6eVNjA+WvUCUaYqC8&#10;EFP+pMExWrTcovrCJ47blEnRC4TgHh6NtaXx1rOx5Xf1si4JCaxRFCRYiv1+YyM7Cno6ZZTyMPIa&#10;FuHgVSHLwtiPXrFcvMjRoDtWc7rBacWZ1fhDaHWWZP3FK7LnbPQe1GkXKUy2YceL9svrpCf1el9Q&#10;L39o/R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7qXQ32AAAAAkBAAAPAAAAAAAAAAEAIAAAACIA&#10;AABkcnMvZG93bnJldi54bWxQSwECFAAUAAAACACHTuJAwUzRtNABAACLAwAADgAAAAAAAAABACAA&#10;AAAnAQAAZHJzL2Uyb0RvYy54bWxQSwUGAAAAAAYABgBZAQAAaQUAAAAA&#10;">
                      <v:fill on="f" focussize="0,0"/>
                      <v:stroke color="#000000" joinstyle="round" endarrow="block"/>
                      <v:imagedata o:title=""/>
                      <o:lock v:ext="edit" aspectratio="f"/>
                    </v:line>
                  </w:pict>
                </mc:Fallback>
              </mc:AlternateContent>
            </w:r>
            <w:r>
              <w:rPr>
                <w:rFonts w:hint="default" w:ascii="Times New Roman" w:hAnsi="Times New Roman" w:eastAsia="宋体" w:cs="Times New Roman"/>
                <w:b/>
                <w:color w:val="auto"/>
                <w:sz w:val="24"/>
              </w:rPr>
              <mc:AlternateContent>
                <mc:Choice Requires="wps">
                  <w:drawing>
                    <wp:anchor distT="0" distB="0" distL="114300" distR="114300" simplePos="0" relativeHeight="251797504" behindDoc="0" locked="0" layoutInCell="1" allowOverlap="1">
                      <wp:simplePos x="0" y="0"/>
                      <wp:positionH relativeFrom="column">
                        <wp:posOffset>4326255</wp:posOffset>
                      </wp:positionH>
                      <wp:positionV relativeFrom="paragraph">
                        <wp:posOffset>34925</wp:posOffset>
                      </wp:positionV>
                      <wp:extent cx="882650" cy="297180"/>
                      <wp:effectExtent l="4445" t="4445" r="8255" b="22225"/>
                      <wp:wrapNone/>
                      <wp:docPr id="194" name="Text Box 76"/>
                      <wp:cNvGraphicFramePr/>
                      <a:graphic xmlns:a="http://schemas.openxmlformats.org/drawingml/2006/main">
                        <a:graphicData uri="http://schemas.microsoft.com/office/word/2010/wordprocessingShape">
                          <wps:wsp>
                            <wps:cNvSpPr txBox="1">
                              <a:spLocks noChangeArrowheads="1"/>
                            </wps:cNvSpPr>
                            <wps:spPr bwMode="auto">
                              <a:xfrm>
                                <a:off x="0" y="0"/>
                                <a:ext cx="882650" cy="297180"/>
                              </a:xfrm>
                              <a:prstGeom prst="rect">
                                <a:avLst/>
                              </a:prstGeom>
                              <a:solidFill>
                                <a:srgbClr val="FFFFFF"/>
                              </a:solidFill>
                              <a:ln w="9525">
                                <a:solidFill>
                                  <a:srgbClr val="000000"/>
                                </a:solidFill>
                                <a:miter lim="800000"/>
                              </a:ln>
                            </wps:spPr>
                            <wps:txbx>
                              <w:txbxContent>
                                <w:p>
                                  <w:r>
                                    <w:rPr>
                                      <w:rFonts w:hint="eastAsia"/>
                                    </w:rPr>
                                    <w:t>防雷汇流箱</w:t>
                                  </w:r>
                                </w:p>
                                <w:p/>
                              </w:txbxContent>
                            </wps:txbx>
                            <wps:bodyPr rot="0" vert="horz" wrap="square" lIns="91440" tIns="45720" rIns="91440" bIns="45720" anchor="t" anchorCtr="0" upright="1">
                              <a:noAutofit/>
                            </wps:bodyPr>
                          </wps:wsp>
                        </a:graphicData>
                      </a:graphic>
                    </wp:anchor>
                  </w:drawing>
                </mc:Choice>
                <mc:Fallback>
                  <w:pict>
                    <v:shape id="Text Box 76" o:spid="_x0000_s1026" o:spt="202" type="#_x0000_t202" style="position:absolute;left:0pt;margin-left:340.65pt;margin-top:2.75pt;height:23.4pt;width:69.5pt;z-index:251797504;mso-width-relative:page;mso-height-relative:page;" fillcolor="#FFFFFF" filled="t" stroked="t" coordsize="21600,21600" o:gfxdata="UEsDBAoAAAAAAIdO4kAAAAAAAAAAAAAAAAAEAAAAZHJzL1BLAwQUAAAACACHTuJAQwePqtcAAAAI&#10;AQAADwAAAGRycy9kb3ducmV2LnhtbE2Py07DMBBF90j8gzVIbBC1k9A0hDhdIIFgBwWVrRtPkwg/&#10;gu2m5e8ZVrA8uld3zjTrkzVsxhBH7yRkCwEMXef16HoJ728P1xWwmJTTyniHEr4xwro9P2tUrf3R&#10;veK8ST2jERdrJWFIaao5j92AVsWFn9BRtvfBqkQYeq6DOtK4NTwXouRWjY4uDGrC+wG7z83BSqhu&#10;nuaP+Fy8bLtyb27T1Wp+/ApSXl5k4g5YwlP6K8OvPqlDS047f3A6MiOhrLKCqhKWS2CUV7kg3hHn&#10;BfC24f8faH8AUEsDBBQAAAAIAIdO4kD4EAg1FAIAADoEAAAOAAAAZHJzL2Uyb0RvYy54bWytU9uO&#10;2yAQfa/Uf0C8N06sXK11VtusUlXadivt9gMwxjYqMBRI7PTrO+BsGm3bl6o8IIYZDjPnzNzcDlqR&#10;o3BeginpbDKlRBgOtTRtSb8+79+tKfGBmZopMKKkJ+Hp7fbtm5veFiKHDlQtHEEQ44velrQLwRZZ&#10;5nknNPMTsMKgswGnWUDTtVntWI/oWmX5dLrMenC1dcCF93h7PzrpNuE3jeDhsWm8CESVFHMLaXdp&#10;r+KebW9Y0TpmO8nPabB/yEIzafDTC9Q9C4wcnPwNSkvuwEMTJhx0Bk0juUg1YDWz6atqnjpmRaoF&#10;yfH2QpP/f7D88/GLI7JG7TZzSgzTKNKzGAJ5DwNZLSNBvfUFxj1ZjAwD3mNwKtbbB+DfPDGw65hp&#10;xZ1z0HeC1ZjgLL7Mrp6OOD6CVP0nqPEfdgiQgIbG6cge8kEQHYU6XcSJuXC8XK/z5QI9HF35ZjVb&#10;J/EyVrw8ts6HDwI0iYeSOtQ+gbPjgw8xGVa8hMS/PChZ76VSyXBttVOOHBn2yT6tlP+rMGVIX9LN&#10;Il+M9f8VYprWnyC0DNjwSmqs6DpImTNdkaGRqzBUw5n+CuoTEudgbGAcODx04H5Q0mPzltR/PzAn&#10;KFEfDZK/mc3nsduTMV+scjTctae69jDDEaqkgZLxuAvjhBysk22HP41yG7hDwRqZyIzKjlmd88YG&#10;TRyfhylOwLWdon6N/PY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QwePqtcAAAAIAQAADwAAAAAA&#10;AAABACAAAAAiAAAAZHJzL2Rvd25yZXYueG1sUEsBAhQAFAAAAAgAh07iQPgQCDUUAgAAOgQAAA4A&#10;AAAAAAAAAQAgAAAAJgEAAGRycy9lMm9Eb2MueG1sUEsFBgAAAAAGAAYAWQEAAKwFAAAAAA==&#10;">
                      <v:fill on="t" focussize="0,0"/>
                      <v:stroke color="#000000" miterlimit="8" joinstyle="miter"/>
                      <v:imagedata o:title=""/>
                      <o:lock v:ext="edit" aspectratio="f"/>
                      <v:textbox>
                        <w:txbxContent>
                          <w:p>
                            <w:r>
                              <w:rPr>
                                <w:rFonts w:hint="eastAsia"/>
                              </w:rPr>
                              <w:t>防雷汇流箱</w:t>
                            </w:r>
                          </w:p>
                          <w:p/>
                        </w:txbxContent>
                      </v:textbox>
                    </v:shape>
                  </w:pict>
                </mc:Fallback>
              </mc:AlternateContent>
            </w:r>
          </w:p>
          <w:p>
            <w:pPr>
              <w:snapToGrid w:val="0"/>
              <w:spacing w:line="440" w:lineRule="exact"/>
              <w:rPr>
                <w:rFonts w:hint="default" w:ascii="Times New Roman" w:hAnsi="Times New Roman" w:eastAsia="宋体" w:cs="Times New Roman"/>
                <w:color w:val="auto"/>
                <w:sz w:val="24"/>
              </w:rPr>
            </w:pPr>
          </w:p>
          <w:p>
            <w:pPr>
              <w:pStyle w:val="15"/>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color w:val="auto"/>
                <w:sz w:val="24"/>
                <w:highlight w:val="none"/>
              </w:rPr>
            </w:pPr>
            <w:r>
              <w:rPr>
                <w:rFonts w:hint="default" w:ascii="Times New Roman" w:hAnsi="Times New Roman" w:eastAsia="宋体" w:cs="Times New Roman"/>
                <w:color w:val="auto"/>
                <w:sz w:val="24"/>
              </w:rPr>
              <w:t>光伏组件经日光照射后，产生低压直流电，光伏组串并联后的直流电通过电缆接至逆变器，逆变后的三相交流电经交流电缆接至汇流箱，汇流后的三相交流电经交流电缆接至35kV升压变压器，接入35kV开关站，最终接入附近的变电站。</w:t>
            </w:r>
          </w:p>
          <w:p>
            <w:pPr>
              <w:pStyle w:val="12"/>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2" w:firstLineChars="200"/>
              <w:textAlignment w:val="auto"/>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lang w:val="en-US" w:eastAsia="zh-CN"/>
              </w:rPr>
              <w:t>三、</w:t>
            </w:r>
            <w:r>
              <w:rPr>
                <w:rFonts w:hint="default" w:ascii="Times New Roman" w:hAnsi="Times New Roman" w:eastAsia="宋体" w:cs="Times New Roman"/>
                <w:b/>
                <w:color w:val="auto"/>
                <w:sz w:val="24"/>
                <w:szCs w:val="24"/>
              </w:rPr>
              <w:t>主要污染工序</w:t>
            </w:r>
          </w:p>
          <w:p>
            <w:pPr>
              <w:pStyle w:val="12"/>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1、施工期</w:t>
            </w:r>
          </w:p>
          <w:p>
            <w:pPr>
              <w:pStyle w:val="12"/>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施工期主要污染工序：包括施工废水、施工扬尘、运输车辆尾气、施工噪声、施工固废等。本项目环境影响仅在施工期存在，并且影响范围小，时间短。</w:t>
            </w:r>
          </w:p>
          <w:p>
            <w:pPr>
              <w:pStyle w:val="12"/>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（1）</w:t>
            </w:r>
            <w:r>
              <w:rPr>
                <w:rFonts w:hint="default" w:ascii="Times New Roman" w:hAnsi="Times New Roman" w:eastAsia="宋体" w:cs="Times New Roman"/>
                <w:color w:val="auto"/>
                <w:sz w:val="24"/>
                <w:szCs w:val="24"/>
                <w:lang w:val="en-US" w:eastAsia="zh-CN"/>
              </w:rPr>
              <w:t>施工废水</w:t>
            </w:r>
          </w:p>
          <w:p>
            <w:pPr>
              <w:pStyle w:val="15"/>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施工期将产生一定量的生产废水和生活污水。工程施工期废水主要来源于混凝土拌和系统冲洗废水，在施工现场设置临时沉淀池，经沉淀处理后循环使用不外排；另外施工机械冲洗产生的含油废水</w:t>
            </w:r>
            <w:r>
              <w:rPr>
                <w:rFonts w:hint="default" w:ascii="Times New Roman" w:hAnsi="Times New Roman" w:eastAsia="宋体" w:cs="Times New Roman"/>
                <w:color w:val="auto"/>
                <w:sz w:val="24"/>
                <w:szCs w:val="24"/>
                <w:lang w:eastAsia="zh-CN"/>
              </w:rPr>
              <w:t>经隔油池处理</w:t>
            </w:r>
            <w:r>
              <w:rPr>
                <w:rFonts w:hint="default" w:ascii="Times New Roman" w:hAnsi="Times New Roman" w:eastAsia="宋体" w:cs="Times New Roman"/>
                <w:color w:val="auto"/>
                <w:sz w:val="24"/>
                <w:szCs w:val="24"/>
              </w:rPr>
              <w:t>后用于施工场地抑尘。</w:t>
            </w:r>
          </w:p>
          <w:p>
            <w:pPr>
              <w:pStyle w:val="15"/>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施工期生活污水主要为施工人员日常生活排放的污水，本工程施工期平均高峰人数约</w:t>
            </w:r>
            <w:r>
              <w:rPr>
                <w:rFonts w:hint="default" w:ascii="Times New Roman" w:hAnsi="Times New Roman" w:eastAsia="宋体" w:cs="Times New Roman"/>
                <w:color w:val="auto"/>
                <w:sz w:val="24"/>
                <w:szCs w:val="24"/>
                <w:lang w:eastAsia="zh-CN"/>
              </w:rPr>
              <w:t>100</w:t>
            </w:r>
            <w:r>
              <w:rPr>
                <w:rFonts w:hint="default" w:ascii="Times New Roman" w:hAnsi="Times New Roman" w:eastAsia="宋体" w:cs="Times New Roman"/>
                <w:color w:val="auto"/>
                <w:sz w:val="24"/>
                <w:szCs w:val="24"/>
              </w:rPr>
              <w:t>人，用水量按100L/人.d计，排污系数按0.8考虑，则生活用水量</w:t>
            </w:r>
            <w:r>
              <w:rPr>
                <w:rFonts w:hint="default" w:ascii="Times New Roman" w:hAnsi="Times New Roman" w:eastAsia="宋体" w:cs="Times New Roman"/>
                <w:color w:val="auto"/>
                <w:sz w:val="24"/>
                <w:szCs w:val="24"/>
                <w:lang w:eastAsia="zh-CN"/>
              </w:rPr>
              <w:t>10</w:t>
            </w:r>
            <w:r>
              <w:rPr>
                <w:rFonts w:hint="default" w:ascii="Times New Roman" w:hAnsi="Times New Roman" w:eastAsia="宋体" w:cs="Times New Roman"/>
                <w:color w:val="auto"/>
                <w:sz w:val="24"/>
                <w:szCs w:val="24"/>
              </w:rPr>
              <w:t>t/d，生活污水量</w:t>
            </w:r>
            <w:r>
              <w:rPr>
                <w:rFonts w:hint="default" w:ascii="Times New Roman" w:hAnsi="Times New Roman" w:eastAsia="宋体" w:cs="Times New Roman"/>
                <w:color w:val="auto"/>
                <w:sz w:val="24"/>
                <w:szCs w:val="24"/>
                <w:lang w:eastAsia="zh-CN"/>
              </w:rPr>
              <w:t>8</w:t>
            </w:r>
            <w:r>
              <w:rPr>
                <w:rFonts w:hint="default" w:ascii="Times New Roman" w:hAnsi="Times New Roman" w:eastAsia="宋体" w:cs="Times New Roman"/>
                <w:color w:val="auto"/>
                <w:sz w:val="24"/>
                <w:szCs w:val="24"/>
              </w:rPr>
              <w:t>t/d，施工周期</w:t>
            </w:r>
            <w:r>
              <w:rPr>
                <w:rFonts w:hint="default"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rPr>
              <w:t>个月，按</w:t>
            </w:r>
            <w:r>
              <w:rPr>
                <w:rFonts w:hint="default" w:ascii="Times New Roman" w:hAnsi="Times New Roman" w:eastAsia="宋体" w:cs="Times New Roman"/>
                <w:color w:val="auto"/>
                <w:sz w:val="24"/>
                <w:szCs w:val="24"/>
                <w:lang w:val="en-US" w:eastAsia="zh-CN"/>
              </w:rPr>
              <w:t>9</w:t>
            </w:r>
            <w:r>
              <w:rPr>
                <w:rFonts w:hint="default" w:ascii="Times New Roman" w:hAnsi="Times New Roman" w:eastAsia="宋体" w:cs="Times New Roman"/>
                <w:color w:val="auto"/>
                <w:sz w:val="24"/>
                <w:szCs w:val="24"/>
                <w:lang w:eastAsia="zh-CN"/>
              </w:rPr>
              <w:t>0</w:t>
            </w:r>
            <w:r>
              <w:rPr>
                <w:rFonts w:hint="default" w:ascii="Times New Roman" w:hAnsi="Times New Roman" w:eastAsia="宋体" w:cs="Times New Roman"/>
                <w:color w:val="auto"/>
                <w:sz w:val="24"/>
                <w:szCs w:val="24"/>
              </w:rPr>
              <w:t>天计算，则施工期生活污水总量为</w:t>
            </w:r>
            <w:r>
              <w:rPr>
                <w:rFonts w:hint="default" w:ascii="Times New Roman" w:hAnsi="Times New Roman" w:eastAsia="宋体" w:cs="Times New Roman"/>
                <w:color w:val="auto"/>
                <w:sz w:val="24"/>
                <w:szCs w:val="24"/>
                <w:lang w:val="en-US" w:eastAsia="zh-CN"/>
              </w:rPr>
              <w:t>720</w:t>
            </w:r>
            <w:r>
              <w:rPr>
                <w:rFonts w:hint="default" w:ascii="Times New Roman" w:hAnsi="Times New Roman" w:eastAsia="宋体" w:cs="Times New Roman"/>
                <w:color w:val="auto"/>
                <w:sz w:val="24"/>
                <w:szCs w:val="24"/>
              </w:rPr>
              <w:t>t，</w:t>
            </w:r>
            <w:r>
              <w:rPr>
                <w:rFonts w:hint="default" w:ascii="Times New Roman" w:hAnsi="Times New Roman" w:eastAsia="宋体" w:cs="Times New Roman"/>
                <w:color w:val="auto"/>
                <w:sz w:val="24"/>
                <w:szCs w:val="24"/>
                <w:lang w:val="en-US" w:eastAsia="zh-CN"/>
              </w:rPr>
              <w:t>利用泵站内原有的</w:t>
            </w:r>
            <w:r>
              <w:rPr>
                <w:rFonts w:hint="default" w:ascii="Times New Roman" w:hAnsi="Times New Roman" w:eastAsia="宋体" w:cs="Times New Roman"/>
                <w:color w:val="auto"/>
                <w:sz w:val="24"/>
                <w:szCs w:val="24"/>
                <w:lang w:eastAsia="zh-CN"/>
              </w:rPr>
              <w:t>卫生间，不直接排放水体。</w:t>
            </w:r>
          </w:p>
          <w:p>
            <w:pPr>
              <w:pStyle w:val="12"/>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left="0" w:leftChars="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（2）施工扬尘及</w:t>
            </w:r>
            <w:r>
              <w:rPr>
                <w:rFonts w:hint="default" w:ascii="Times New Roman" w:hAnsi="Times New Roman" w:eastAsia="宋体" w:cs="Times New Roman"/>
                <w:color w:val="auto"/>
                <w:sz w:val="24"/>
                <w:szCs w:val="24"/>
              </w:rPr>
              <w:t>废气</w:t>
            </w:r>
          </w:p>
          <w:p>
            <w:pPr>
              <w:pStyle w:val="12"/>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left="0" w:leftChars="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施工中粉尘主要来源于施工中土方挖掘和现场堆放的回填土，散放的建筑材料，如石灰、水泥、砂石等，在搬运和施工作业中，容易造成飞扬，影响周围空气环境。施工车辆产生的尾气也会对周围环境空气产生一定影响。</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（3）施工噪声</w:t>
            </w:r>
          </w:p>
          <w:p>
            <w:pPr>
              <w:pStyle w:val="15"/>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施工期各种施工机械设备运转和物料运输均会产生噪声，其噪声可达60～90dB（A）之间，施工期间各种施工设备均为露天作业，对周围声环境有一定的影响。</w:t>
            </w:r>
          </w:p>
          <w:p>
            <w:pPr>
              <w:pStyle w:val="15"/>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eastAsia"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根据同类工程调查情况，距噪声源约250m左右，噪声强度可降到55dB（A）以下，可以满足《建筑施工场界环境噪声排放标准》（GB12523-2011）的要求</w:t>
            </w:r>
            <w:r>
              <w:rPr>
                <w:rFonts w:hint="eastAsia" w:ascii="Times New Roman" w:hAnsi="Times New Roman" w:cs="Times New Roman"/>
                <w:color w:val="auto"/>
                <w:sz w:val="24"/>
                <w:szCs w:val="24"/>
                <w:lang w:eastAsia="zh-CN"/>
              </w:rPr>
              <w:t>。</w:t>
            </w:r>
          </w:p>
          <w:p>
            <w:pPr>
              <w:pStyle w:val="15"/>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cs="Times New Roman"/>
                <w:color w:val="auto"/>
                <w:sz w:val="24"/>
                <w:szCs w:val="24"/>
                <w:lang w:val="en-US" w:eastAsia="zh-CN"/>
              </w:rPr>
              <w:t>本工程施工期主要机械噪声源强见表13。</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200"/>
              <w:jc w:val="center"/>
              <w:textAlignment w:val="auto"/>
              <w:rPr>
                <w:rFonts w:hint="default" w:ascii="Times New Roman" w:hAnsi="Times New Roman" w:eastAsia="宋体" w:cs="Times New Roman"/>
                <w:b/>
                <w:bCs/>
                <w:color w:val="auto"/>
                <w:sz w:val="24"/>
                <w:szCs w:val="24"/>
              </w:rPr>
            </w:pPr>
            <w:r>
              <w:rPr>
                <w:rFonts w:hint="eastAsia" w:cs="Times New Roman"/>
                <w:b/>
                <w:bCs/>
                <w:color w:val="auto"/>
                <w:sz w:val="24"/>
                <w:szCs w:val="24"/>
                <w:lang w:val="en-US" w:eastAsia="zh-CN"/>
              </w:rPr>
              <w:t xml:space="preserve">表13  </w:t>
            </w:r>
            <w:r>
              <w:rPr>
                <w:rFonts w:hint="default" w:ascii="Times New Roman" w:hAnsi="Times New Roman" w:eastAsia="宋体" w:cs="Times New Roman"/>
                <w:b/>
                <w:bCs/>
                <w:color w:val="auto"/>
                <w:sz w:val="24"/>
                <w:szCs w:val="24"/>
              </w:rPr>
              <w:t>施工期主要机械噪声源强表</w:t>
            </w:r>
          </w:p>
          <w:tbl>
            <w:tblPr>
              <w:tblStyle w:val="30"/>
              <w:tblW w:w="5000"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761"/>
              <w:gridCol w:w="4044"/>
              <w:gridCol w:w="404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cantSplit/>
                <w:jc w:val="center"/>
              </w:trPr>
              <w:tc>
                <w:tcPr>
                  <w:tcW w:w="430" w:type="pct"/>
                  <w:noWrap w:val="0"/>
                  <w:vAlign w:val="center"/>
                </w:tcPr>
                <w:p>
                  <w:pPr>
                    <w:pStyle w:val="182"/>
                    <w:adjustRightInd w:val="0"/>
                    <w:snapToGrid w:val="0"/>
                    <w:spacing w:line="240" w:lineRule="atLeas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序号</w:t>
                  </w:r>
                </w:p>
              </w:tc>
              <w:tc>
                <w:tcPr>
                  <w:tcW w:w="2285" w:type="pct"/>
                  <w:noWrap w:val="0"/>
                  <w:vAlign w:val="center"/>
                </w:tcPr>
                <w:p>
                  <w:pPr>
                    <w:pStyle w:val="182"/>
                    <w:adjustRightInd w:val="0"/>
                    <w:snapToGrid w:val="0"/>
                    <w:spacing w:line="240" w:lineRule="atLeas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机械名称</w:t>
                  </w:r>
                </w:p>
              </w:tc>
              <w:tc>
                <w:tcPr>
                  <w:tcW w:w="2285" w:type="pct"/>
                  <w:noWrap w:val="0"/>
                  <w:vAlign w:val="center"/>
                </w:tcPr>
                <w:p>
                  <w:pPr>
                    <w:pStyle w:val="182"/>
                    <w:adjustRightInd w:val="0"/>
                    <w:snapToGrid w:val="0"/>
                    <w:spacing w:line="240" w:lineRule="atLeas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距声源10m处平均噪声级dB（A）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cantSplit/>
                <w:jc w:val="center"/>
              </w:trPr>
              <w:tc>
                <w:tcPr>
                  <w:tcW w:w="430" w:type="pct"/>
                  <w:noWrap w:val="0"/>
                  <w:vAlign w:val="center"/>
                </w:tcPr>
                <w:p>
                  <w:pPr>
                    <w:pStyle w:val="182"/>
                    <w:adjustRightInd w:val="0"/>
                    <w:snapToGrid w:val="0"/>
                    <w:spacing w:line="240" w:lineRule="atLeas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2285" w:type="pct"/>
                  <w:noWrap w:val="0"/>
                  <w:vAlign w:val="center"/>
                </w:tcPr>
                <w:p>
                  <w:pPr>
                    <w:pStyle w:val="182"/>
                    <w:adjustRightInd w:val="0"/>
                    <w:snapToGrid w:val="0"/>
                    <w:spacing w:line="240" w:lineRule="atLeas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推土机</w:t>
                  </w:r>
                </w:p>
              </w:tc>
              <w:tc>
                <w:tcPr>
                  <w:tcW w:w="2285" w:type="pct"/>
                  <w:noWrap w:val="0"/>
                  <w:vAlign w:val="center"/>
                </w:tcPr>
                <w:p>
                  <w:pPr>
                    <w:pStyle w:val="182"/>
                    <w:adjustRightInd w:val="0"/>
                    <w:snapToGrid w:val="0"/>
                    <w:spacing w:line="240" w:lineRule="atLeas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cantSplit/>
                <w:jc w:val="center"/>
              </w:trPr>
              <w:tc>
                <w:tcPr>
                  <w:tcW w:w="430" w:type="pct"/>
                  <w:noWrap w:val="0"/>
                  <w:vAlign w:val="center"/>
                </w:tcPr>
                <w:p>
                  <w:pPr>
                    <w:pStyle w:val="182"/>
                    <w:adjustRightInd w:val="0"/>
                    <w:snapToGrid w:val="0"/>
                    <w:spacing w:line="240" w:lineRule="atLeas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2285" w:type="pct"/>
                  <w:noWrap w:val="0"/>
                  <w:vAlign w:val="center"/>
                </w:tcPr>
                <w:p>
                  <w:pPr>
                    <w:pStyle w:val="182"/>
                    <w:adjustRightInd w:val="0"/>
                    <w:snapToGrid w:val="0"/>
                    <w:spacing w:line="240" w:lineRule="atLeas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挖掘机</w:t>
                  </w:r>
                </w:p>
              </w:tc>
              <w:tc>
                <w:tcPr>
                  <w:tcW w:w="2285" w:type="pct"/>
                  <w:noWrap w:val="0"/>
                  <w:vAlign w:val="center"/>
                </w:tcPr>
                <w:p>
                  <w:pPr>
                    <w:pStyle w:val="182"/>
                    <w:adjustRightInd w:val="0"/>
                    <w:snapToGrid w:val="0"/>
                    <w:spacing w:line="240" w:lineRule="atLeas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cantSplit/>
                <w:jc w:val="center"/>
              </w:trPr>
              <w:tc>
                <w:tcPr>
                  <w:tcW w:w="430" w:type="pct"/>
                  <w:noWrap w:val="0"/>
                  <w:vAlign w:val="center"/>
                </w:tcPr>
                <w:p>
                  <w:pPr>
                    <w:pStyle w:val="182"/>
                    <w:adjustRightInd w:val="0"/>
                    <w:snapToGrid w:val="0"/>
                    <w:spacing w:line="240" w:lineRule="atLeas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2285" w:type="pct"/>
                  <w:noWrap w:val="0"/>
                  <w:vAlign w:val="center"/>
                </w:tcPr>
                <w:p>
                  <w:pPr>
                    <w:pStyle w:val="182"/>
                    <w:adjustRightInd w:val="0"/>
                    <w:snapToGrid w:val="0"/>
                    <w:spacing w:line="240" w:lineRule="atLeast"/>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highlight w:val="none"/>
                    </w:rPr>
                    <w:t>混凝土搅拌</w:t>
                  </w:r>
                  <w:r>
                    <w:rPr>
                      <w:rFonts w:hint="eastAsia" w:ascii="Times New Roman" w:hAnsi="Times New Roman" w:cs="Times New Roman"/>
                      <w:color w:val="auto"/>
                      <w:sz w:val="21"/>
                      <w:szCs w:val="21"/>
                      <w:highlight w:val="none"/>
                      <w:lang w:val="en-US" w:eastAsia="zh-CN"/>
                    </w:rPr>
                    <w:t>车</w:t>
                  </w:r>
                </w:p>
              </w:tc>
              <w:tc>
                <w:tcPr>
                  <w:tcW w:w="2285" w:type="pct"/>
                  <w:noWrap w:val="0"/>
                  <w:vAlign w:val="center"/>
                </w:tcPr>
                <w:p>
                  <w:pPr>
                    <w:pStyle w:val="182"/>
                    <w:adjustRightInd w:val="0"/>
                    <w:snapToGrid w:val="0"/>
                    <w:spacing w:line="240" w:lineRule="atLeas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cantSplit/>
                <w:jc w:val="center"/>
              </w:trPr>
              <w:tc>
                <w:tcPr>
                  <w:tcW w:w="430" w:type="pct"/>
                  <w:noWrap w:val="0"/>
                  <w:vAlign w:val="center"/>
                </w:tcPr>
                <w:p>
                  <w:pPr>
                    <w:pStyle w:val="182"/>
                    <w:adjustRightInd w:val="0"/>
                    <w:snapToGrid w:val="0"/>
                    <w:spacing w:line="240" w:lineRule="atLeas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p>
              </w:tc>
              <w:tc>
                <w:tcPr>
                  <w:tcW w:w="2285" w:type="pct"/>
                  <w:noWrap w:val="0"/>
                  <w:vAlign w:val="center"/>
                </w:tcPr>
                <w:p>
                  <w:pPr>
                    <w:pStyle w:val="182"/>
                    <w:adjustRightInd w:val="0"/>
                    <w:snapToGrid w:val="0"/>
                    <w:spacing w:line="240" w:lineRule="atLeas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插入式振捣器</w:t>
                  </w:r>
                </w:p>
              </w:tc>
              <w:tc>
                <w:tcPr>
                  <w:tcW w:w="2285" w:type="pct"/>
                  <w:noWrap w:val="0"/>
                  <w:vAlign w:val="center"/>
                </w:tcPr>
                <w:p>
                  <w:pPr>
                    <w:pStyle w:val="182"/>
                    <w:adjustRightInd w:val="0"/>
                    <w:snapToGrid w:val="0"/>
                    <w:spacing w:line="240" w:lineRule="atLeas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cantSplit/>
                <w:jc w:val="center"/>
              </w:trPr>
              <w:tc>
                <w:tcPr>
                  <w:tcW w:w="430" w:type="pct"/>
                  <w:noWrap w:val="0"/>
                  <w:vAlign w:val="center"/>
                </w:tcPr>
                <w:p>
                  <w:pPr>
                    <w:pStyle w:val="182"/>
                    <w:adjustRightInd w:val="0"/>
                    <w:snapToGrid w:val="0"/>
                    <w:spacing w:line="240" w:lineRule="atLeas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w:t>
                  </w:r>
                </w:p>
              </w:tc>
              <w:tc>
                <w:tcPr>
                  <w:tcW w:w="2285" w:type="pct"/>
                  <w:noWrap w:val="0"/>
                  <w:vAlign w:val="center"/>
                </w:tcPr>
                <w:p>
                  <w:pPr>
                    <w:pStyle w:val="182"/>
                    <w:adjustRightInd w:val="0"/>
                    <w:snapToGrid w:val="0"/>
                    <w:spacing w:line="240" w:lineRule="atLeas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运输汽车</w:t>
                  </w:r>
                </w:p>
              </w:tc>
              <w:tc>
                <w:tcPr>
                  <w:tcW w:w="2285" w:type="pct"/>
                  <w:noWrap w:val="0"/>
                  <w:vAlign w:val="center"/>
                </w:tcPr>
                <w:p>
                  <w:pPr>
                    <w:pStyle w:val="182"/>
                    <w:adjustRightInd w:val="0"/>
                    <w:snapToGrid w:val="0"/>
                    <w:spacing w:line="240" w:lineRule="atLeas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cantSplit/>
                <w:jc w:val="center"/>
              </w:trPr>
              <w:tc>
                <w:tcPr>
                  <w:tcW w:w="430" w:type="pct"/>
                  <w:noWrap w:val="0"/>
                  <w:vAlign w:val="center"/>
                </w:tcPr>
                <w:p>
                  <w:pPr>
                    <w:pStyle w:val="182"/>
                    <w:adjustRightInd w:val="0"/>
                    <w:snapToGrid w:val="0"/>
                    <w:spacing w:line="240" w:lineRule="atLeas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w:t>
                  </w:r>
                </w:p>
              </w:tc>
              <w:tc>
                <w:tcPr>
                  <w:tcW w:w="2285" w:type="pct"/>
                  <w:noWrap w:val="0"/>
                  <w:vAlign w:val="center"/>
                </w:tcPr>
                <w:p>
                  <w:pPr>
                    <w:pStyle w:val="182"/>
                    <w:adjustRightInd w:val="0"/>
                    <w:snapToGrid w:val="0"/>
                    <w:spacing w:line="240" w:lineRule="atLeas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汽车吊</w:t>
                  </w:r>
                </w:p>
              </w:tc>
              <w:tc>
                <w:tcPr>
                  <w:tcW w:w="2285" w:type="pct"/>
                  <w:noWrap w:val="0"/>
                  <w:vAlign w:val="center"/>
                </w:tcPr>
                <w:p>
                  <w:pPr>
                    <w:pStyle w:val="182"/>
                    <w:adjustRightInd w:val="0"/>
                    <w:snapToGrid w:val="0"/>
                    <w:spacing w:line="240" w:lineRule="atLeas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r>
          </w:tbl>
          <w:p>
            <w:pPr>
              <w:pStyle w:val="15"/>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（4）施工固废</w:t>
            </w:r>
          </w:p>
          <w:p>
            <w:pPr>
              <w:pStyle w:val="15"/>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施工期固废主要为建筑垃圾和生活垃圾。</w:t>
            </w:r>
          </w:p>
          <w:p>
            <w:pPr>
              <w:pStyle w:val="15"/>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在运输各种建筑材料（如砂石、水泥、砖、木材等）过程中以及工程完成后，会产生废建筑垃圾，对于建筑垃圾，其中钢筋可以回收利用，其他的混凝土块连同弃渣等均为无机物，可送至专门垃圾场所或者用于回填低洼地带。</w:t>
            </w:r>
          </w:p>
          <w:p>
            <w:pPr>
              <w:pStyle w:val="15"/>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施工期施工人员将产生生活垃圾，本项目施工期</w:t>
            </w:r>
            <w:r>
              <w:rPr>
                <w:rFonts w:hint="default" w:ascii="Times New Roman" w:hAnsi="Times New Roman" w:eastAsia="宋体" w:cs="Times New Roman"/>
                <w:color w:val="auto"/>
                <w:sz w:val="24"/>
                <w:szCs w:val="24"/>
                <w:lang w:val="en-US" w:eastAsia="zh-CN"/>
              </w:rPr>
              <w:t>9</w:t>
            </w:r>
            <w:r>
              <w:rPr>
                <w:rFonts w:hint="default" w:ascii="Times New Roman" w:hAnsi="Times New Roman" w:eastAsia="宋体" w:cs="Times New Roman"/>
                <w:color w:val="auto"/>
                <w:sz w:val="24"/>
                <w:szCs w:val="24"/>
              </w:rPr>
              <w:t>0天，施工人数平均高峰人数100人，按每人每天产生生活垃圾1kg计算，则本项目施工期生活垃圾最大产生量约</w:t>
            </w:r>
            <w:r>
              <w:rPr>
                <w:rFonts w:hint="default" w:ascii="Times New Roman" w:hAnsi="Times New Roman" w:eastAsia="宋体" w:cs="Times New Roman"/>
                <w:color w:val="auto"/>
                <w:sz w:val="24"/>
                <w:szCs w:val="24"/>
                <w:lang w:val="en-US" w:eastAsia="zh-CN"/>
              </w:rPr>
              <w:t>9</w:t>
            </w:r>
            <w:r>
              <w:rPr>
                <w:rFonts w:hint="default" w:ascii="Times New Roman" w:hAnsi="Times New Roman" w:eastAsia="宋体" w:cs="Times New Roman"/>
                <w:color w:val="auto"/>
                <w:sz w:val="24"/>
                <w:szCs w:val="24"/>
              </w:rPr>
              <w:t>t，施工期生活垃圾应收集在垃圾箱内，定期运至生活垃圾填埋场处理。</w:t>
            </w:r>
          </w:p>
          <w:p>
            <w:pPr>
              <w:pStyle w:val="12"/>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5）</w:t>
            </w:r>
            <w:r>
              <w:rPr>
                <w:rFonts w:hint="default" w:ascii="Times New Roman" w:hAnsi="Times New Roman" w:eastAsia="宋体" w:cs="Times New Roman"/>
                <w:color w:val="auto"/>
                <w:sz w:val="24"/>
                <w:szCs w:val="24"/>
              </w:rPr>
              <w:t>生态环境</w:t>
            </w:r>
          </w:p>
          <w:p>
            <w:pPr>
              <w:pStyle w:val="12"/>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本项目光伏组件安装在电厂的灰场内，施工前灰场治理工程会进行平整，整体上挖填平衡。光伏电站的建设不会对当地的生态环境带来不利的影响。</w:t>
            </w:r>
          </w:p>
          <w:p>
            <w:pPr>
              <w:pStyle w:val="12"/>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firstLineChars="200"/>
              <w:textAlignment w:val="auto"/>
              <w:rPr>
                <w:rFonts w:hint="eastAsia"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2、</w:t>
            </w:r>
            <w:r>
              <w:rPr>
                <w:rFonts w:hint="eastAsia" w:cs="Times New Roman"/>
                <w:color w:val="auto"/>
                <w:sz w:val="24"/>
                <w:szCs w:val="24"/>
                <w:lang w:eastAsia="zh-CN"/>
              </w:rPr>
              <w:t>运行期</w:t>
            </w:r>
          </w:p>
          <w:p>
            <w:pPr>
              <w:pStyle w:val="12"/>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（1）废污水</w:t>
            </w:r>
          </w:p>
          <w:p>
            <w:pPr>
              <w:pStyle w:val="12"/>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拟</w:t>
            </w:r>
            <w:r>
              <w:rPr>
                <w:rFonts w:hint="default" w:ascii="Times New Roman" w:hAnsi="Times New Roman" w:eastAsia="宋体" w:cs="Times New Roman"/>
                <w:color w:val="auto"/>
                <w:sz w:val="24"/>
                <w:szCs w:val="24"/>
                <w:lang w:val="en-US" w:eastAsia="zh-CN"/>
              </w:rPr>
              <w:t>采用无人值守的方式，本工程</w:t>
            </w:r>
            <w:r>
              <w:rPr>
                <w:rFonts w:hint="default" w:ascii="Times New Roman" w:hAnsi="Times New Roman" w:eastAsia="宋体" w:cs="Times New Roman"/>
                <w:color w:val="auto"/>
                <w:sz w:val="24"/>
                <w:szCs w:val="24"/>
              </w:rPr>
              <w:t>不设置生活区</w:t>
            </w:r>
            <w:r>
              <w:rPr>
                <w:rFonts w:hint="eastAsia" w:cs="Times New Roman"/>
                <w:color w:val="auto"/>
                <w:sz w:val="24"/>
                <w:szCs w:val="24"/>
                <w:lang w:eastAsia="zh-CN"/>
              </w:rPr>
              <w:t>，</w:t>
            </w:r>
            <w:r>
              <w:rPr>
                <w:rFonts w:hint="eastAsia" w:cs="Times New Roman"/>
                <w:color w:val="auto"/>
                <w:sz w:val="24"/>
                <w:szCs w:val="24"/>
                <w:lang w:val="en-US" w:eastAsia="zh-CN"/>
              </w:rPr>
              <w:t>无生活污水产生</w:t>
            </w:r>
            <w:r>
              <w:rPr>
                <w:rFonts w:hint="default" w:ascii="Times New Roman" w:hAnsi="Times New Roman" w:eastAsia="宋体" w:cs="Times New Roman"/>
                <w:color w:val="auto"/>
                <w:sz w:val="24"/>
                <w:szCs w:val="24"/>
                <w:lang w:eastAsia="zh-CN"/>
              </w:rPr>
              <w:t>。</w:t>
            </w:r>
          </w:p>
          <w:p>
            <w:pPr>
              <w:pStyle w:val="12"/>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firstLineChars="200"/>
              <w:textAlignment w:val="auto"/>
              <w:rPr>
                <w:rFonts w:hint="default" w:ascii="Times New Roman" w:hAnsi="Times New Roman" w:eastAsia="宋体" w:cs="Times New Roman"/>
                <w:color w:val="auto"/>
                <w:sz w:val="24"/>
                <w:szCs w:val="24"/>
                <w:lang w:eastAsia="zh-CN"/>
              </w:rPr>
            </w:pPr>
            <w:r>
              <w:rPr>
                <w:rFonts w:hint="eastAsia" w:cs="Times New Roman"/>
                <w:color w:val="auto"/>
                <w:sz w:val="24"/>
                <w:szCs w:val="24"/>
                <w:lang w:eastAsia="zh-CN"/>
              </w:rPr>
              <w:t>运行期</w:t>
            </w:r>
            <w:r>
              <w:rPr>
                <w:rFonts w:hint="default" w:ascii="Times New Roman" w:hAnsi="Times New Roman" w:eastAsia="宋体" w:cs="Times New Roman"/>
                <w:color w:val="auto"/>
                <w:sz w:val="24"/>
                <w:szCs w:val="24"/>
              </w:rPr>
              <w:t>的废水排放主要为电站清洁组件废水。</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1MW组件冲洗需约</w:t>
            </w:r>
            <w:r>
              <w:rPr>
                <w:rFonts w:hint="default"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rPr>
              <w:t>5m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。按每月冲洗一次计算，33.35MW组件每年耗水6003m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504" w:firstLineChars="200"/>
              <w:jc w:val="left"/>
              <w:textAlignment w:val="auto"/>
              <w:rPr>
                <w:rFonts w:hint="default" w:ascii="Times New Roman" w:hAnsi="Times New Roman" w:eastAsia="宋体" w:cs="Times New Roman"/>
                <w:color w:val="auto"/>
                <w:spacing w:val="6"/>
                <w:kern w:val="0"/>
                <w:sz w:val="24"/>
                <w:szCs w:val="24"/>
              </w:rPr>
            </w:pPr>
            <w:r>
              <w:rPr>
                <w:rFonts w:hint="default" w:ascii="Times New Roman" w:hAnsi="Times New Roman" w:eastAsia="宋体" w:cs="Times New Roman"/>
                <w:color w:val="auto"/>
                <w:spacing w:val="6"/>
                <w:kern w:val="0"/>
                <w:sz w:val="24"/>
                <w:szCs w:val="24"/>
              </w:rPr>
              <w:t>主要污染物为沙尘，无其他污染物，类比同类项目，SS浓度一般为5mg/L，直接散排，就地蒸发，不外排。</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504" w:firstLineChars="200"/>
              <w:jc w:val="left"/>
              <w:textAlignment w:val="auto"/>
              <w:rPr>
                <w:rFonts w:hint="default" w:ascii="Times New Roman" w:hAnsi="Times New Roman" w:eastAsia="宋体" w:cs="Times New Roman"/>
                <w:color w:val="auto"/>
                <w:spacing w:val="6"/>
                <w:kern w:val="0"/>
                <w:sz w:val="24"/>
                <w:szCs w:val="24"/>
                <w:lang w:val="en-US" w:eastAsia="zh-CN"/>
              </w:rPr>
            </w:pPr>
            <w:r>
              <w:rPr>
                <w:rFonts w:hint="eastAsia" w:ascii="Times New Roman" w:hAnsi="Times New Roman" w:eastAsia="宋体" w:cs="Times New Roman"/>
                <w:color w:val="auto"/>
                <w:spacing w:val="6"/>
                <w:kern w:val="0"/>
                <w:sz w:val="24"/>
                <w:szCs w:val="24"/>
                <w:lang w:val="en-US" w:eastAsia="zh-CN"/>
              </w:rPr>
              <w:t>本工程废水排放情况见表14。</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jc w:val="center"/>
              <w:textAlignment w:val="auto"/>
              <w:rPr>
                <w:rFonts w:hint="default" w:ascii="Times New Roman" w:hAnsi="Times New Roman" w:eastAsia="宋体" w:cs="Times New Roman"/>
                <w:b/>
                <w:bCs/>
                <w:color w:val="auto"/>
                <w:sz w:val="24"/>
                <w:szCs w:val="24"/>
              </w:rPr>
            </w:pPr>
            <w:r>
              <w:rPr>
                <w:rFonts w:hint="eastAsia" w:cs="Times New Roman"/>
                <w:b/>
                <w:bCs/>
                <w:color w:val="auto"/>
                <w:sz w:val="24"/>
                <w:szCs w:val="24"/>
                <w:lang w:val="en-US" w:eastAsia="zh-CN"/>
              </w:rPr>
              <w:t>表14</w:t>
            </w:r>
            <w:r>
              <w:rPr>
                <w:rFonts w:hint="default" w:ascii="Times New Roman" w:hAnsi="Times New Roman" w:eastAsia="宋体" w:cs="Times New Roman"/>
                <w:b/>
                <w:bCs/>
                <w:color w:val="auto"/>
                <w:sz w:val="24"/>
                <w:szCs w:val="24"/>
              </w:rPr>
              <w:t>废水排放情况表</w:t>
            </w:r>
          </w:p>
          <w:tbl>
            <w:tblPr>
              <w:tblStyle w:val="30"/>
              <w:tblW w:w="4999"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045"/>
              <w:gridCol w:w="833"/>
              <w:gridCol w:w="891"/>
              <w:gridCol w:w="1105"/>
              <w:gridCol w:w="967"/>
              <w:gridCol w:w="1107"/>
              <w:gridCol w:w="852"/>
              <w:gridCol w:w="204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0" w:hRule="atLeast"/>
                <w:jc w:val="center"/>
              </w:trPr>
              <w:tc>
                <w:tcPr>
                  <w:tcW w:w="590" w:type="pct"/>
                  <w:noWrap w:val="0"/>
                  <w:vAlign w:val="center"/>
                </w:tcPr>
                <w:p>
                  <w:pPr>
                    <w:widowControl/>
                    <w:adjustRightInd w:val="0"/>
                    <w:snapToGrid w:val="0"/>
                    <w:jc w:val="center"/>
                    <w:rPr>
                      <w:rFonts w:hint="default" w:ascii="Times New Roman" w:hAnsi="Times New Roman" w:eastAsia="宋体" w:cs="Times New Roman"/>
                      <w:b w:val="0"/>
                      <w:bCs/>
                      <w:color w:val="auto"/>
                      <w:kern w:val="0"/>
                      <w:szCs w:val="21"/>
                    </w:rPr>
                  </w:pPr>
                  <w:r>
                    <w:rPr>
                      <w:rFonts w:hint="default" w:ascii="Times New Roman" w:hAnsi="Times New Roman" w:eastAsia="宋体" w:cs="Times New Roman"/>
                      <w:b w:val="0"/>
                      <w:bCs/>
                      <w:color w:val="auto"/>
                      <w:kern w:val="0"/>
                      <w:szCs w:val="21"/>
                    </w:rPr>
                    <w:t>废水</w:t>
                  </w:r>
                </w:p>
              </w:tc>
              <w:tc>
                <w:tcPr>
                  <w:tcW w:w="470" w:type="pct"/>
                  <w:noWrap w:val="0"/>
                  <w:vAlign w:val="center"/>
                </w:tcPr>
                <w:p>
                  <w:pPr>
                    <w:widowControl/>
                    <w:adjustRightInd w:val="0"/>
                    <w:snapToGrid w:val="0"/>
                    <w:jc w:val="center"/>
                    <w:rPr>
                      <w:rFonts w:hint="default" w:ascii="Times New Roman" w:hAnsi="Times New Roman" w:eastAsia="宋体" w:cs="Times New Roman"/>
                      <w:b w:val="0"/>
                      <w:bCs/>
                      <w:color w:val="auto"/>
                      <w:kern w:val="0"/>
                      <w:szCs w:val="21"/>
                    </w:rPr>
                  </w:pPr>
                  <w:r>
                    <w:rPr>
                      <w:rFonts w:hint="default" w:ascii="Times New Roman" w:hAnsi="Times New Roman" w:eastAsia="宋体" w:cs="Times New Roman"/>
                      <w:b w:val="0"/>
                      <w:bCs/>
                      <w:color w:val="auto"/>
                      <w:kern w:val="0"/>
                      <w:szCs w:val="21"/>
                    </w:rPr>
                    <w:t>废水量</w:t>
                  </w:r>
                </w:p>
                <w:p>
                  <w:pPr>
                    <w:widowControl/>
                    <w:adjustRightInd w:val="0"/>
                    <w:snapToGrid w:val="0"/>
                    <w:jc w:val="center"/>
                    <w:rPr>
                      <w:rFonts w:hint="default" w:ascii="Times New Roman" w:hAnsi="Times New Roman" w:eastAsia="宋体" w:cs="Times New Roman"/>
                      <w:b w:val="0"/>
                      <w:bCs/>
                      <w:color w:val="auto"/>
                      <w:kern w:val="0"/>
                      <w:szCs w:val="21"/>
                    </w:rPr>
                  </w:pPr>
                  <w:r>
                    <w:rPr>
                      <w:rFonts w:hint="default" w:ascii="Times New Roman" w:hAnsi="Times New Roman" w:eastAsia="宋体" w:cs="Times New Roman"/>
                      <w:b w:val="0"/>
                      <w:bCs/>
                      <w:color w:val="auto"/>
                      <w:kern w:val="0"/>
                      <w:szCs w:val="21"/>
                    </w:rPr>
                    <w:t>(t/a)</w:t>
                  </w:r>
                </w:p>
              </w:tc>
              <w:tc>
                <w:tcPr>
                  <w:tcW w:w="503" w:type="pct"/>
                  <w:noWrap w:val="0"/>
                  <w:vAlign w:val="center"/>
                </w:tcPr>
                <w:p>
                  <w:pPr>
                    <w:widowControl/>
                    <w:adjustRightInd w:val="0"/>
                    <w:snapToGrid w:val="0"/>
                    <w:jc w:val="center"/>
                    <w:rPr>
                      <w:rFonts w:hint="default" w:ascii="Times New Roman" w:hAnsi="Times New Roman" w:eastAsia="宋体" w:cs="Times New Roman"/>
                      <w:b w:val="0"/>
                      <w:bCs/>
                      <w:color w:val="auto"/>
                      <w:kern w:val="0"/>
                      <w:szCs w:val="21"/>
                    </w:rPr>
                  </w:pPr>
                  <w:r>
                    <w:rPr>
                      <w:rFonts w:hint="default" w:ascii="Times New Roman" w:hAnsi="Times New Roman" w:eastAsia="宋体" w:cs="Times New Roman"/>
                      <w:b w:val="0"/>
                      <w:bCs/>
                      <w:color w:val="auto"/>
                      <w:kern w:val="0"/>
                      <w:szCs w:val="21"/>
                    </w:rPr>
                    <w:t>污染物名称</w:t>
                  </w:r>
                </w:p>
              </w:tc>
              <w:tc>
                <w:tcPr>
                  <w:tcW w:w="624" w:type="pct"/>
                  <w:noWrap w:val="0"/>
                  <w:vAlign w:val="center"/>
                </w:tcPr>
                <w:p>
                  <w:pPr>
                    <w:widowControl/>
                    <w:adjustRightInd w:val="0"/>
                    <w:snapToGrid w:val="0"/>
                    <w:jc w:val="center"/>
                    <w:rPr>
                      <w:rFonts w:hint="default" w:ascii="Times New Roman" w:hAnsi="Times New Roman" w:eastAsia="宋体" w:cs="Times New Roman"/>
                      <w:b w:val="0"/>
                      <w:bCs/>
                      <w:color w:val="auto"/>
                      <w:kern w:val="0"/>
                      <w:szCs w:val="21"/>
                    </w:rPr>
                  </w:pPr>
                  <w:r>
                    <w:rPr>
                      <w:rFonts w:hint="default" w:ascii="Times New Roman" w:hAnsi="Times New Roman" w:eastAsia="宋体" w:cs="Times New Roman"/>
                      <w:b w:val="0"/>
                      <w:bCs/>
                      <w:color w:val="auto"/>
                      <w:kern w:val="0"/>
                      <w:szCs w:val="21"/>
                    </w:rPr>
                    <w:t>产生浓度</w:t>
                  </w:r>
                </w:p>
                <w:p>
                  <w:pPr>
                    <w:widowControl/>
                    <w:adjustRightInd w:val="0"/>
                    <w:snapToGrid w:val="0"/>
                    <w:jc w:val="center"/>
                    <w:rPr>
                      <w:rFonts w:hint="default" w:ascii="Times New Roman" w:hAnsi="Times New Roman" w:eastAsia="宋体" w:cs="Times New Roman"/>
                      <w:b w:val="0"/>
                      <w:bCs/>
                      <w:color w:val="auto"/>
                      <w:kern w:val="0"/>
                      <w:szCs w:val="21"/>
                    </w:rPr>
                  </w:pPr>
                  <w:r>
                    <w:rPr>
                      <w:rFonts w:hint="default" w:ascii="Times New Roman" w:hAnsi="Times New Roman" w:eastAsia="宋体" w:cs="Times New Roman"/>
                      <w:b w:val="0"/>
                      <w:bCs/>
                      <w:color w:val="auto"/>
                      <w:kern w:val="0"/>
                      <w:szCs w:val="21"/>
                    </w:rPr>
                    <w:t>（mg/L）</w:t>
                  </w:r>
                </w:p>
              </w:tc>
              <w:tc>
                <w:tcPr>
                  <w:tcW w:w="546" w:type="pct"/>
                  <w:noWrap w:val="0"/>
                  <w:vAlign w:val="center"/>
                </w:tcPr>
                <w:p>
                  <w:pPr>
                    <w:widowControl/>
                    <w:adjustRightInd w:val="0"/>
                    <w:snapToGrid w:val="0"/>
                    <w:jc w:val="center"/>
                    <w:rPr>
                      <w:rFonts w:hint="default" w:ascii="Times New Roman" w:hAnsi="Times New Roman" w:eastAsia="宋体" w:cs="Times New Roman"/>
                      <w:b w:val="0"/>
                      <w:bCs/>
                      <w:color w:val="auto"/>
                      <w:kern w:val="0"/>
                      <w:szCs w:val="21"/>
                    </w:rPr>
                  </w:pPr>
                  <w:r>
                    <w:rPr>
                      <w:rFonts w:hint="default" w:ascii="Times New Roman" w:hAnsi="Times New Roman" w:eastAsia="宋体" w:cs="Times New Roman"/>
                      <w:b w:val="0"/>
                      <w:bCs/>
                      <w:color w:val="auto"/>
                      <w:kern w:val="0"/>
                      <w:szCs w:val="21"/>
                    </w:rPr>
                    <w:t>产生量</w:t>
                  </w:r>
                </w:p>
                <w:p>
                  <w:pPr>
                    <w:widowControl/>
                    <w:adjustRightInd w:val="0"/>
                    <w:snapToGrid w:val="0"/>
                    <w:jc w:val="center"/>
                    <w:rPr>
                      <w:rFonts w:hint="default" w:ascii="Times New Roman" w:hAnsi="Times New Roman" w:eastAsia="宋体" w:cs="Times New Roman"/>
                      <w:b w:val="0"/>
                      <w:bCs/>
                      <w:color w:val="auto"/>
                      <w:kern w:val="0"/>
                      <w:szCs w:val="21"/>
                    </w:rPr>
                  </w:pPr>
                  <w:r>
                    <w:rPr>
                      <w:rFonts w:hint="default" w:ascii="Times New Roman" w:hAnsi="Times New Roman" w:eastAsia="宋体" w:cs="Times New Roman"/>
                      <w:b w:val="0"/>
                      <w:bCs/>
                      <w:color w:val="auto"/>
                      <w:kern w:val="0"/>
                      <w:szCs w:val="21"/>
                    </w:rPr>
                    <w:t>(t/a)</w:t>
                  </w:r>
                </w:p>
              </w:tc>
              <w:tc>
                <w:tcPr>
                  <w:tcW w:w="625" w:type="pct"/>
                  <w:noWrap w:val="0"/>
                  <w:vAlign w:val="center"/>
                </w:tcPr>
                <w:p>
                  <w:pPr>
                    <w:widowControl/>
                    <w:adjustRightInd w:val="0"/>
                    <w:snapToGrid w:val="0"/>
                    <w:jc w:val="center"/>
                    <w:rPr>
                      <w:rFonts w:hint="default" w:ascii="Times New Roman" w:hAnsi="Times New Roman" w:eastAsia="宋体" w:cs="Times New Roman"/>
                      <w:b w:val="0"/>
                      <w:bCs/>
                      <w:color w:val="auto"/>
                      <w:kern w:val="0"/>
                      <w:szCs w:val="21"/>
                    </w:rPr>
                  </w:pPr>
                  <w:r>
                    <w:rPr>
                      <w:rFonts w:hint="default" w:ascii="Times New Roman" w:hAnsi="Times New Roman" w:eastAsia="宋体" w:cs="Times New Roman"/>
                      <w:b w:val="0"/>
                      <w:bCs/>
                      <w:color w:val="auto"/>
                      <w:kern w:val="0"/>
                      <w:szCs w:val="21"/>
                    </w:rPr>
                    <w:t>排放浓度（mg/L）</w:t>
                  </w:r>
                </w:p>
              </w:tc>
              <w:tc>
                <w:tcPr>
                  <w:tcW w:w="481" w:type="pct"/>
                  <w:noWrap w:val="0"/>
                  <w:vAlign w:val="center"/>
                </w:tcPr>
                <w:p>
                  <w:pPr>
                    <w:widowControl/>
                    <w:adjustRightInd w:val="0"/>
                    <w:snapToGrid w:val="0"/>
                    <w:jc w:val="center"/>
                    <w:rPr>
                      <w:rFonts w:hint="default" w:ascii="Times New Roman" w:hAnsi="Times New Roman" w:eastAsia="宋体" w:cs="Times New Roman"/>
                      <w:b w:val="0"/>
                      <w:bCs/>
                      <w:color w:val="auto"/>
                      <w:kern w:val="0"/>
                      <w:szCs w:val="21"/>
                    </w:rPr>
                  </w:pPr>
                  <w:r>
                    <w:rPr>
                      <w:rFonts w:hint="default" w:ascii="Times New Roman" w:hAnsi="Times New Roman" w:eastAsia="宋体" w:cs="Times New Roman"/>
                      <w:b w:val="0"/>
                      <w:bCs/>
                      <w:color w:val="auto"/>
                      <w:kern w:val="0"/>
                      <w:szCs w:val="21"/>
                    </w:rPr>
                    <w:t>排放量(t/a)</w:t>
                  </w:r>
                </w:p>
              </w:tc>
              <w:tc>
                <w:tcPr>
                  <w:tcW w:w="1156" w:type="pct"/>
                  <w:noWrap w:val="0"/>
                  <w:vAlign w:val="center"/>
                </w:tcPr>
                <w:p>
                  <w:pPr>
                    <w:widowControl/>
                    <w:adjustRightInd w:val="0"/>
                    <w:snapToGrid w:val="0"/>
                    <w:jc w:val="center"/>
                    <w:rPr>
                      <w:rFonts w:hint="default" w:ascii="Times New Roman" w:hAnsi="Times New Roman" w:eastAsia="宋体" w:cs="Times New Roman"/>
                      <w:b w:val="0"/>
                      <w:bCs/>
                      <w:color w:val="auto"/>
                      <w:kern w:val="0"/>
                      <w:szCs w:val="21"/>
                    </w:rPr>
                  </w:pPr>
                  <w:r>
                    <w:rPr>
                      <w:rFonts w:hint="default" w:ascii="Times New Roman" w:hAnsi="Times New Roman" w:eastAsia="宋体" w:cs="Times New Roman"/>
                      <w:b w:val="0"/>
                      <w:bCs/>
                      <w:color w:val="auto"/>
                      <w:kern w:val="0"/>
                      <w:szCs w:val="21"/>
                    </w:rPr>
                    <w:t>排放去向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0" w:hRule="atLeast"/>
                <w:jc w:val="center"/>
              </w:trPr>
              <w:tc>
                <w:tcPr>
                  <w:tcW w:w="590" w:type="pct"/>
                  <w:noWrap w:val="0"/>
                  <w:vAlign w:val="center"/>
                </w:tcPr>
                <w:p>
                  <w:pPr>
                    <w:widowControl/>
                    <w:adjustRightInd w:val="0"/>
                    <w:snapToGrid w:val="0"/>
                    <w:jc w:val="center"/>
                    <w:rPr>
                      <w:rFonts w:hint="default" w:ascii="Times New Roman" w:hAnsi="Times New Roman" w:eastAsia="宋体" w:cs="Times New Roman"/>
                      <w:b w:val="0"/>
                      <w:bCs/>
                      <w:color w:val="auto"/>
                      <w:kern w:val="0"/>
                      <w:szCs w:val="21"/>
                    </w:rPr>
                  </w:pPr>
                  <w:r>
                    <w:rPr>
                      <w:rFonts w:hint="default" w:ascii="Times New Roman" w:hAnsi="Times New Roman" w:eastAsia="宋体" w:cs="Times New Roman"/>
                      <w:b w:val="0"/>
                      <w:bCs/>
                      <w:color w:val="auto"/>
                      <w:kern w:val="0"/>
                      <w:szCs w:val="21"/>
                    </w:rPr>
                    <w:t>清洗废水</w:t>
                  </w:r>
                </w:p>
              </w:tc>
              <w:tc>
                <w:tcPr>
                  <w:tcW w:w="470" w:type="pct"/>
                  <w:noWrap w:val="0"/>
                  <w:vAlign w:val="center"/>
                </w:tcPr>
                <w:p>
                  <w:pPr>
                    <w:widowControl/>
                    <w:adjustRightInd w:val="0"/>
                    <w:snapToGrid w:val="0"/>
                    <w:jc w:val="center"/>
                    <w:rPr>
                      <w:rFonts w:hint="default" w:ascii="Times New Roman" w:hAnsi="Times New Roman" w:eastAsia="宋体" w:cs="Times New Roman"/>
                      <w:b w:val="0"/>
                      <w:bCs/>
                      <w:color w:val="auto"/>
                      <w:kern w:val="0"/>
                      <w:szCs w:val="21"/>
                    </w:rPr>
                  </w:pPr>
                  <w:r>
                    <w:rPr>
                      <w:rFonts w:hint="default" w:ascii="Times New Roman" w:hAnsi="Times New Roman" w:eastAsia="宋体" w:cs="Times New Roman"/>
                      <w:b w:val="0"/>
                      <w:bCs/>
                      <w:color w:val="auto"/>
                      <w:kern w:val="0"/>
                      <w:szCs w:val="21"/>
                    </w:rPr>
                    <w:t>486</w:t>
                  </w:r>
                </w:p>
              </w:tc>
              <w:tc>
                <w:tcPr>
                  <w:tcW w:w="503" w:type="pct"/>
                  <w:noWrap w:val="0"/>
                  <w:vAlign w:val="center"/>
                </w:tcPr>
                <w:p>
                  <w:pPr>
                    <w:widowControl/>
                    <w:adjustRightInd w:val="0"/>
                    <w:snapToGrid w:val="0"/>
                    <w:jc w:val="center"/>
                    <w:rPr>
                      <w:rFonts w:hint="default" w:ascii="Times New Roman" w:hAnsi="Times New Roman" w:eastAsia="宋体" w:cs="Times New Roman"/>
                      <w:b w:val="0"/>
                      <w:bCs/>
                      <w:color w:val="auto"/>
                      <w:kern w:val="0"/>
                      <w:szCs w:val="21"/>
                    </w:rPr>
                  </w:pPr>
                  <w:r>
                    <w:rPr>
                      <w:rFonts w:hint="default" w:ascii="Times New Roman" w:hAnsi="Times New Roman" w:eastAsia="宋体" w:cs="Times New Roman"/>
                      <w:b w:val="0"/>
                      <w:bCs/>
                      <w:color w:val="auto"/>
                      <w:kern w:val="0"/>
                      <w:szCs w:val="21"/>
                    </w:rPr>
                    <w:t>SS</w:t>
                  </w:r>
                </w:p>
              </w:tc>
              <w:tc>
                <w:tcPr>
                  <w:tcW w:w="624" w:type="pct"/>
                  <w:noWrap w:val="0"/>
                  <w:vAlign w:val="center"/>
                </w:tcPr>
                <w:p>
                  <w:pPr>
                    <w:widowControl/>
                    <w:adjustRightInd w:val="0"/>
                    <w:snapToGrid w:val="0"/>
                    <w:jc w:val="center"/>
                    <w:rPr>
                      <w:rFonts w:hint="default" w:ascii="Times New Roman" w:hAnsi="Times New Roman" w:eastAsia="宋体" w:cs="Times New Roman"/>
                      <w:b w:val="0"/>
                      <w:bCs/>
                      <w:color w:val="auto"/>
                      <w:kern w:val="0"/>
                      <w:szCs w:val="21"/>
                    </w:rPr>
                  </w:pPr>
                  <w:r>
                    <w:rPr>
                      <w:rFonts w:hint="default" w:ascii="Times New Roman" w:hAnsi="Times New Roman" w:eastAsia="宋体" w:cs="Times New Roman"/>
                      <w:b w:val="0"/>
                      <w:bCs/>
                      <w:color w:val="auto"/>
                      <w:kern w:val="0"/>
                      <w:szCs w:val="21"/>
                    </w:rPr>
                    <w:t>5</w:t>
                  </w:r>
                </w:p>
              </w:tc>
              <w:tc>
                <w:tcPr>
                  <w:tcW w:w="546" w:type="pct"/>
                  <w:noWrap w:val="0"/>
                  <w:vAlign w:val="center"/>
                </w:tcPr>
                <w:p>
                  <w:pPr>
                    <w:widowControl/>
                    <w:adjustRightInd w:val="0"/>
                    <w:snapToGrid w:val="0"/>
                    <w:jc w:val="center"/>
                    <w:rPr>
                      <w:rFonts w:hint="default" w:ascii="Times New Roman" w:hAnsi="Times New Roman" w:eastAsia="宋体" w:cs="Times New Roman"/>
                      <w:b w:val="0"/>
                      <w:bCs/>
                      <w:color w:val="auto"/>
                      <w:kern w:val="0"/>
                      <w:szCs w:val="21"/>
                      <w:lang w:eastAsia="zh-CN"/>
                    </w:rPr>
                  </w:pPr>
                  <w:r>
                    <w:rPr>
                      <w:rFonts w:hint="default" w:ascii="Times New Roman" w:hAnsi="Times New Roman" w:eastAsia="宋体" w:cs="Times New Roman"/>
                      <w:b w:val="0"/>
                      <w:bCs/>
                      <w:color w:val="auto"/>
                      <w:kern w:val="0"/>
                      <w:szCs w:val="21"/>
                    </w:rPr>
                    <w:t>0.0</w:t>
                  </w:r>
                  <w:r>
                    <w:rPr>
                      <w:rFonts w:hint="default" w:ascii="Times New Roman" w:hAnsi="Times New Roman" w:eastAsia="宋体" w:cs="Times New Roman"/>
                      <w:b w:val="0"/>
                      <w:bCs/>
                      <w:color w:val="auto"/>
                      <w:kern w:val="0"/>
                      <w:szCs w:val="21"/>
                      <w:lang w:val="en-US" w:eastAsia="zh-CN"/>
                    </w:rPr>
                    <w:t>3</w:t>
                  </w:r>
                </w:p>
              </w:tc>
              <w:tc>
                <w:tcPr>
                  <w:tcW w:w="625" w:type="pct"/>
                  <w:noWrap w:val="0"/>
                  <w:vAlign w:val="center"/>
                </w:tcPr>
                <w:p>
                  <w:pPr>
                    <w:widowControl/>
                    <w:adjustRightInd w:val="0"/>
                    <w:snapToGrid w:val="0"/>
                    <w:jc w:val="center"/>
                    <w:rPr>
                      <w:rFonts w:hint="default" w:ascii="Times New Roman" w:hAnsi="Times New Roman" w:eastAsia="宋体" w:cs="Times New Roman"/>
                      <w:b w:val="0"/>
                      <w:bCs/>
                      <w:color w:val="auto"/>
                      <w:kern w:val="0"/>
                      <w:szCs w:val="21"/>
                    </w:rPr>
                  </w:pPr>
                  <w:r>
                    <w:rPr>
                      <w:rFonts w:hint="default" w:ascii="Times New Roman" w:hAnsi="Times New Roman" w:eastAsia="宋体" w:cs="Times New Roman"/>
                      <w:b w:val="0"/>
                      <w:bCs/>
                      <w:color w:val="auto"/>
                      <w:kern w:val="0"/>
                      <w:szCs w:val="21"/>
                    </w:rPr>
                    <w:t>5</w:t>
                  </w:r>
                </w:p>
              </w:tc>
              <w:tc>
                <w:tcPr>
                  <w:tcW w:w="481" w:type="pct"/>
                  <w:noWrap w:val="0"/>
                  <w:vAlign w:val="center"/>
                </w:tcPr>
                <w:p>
                  <w:pPr>
                    <w:widowControl/>
                    <w:adjustRightInd w:val="0"/>
                    <w:snapToGrid w:val="0"/>
                    <w:jc w:val="center"/>
                    <w:rPr>
                      <w:rFonts w:hint="default" w:ascii="Times New Roman" w:hAnsi="Times New Roman" w:eastAsia="宋体" w:cs="Times New Roman"/>
                      <w:b w:val="0"/>
                      <w:bCs/>
                      <w:color w:val="auto"/>
                      <w:kern w:val="0"/>
                      <w:szCs w:val="21"/>
                      <w:lang w:eastAsia="zh-CN"/>
                    </w:rPr>
                  </w:pPr>
                  <w:r>
                    <w:rPr>
                      <w:rFonts w:hint="default" w:ascii="Times New Roman" w:hAnsi="Times New Roman" w:eastAsia="宋体" w:cs="Times New Roman"/>
                      <w:b w:val="0"/>
                      <w:bCs/>
                      <w:color w:val="auto"/>
                      <w:kern w:val="0"/>
                      <w:szCs w:val="21"/>
                    </w:rPr>
                    <w:t>0.0</w:t>
                  </w:r>
                  <w:r>
                    <w:rPr>
                      <w:rFonts w:hint="default" w:ascii="Times New Roman" w:hAnsi="Times New Roman" w:eastAsia="宋体" w:cs="Times New Roman"/>
                      <w:b w:val="0"/>
                      <w:bCs/>
                      <w:color w:val="auto"/>
                      <w:kern w:val="0"/>
                      <w:szCs w:val="21"/>
                      <w:lang w:val="en-US" w:eastAsia="zh-CN"/>
                    </w:rPr>
                    <w:t>3</w:t>
                  </w:r>
                </w:p>
              </w:tc>
              <w:tc>
                <w:tcPr>
                  <w:tcW w:w="1156" w:type="pct"/>
                  <w:noWrap w:val="0"/>
                  <w:vAlign w:val="center"/>
                </w:tcPr>
                <w:p>
                  <w:pPr>
                    <w:widowControl/>
                    <w:adjustRightInd w:val="0"/>
                    <w:snapToGrid w:val="0"/>
                    <w:jc w:val="center"/>
                    <w:rPr>
                      <w:rFonts w:hint="default" w:ascii="Times New Roman" w:hAnsi="Times New Roman" w:eastAsia="宋体" w:cs="Times New Roman"/>
                      <w:b w:val="0"/>
                      <w:bCs/>
                      <w:color w:val="auto"/>
                      <w:kern w:val="0"/>
                      <w:szCs w:val="21"/>
                      <w:lang w:val="en-US" w:eastAsia="zh-CN"/>
                    </w:rPr>
                  </w:pPr>
                  <w:r>
                    <w:rPr>
                      <w:rFonts w:hint="default" w:ascii="Times New Roman" w:hAnsi="Times New Roman" w:eastAsia="宋体" w:cs="Times New Roman"/>
                      <w:b w:val="0"/>
                      <w:bCs/>
                      <w:color w:val="auto"/>
                      <w:kern w:val="0"/>
                      <w:szCs w:val="21"/>
                      <w:lang w:val="en-US" w:eastAsia="zh-CN"/>
                    </w:rPr>
                    <w:t>直接散排，就地蒸发，不外排</w:t>
                  </w:r>
                </w:p>
              </w:tc>
            </w:tr>
          </w:tbl>
          <w:p>
            <w:pPr>
              <w:pStyle w:val="12"/>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（2）噪声</w:t>
            </w:r>
          </w:p>
          <w:p>
            <w:pPr>
              <w:pStyle w:val="12"/>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营运期噪声主要来自于箱式变压器和逆变器等设备所产生的电磁噪声。</w:t>
            </w:r>
          </w:p>
          <w:p>
            <w:pPr>
              <w:pStyle w:val="12"/>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光伏阵列在运行过程中无明显噪声。</w:t>
            </w:r>
          </w:p>
          <w:p>
            <w:pPr>
              <w:pStyle w:val="12"/>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（3）</w:t>
            </w:r>
            <w:r>
              <w:rPr>
                <w:rFonts w:hint="default" w:ascii="Times New Roman" w:hAnsi="Times New Roman" w:eastAsia="宋体" w:cs="Times New Roman"/>
                <w:color w:val="auto"/>
                <w:sz w:val="24"/>
                <w:szCs w:val="24"/>
                <w:lang w:val="en-US" w:eastAsia="zh-CN"/>
              </w:rPr>
              <w:t>废气</w:t>
            </w:r>
          </w:p>
          <w:p>
            <w:pPr>
              <w:pStyle w:val="12"/>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本项目正常营运期间无废气污染物产生。</w:t>
            </w:r>
          </w:p>
          <w:p>
            <w:pPr>
              <w:pStyle w:val="12"/>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（4）固体废物</w:t>
            </w:r>
          </w:p>
          <w:p>
            <w:pPr>
              <w:pStyle w:val="12"/>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本项目的固体废物主要为更换的光伏电池元件</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变压器油以及</w:t>
            </w:r>
            <w:r>
              <w:rPr>
                <w:rFonts w:hint="default" w:ascii="Times New Roman" w:hAnsi="Times New Roman" w:eastAsia="宋体" w:cs="Times New Roman"/>
                <w:color w:val="auto"/>
                <w:sz w:val="24"/>
                <w:szCs w:val="24"/>
                <w:lang w:val="en-US" w:eastAsia="zh-CN"/>
              </w:rPr>
              <w:t>废铅酸蓄电池</w:t>
            </w:r>
            <w:r>
              <w:rPr>
                <w:rFonts w:hint="default" w:ascii="Times New Roman" w:hAnsi="Times New Roman" w:eastAsia="宋体" w:cs="Times New Roman"/>
                <w:color w:val="auto"/>
                <w:sz w:val="24"/>
                <w:szCs w:val="24"/>
              </w:rPr>
              <w:t>。</w:t>
            </w:r>
          </w:p>
          <w:p>
            <w:pPr>
              <w:pStyle w:val="12"/>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光伏组件损坏率很低，每年损耗率按2‰计，则本项目年需更换161块光伏组件。根据《国家危险废物名录》（2016版），更换下来的废旧太阳能电池板不属于危险废物，统一由生产厂家回收利用。</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本项目共有</w:t>
            </w:r>
            <w:r>
              <w:rPr>
                <w:rFonts w:hint="default"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rPr>
              <w:t>个箱式变压器，全部为油浸式，每个变压器内贮存变压器油约1500kg</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拟在每次大修更换变压器油一次，一般为每10年大修一次，本项目运营时间25年，</w:t>
            </w:r>
            <w:r>
              <w:rPr>
                <w:rFonts w:hint="eastAsia" w:cs="Times New Roman"/>
                <w:color w:val="auto"/>
                <w:sz w:val="24"/>
                <w:szCs w:val="24"/>
                <w:lang w:eastAsia="zh-CN"/>
              </w:rPr>
              <w:t>运行期</w:t>
            </w:r>
            <w:r>
              <w:rPr>
                <w:rFonts w:hint="default" w:ascii="Times New Roman" w:hAnsi="Times New Roman" w:eastAsia="宋体" w:cs="Times New Roman"/>
                <w:color w:val="auto"/>
                <w:sz w:val="24"/>
                <w:szCs w:val="24"/>
              </w:rPr>
              <w:t>间共进行两次大修，经计算每次大修更换变压器油总量为</w:t>
            </w:r>
            <w:r>
              <w:rPr>
                <w:rFonts w:hint="default" w:ascii="Times New Roman" w:hAnsi="Times New Roman" w:eastAsia="宋体" w:cs="Times New Roman"/>
                <w:color w:val="auto"/>
                <w:sz w:val="24"/>
                <w:szCs w:val="24"/>
                <w:lang w:val="en-US" w:eastAsia="zh-CN"/>
              </w:rPr>
              <w:t>15</w:t>
            </w:r>
            <w:r>
              <w:rPr>
                <w:rFonts w:hint="default" w:ascii="Times New Roman" w:hAnsi="Times New Roman" w:eastAsia="宋体" w:cs="Times New Roman"/>
                <w:color w:val="auto"/>
                <w:sz w:val="24"/>
                <w:szCs w:val="24"/>
              </w:rPr>
              <w:t>t，</w:t>
            </w:r>
            <w:r>
              <w:rPr>
                <w:rFonts w:hint="eastAsia" w:cs="Times New Roman"/>
                <w:color w:val="auto"/>
                <w:sz w:val="24"/>
                <w:szCs w:val="24"/>
                <w:lang w:eastAsia="zh-CN"/>
              </w:rPr>
              <w:t>运行期</w:t>
            </w:r>
            <w:r>
              <w:rPr>
                <w:rFonts w:hint="default" w:ascii="Times New Roman" w:hAnsi="Times New Roman" w:eastAsia="宋体" w:cs="Times New Roman"/>
                <w:color w:val="auto"/>
                <w:sz w:val="24"/>
                <w:szCs w:val="24"/>
              </w:rPr>
              <w:t>间共产生废变压器油约</w:t>
            </w:r>
            <w:r>
              <w:rPr>
                <w:rFonts w:hint="default" w:ascii="Times New Roman" w:hAnsi="Times New Roman" w:eastAsia="宋体" w:cs="Times New Roman"/>
                <w:color w:val="auto"/>
                <w:sz w:val="24"/>
                <w:szCs w:val="24"/>
                <w:lang w:val="en-US" w:eastAsia="zh-CN"/>
              </w:rPr>
              <w:t>30</w:t>
            </w:r>
            <w:r>
              <w:rPr>
                <w:rFonts w:hint="default" w:ascii="Times New Roman" w:hAnsi="Times New Roman" w:eastAsia="宋体" w:cs="Times New Roman"/>
                <w:color w:val="auto"/>
                <w:sz w:val="24"/>
                <w:szCs w:val="24"/>
              </w:rPr>
              <w:t>t。变压器油主要成分是矿物油，根据《国家危险废物名录》变压器废油属于“HW08废矿物油与含矿物废油”中的变压器维护更换和拆解过程中产生的废变压器油，废物代码900-220-008”</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危险特性为</w:t>
            </w:r>
            <w:r>
              <w:rPr>
                <w:rFonts w:hint="default" w:ascii="Times New Roman" w:hAnsi="Times New Roman" w:eastAsia="宋体" w:cs="Times New Roman"/>
                <w:color w:val="auto"/>
                <w:sz w:val="24"/>
                <w:szCs w:val="24"/>
              </w:rPr>
              <w:t>T、I</w:t>
            </w:r>
            <w:r>
              <w:rPr>
                <w:rFonts w:hint="default" w:ascii="Times New Roman" w:hAnsi="Times New Roman" w:eastAsia="宋体" w:cs="Times New Roman"/>
                <w:color w:val="auto"/>
                <w:sz w:val="24"/>
                <w:szCs w:val="24"/>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更换下来的废</w:t>
            </w:r>
            <w:r>
              <w:rPr>
                <w:rFonts w:hint="default" w:ascii="Times New Roman" w:hAnsi="Times New Roman" w:eastAsia="宋体" w:cs="Times New Roman"/>
                <w:color w:val="auto"/>
                <w:sz w:val="24"/>
                <w:szCs w:val="24"/>
                <w:lang w:val="en-US" w:eastAsia="zh-CN"/>
              </w:rPr>
              <w:t>铅酸</w:t>
            </w:r>
            <w:r>
              <w:rPr>
                <w:rFonts w:hint="default" w:ascii="Times New Roman" w:hAnsi="Times New Roman" w:eastAsia="宋体" w:cs="Times New Roman"/>
                <w:color w:val="auto"/>
                <w:sz w:val="24"/>
                <w:szCs w:val="24"/>
              </w:rPr>
              <w:t>蓄电池</w:t>
            </w:r>
            <w:r>
              <w:rPr>
                <w:rFonts w:hint="default" w:ascii="Times New Roman" w:hAnsi="Times New Roman" w:eastAsia="宋体" w:cs="Times New Roman"/>
                <w:color w:val="auto"/>
                <w:sz w:val="24"/>
                <w:szCs w:val="24"/>
                <w:lang w:val="en-US" w:eastAsia="zh-CN"/>
              </w:rPr>
              <w:t>非连续产生，</w:t>
            </w:r>
            <w:r>
              <w:rPr>
                <w:rFonts w:hint="default" w:ascii="Times New Roman" w:hAnsi="Times New Roman" w:eastAsia="宋体" w:cs="Times New Roman"/>
                <w:color w:val="auto"/>
                <w:sz w:val="24"/>
                <w:szCs w:val="24"/>
              </w:rPr>
              <w:t>根据《国家危险废物名录》废</w:t>
            </w:r>
            <w:r>
              <w:rPr>
                <w:rFonts w:hint="default" w:ascii="Times New Roman" w:hAnsi="Times New Roman" w:eastAsia="宋体" w:cs="Times New Roman"/>
                <w:color w:val="auto"/>
                <w:sz w:val="24"/>
                <w:szCs w:val="24"/>
                <w:lang w:val="en-US" w:eastAsia="zh-CN"/>
              </w:rPr>
              <w:t>铅酸</w:t>
            </w:r>
            <w:r>
              <w:rPr>
                <w:rFonts w:hint="default" w:ascii="Times New Roman" w:hAnsi="Times New Roman" w:eastAsia="宋体" w:cs="Times New Roman"/>
                <w:color w:val="auto"/>
                <w:sz w:val="24"/>
                <w:szCs w:val="24"/>
              </w:rPr>
              <w:t>蓄电池属于危险废物，危险废物类别属于“HW49其他废物”，代码“900-044-49”，危险特性为毒性T。</w:t>
            </w:r>
          </w:p>
          <w:p>
            <w:pPr>
              <w:pStyle w:val="183"/>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 xml:space="preserve">根据《关于加强建设项目环评文件固体废物内容编制的通知》（苏环办[2013]283号），对建设项目生产过程中产生的各类固体废物进行分析。 </w:t>
            </w:r>
          </w:p>
          <w:p>
            <w:pPr>
              <w:pStyle w:val="183"/>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 xml:space="preserve">1）固体废物属性判定 </w:t>
            </w:r>
          </w:p>
          <w:p>
            <w:pPr>
              <w:pStyle w:val="183"/>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根据《中华人民共和国固体废物污染环境防治法》的规定，判断建设项目生产过程中产生的副产物是否属于固体废物</w:t>
            </w:r>
            <w:r>
              <w:rPr>
                <w:rFonts w:hint="eastAsia" w:ascii="Times New Roman" w:hAnsi="Times New Roman" w:cs="Times New Roman"/>
                <w:color w:val="auto"/>
                <w:sz w:val="24"/>
                <w:szCs w:val="24"/>
                <w:lang w:val="en-US" w:eastAsia="zh-CN"/>
              </w:rPr>
              <w:t>，本工程副产物产生情况见表15。</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200"/>
              <w:jc w:val="center"/>
              <w:textAlignment w:val="auto"/>
              <w:rPr>
                <w:rFonts w:hint="default" w:ascii="Times New Roman" w:hAnsi="Times New Roman" w:eastAsia="宋体" w:cs="Times New Roman"/>
                <w:b/>
                <w:bCs/>
                <w:color w:val="auto"/>
                <w:sz w:val="24"/>
              </w:rPr>
            </w:pPr>
            <w:r>
              <w:rPr>
                <w:rFonts w:hint="eastAsia" w:cs="Times New Roman"/>
                <w:b/>
                <w:bCs/>
                <w:color w:val="auto"/>
                <w:sz w:val="24"/>
                <w:szCs w:val="24"/>
                <w:lang w:val="en-US" w:eastAsia="zh-CN"/>
              </w:rPr>
              <w:t>表15  本工程</w:t>
            </w:r>
            <w:r>
              <w:rPr>
                <w:rFonts w:hint="default" w:ascii="Times New Roman" w:hAnsi="Times New Roman" w:eastAsia="宋体" w:cs="Times New Roman"/>
                <w:b/>
                <w:bCs/>
                <w:color w:val="auto"/>
                <w:sz w:val="24"/>
              </w:rPr>
              <w:t>副产物产生情况汇总表</w:t>
            </w:r>
          </w:p>
          <w:tbl>
            <w:tblPr>
              <w:tblStyle w:val="30"/>
              <w:tblW w:w="4999"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57" w:type="dxa"/>
                <w:bottom w:w="0" w:type="dxa"/>
                <w:right w:w="57" w:type="dxa"/>
              </w:tblCellMar>
            </w:tblPr>
            <w:tblGrid>
              <w:gridCol w:w="479"/>
              <w:gridCol w:w="995"/>
              <w:gridCol w:w="1270"/>
              <w:gridCol w:w="687"/>
              <w:gridCol w:w="962"/>
              <w:gridCol w:w="826"/>
              <w:gridCol w:w="962"/>
              <w:gridCol w:w="826"/>
              <w:gridCol w:w="18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210" w:hRule="atLeast"/>
                <w:jc w:val="center"/>
              </w:trPr>
              <w:tc>
                <w:tcPr>
                  <w:tcW w:w="274" w:type="pct"/>
                  <w:vMerge w:val="restart"/>
                  <w:noWrap w:val="0"/>
                  <w:vAlign w:val="center"/>
                </w:tcPr>
                <w:p>
                  <w:pPr>
                    <w:spacing w:line="240" w:lineRule="exact"/>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序号</w:t>
                  </w:r>
                </w:p>
              </w:tc>
              <w:tc>
                <w:tcPr>
                  <w:tcW w:w="565" w:type="pct"/>
                  <w:vMerge w:val="restart"/>
                  <w:noWrap w:val="0"/>
                  <w:vAlign w:val="center"/>
                </w:tcPr>
                <w:p>
                  <w:pPr>
                    <w:spacing w:line="240" w:lineRule="exact"/>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副产物名称</w:t>
                  </w:r>
                </w:p>
              </w:tc>
              <w:tc>
                <w:tcPr>
                  <w:tcW w:w="720" w:type="pct"/>
                  <w:vMerge w:val="restart"/>
                  <w:noWrap w:val="0"/>
                  <w:vAlign w:val="center"/>
                </w:tcPr>
                <w:p>
                  <w:pPr>
                    <w:spacing w:line="240" w:lineRule="exact"/>
                    <w:jc w:val="center"/>
                    <w:rPr>
                      <w:rFonts w:hint="default" w:ascii="Times New Roman" w:hAnsi="Times New Roman" w:eastAsia="宋体" w:cs="Times New Roman"/>
                      <w:b/>
                      <w:color w:val="auto"/>
                      <w:spacing w:val="-20"/>
                      <w:szCs w:val="21"/>
                    </w:rPr>
                  </w:pPr>
                  <w:r>
                    <w:rPr>
                      <w:rFonts w:hint="default" w:ascii="Times New Roman" w:hAnsi="Times New Roman" w:eastAsia="宋体" w:cs="Times New Roman"/>
                      <w:b/>
                      <w:color w:val="auto"/>
                      <w:spacing w:val="-20"/>
                      <w:szCs w:val="21"/>
                    </w:rPr>
                    <w:t>产生工序</w:t>
                  </w:r>
                </w:p>
              </w:tc>
              <w:tc>
                <w:tcPr>
                  <w:tcW w:w="391" w:type="pct"/>
                  <w:vMerge w:val="restart"/>
                  <w:noWrap w:val="0"/>
                  <w:vAlign w:val="center"/>
                </w:tcPr>
                <w:p>
                  <w:pPr>
                    <w:spacing w:line="240" w:lineRule="exact"/>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形态</w:t>
                  </w:r>
                </w:p>
              </w:tc>
              <w:tc>
                <w:tcPr>
                  <w:tcW w:w="546" w:type="pct"/>
                  <w:vMerge w:val="restart"/>
                  <w:noWrap w:val="0"/>
                  <w:vAlign w:val="center"/>
                </w:tcPr>
                <w:p>
                  <w:pPr>
                    <w:spacing w:line="240" w:lineRule="exact"/>
                    <w:jc w:val="center"/>
                    <w:rPr>
                      <w:rFonts w:hint="default" w:ascii="Times New Roman" w:hAnsi="Times New Roman" w:eastAsia="宋体" w:cs="Times New Roman"/>
                      <w:b/>
                      <w:color w:val="auto"/>
                      <w:spacing w:val="-20"/>
                      <w:szCs w:val="21"/>
                    </w:rPr>
                  </w:pPr>
                  <w:r>
                    <w:rPr>
                      <w:rFonts w:hint="default" w:ascii="Times New Roman" w:hAnsi="Times New Roman" w:eastAsia="宋体" w:cs="Times New Roman"/>
                      <w:b/>
                      <w:color w:val="auto"/>
                      <w:spacing w:val="-20"/>
                      <w:szCs w:val="21"/>
                    </w:rPr>
                    <w:t>主要成分</w:t>
                  </w:r>
                </w:p>
              </w:tc>
              <w:tc>
                <w:tcPr>
                  <w:tcW w:w="469" w:type="pct"/>
                  <w:vMerge w:val="restart"/>
                  <w:noWrap w:val="0"/>
                  <w:vAlign w:val="center"/>
                </w:tcPr>
                <w:p>
                  <w:pPr>
                    <w:spacing w:line="240" w:lineRule="exact"/>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预测产生量</w:t>
                  </w:r>
                </w:p>
              </w:tc>
              <w:tc>
                <w:tcPr>
                  <w:tcW w:w="2031" w:type="pct"/>
                  <w:gridSpan w:val="3"/>
                  <w:noWrap w:val="0"/>
                  <w:vAlign w:val="center"/>
                </w:tcPr>
                <w:p>
                  <w:pPr>
                    <w:spacing w:line="240" w:lineRule="exact"/>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种类判断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255" w:hRule="atLeast"/>
                <w:jc w:val="center"/>
              </w:trPr>
              <w:tc>
                <w:tcPr>
                  <w:tcW w:w="274" w:type="pct"/>
                  <w:vMerge w:val="continue"/>
                  <w:noWrap w:val="0"/>
                  <w:vAlign w:val="center"/>
                </w:tcPr>
                <w:p>
                  <w:pPr>
                    <w:spacing w:line="240" w:lineRule="exact"/>
                    <w:jc w:val="center"/>
                    <w:rPr>
                      <w:rFonts w:hint="default" w:ascii="Times New Roman" w:hAnsi="Times New Roman" w:eastAsia="宋体" w:cs="Times New Roman"/>
                      <w:b/>
                      <w:color w:val="auto"/>
                      <w:szCs w:val="21"/>
                    </w:rPr>
                  </w:pPr>
                </w:p>
              </w:tc>
              <w:tc>
                <w:tcPr>
                  <w:tcW w:w="565" w:type="pct"/>
                  <w:vMerge w:val="continue"/>
                  <w:noWrap w:val="0"/>
                  <w:vAlign w:val="center"/>
                </w:tcPr>
                <w:p>
                  <w:pPr>
                    <w:spacing w:line="240" w:lineRule="exact"/>
                    <w:jc w:val="center"/>
                    <w:rPr>
                      <w:rFonts w:hint="default" w:ascii="Times New Roman" w:hAnsi="Times New Roman" w:eastAsia="宋体" w:cs="Times New Roman"/>
                      <w:b/>
                      <w:color w:val="auto"/>
                      <w:szCs w:val="21"/>
                    </w:rPr>
                  </w:pPr>
                </w:p>
              </w:tc>
              <w:tc>
                <w:tcPr>
                  <w:tcW w:w="720" w:type="pct"/>
                  <w:vMerge w:val="continue"/>
                  <w:noWrap w:val="0"/>
                  <w:vAlign w:val="center"/>
                </w:tcPr>
                <w:p>
                  <w:pPr>
                    <w:spacing w:line="240" w:lineRule="exact"/>
                    <w:jc w:val="center"/>
                    <w:rPr>
                      <w:rFonts w:hint="default" w:ascii="Times New Roman" w:hAnsi="Times New Roman" w:eastAsia="宋体" w:cs="Times New Roman"/>
                      <w:b/>
                      <w:color w:val="auto"/>
                      <w:spacing w:val="-20"/>
                      <w:szCs w:val="21"/>
                    </w:rPr>
                  </w:pPr>
                </w:p>
              </w:tc>
              <w:tc>
                <w:tcPr>
                  <w:tcW w:w="391" w:type="pct"/>
                  <w:vMerge w:val="continue"/>
                  <w:noWrap w:val="0"/>
                  <w:vAlign w:val="center"/>
                </w:tcPr>
                <w:p>
                  <w:pPr>
                    <w:spacing w:line="240" w:lineRule="exact"/>
                    <w:jc w:val="center"/>
                    <w:rPr>
                      <w:rFonts w:hint="default" w:ascii="Times New Roman" w:hAnsi="Times New Roman" w:eastAsia="宋体" w:cs="Times New Roman"/>
                      <w:b/>
                      <w:color w:val="auto"/>
                      <w:szCs w:val="21"/>
                    </w:rPr>
                  </w:pPr>
                </w:p>
              </w:tc>
              <w:tc>
                <w:tcPr>
                  <w:tcW w:w="546" w:type="pct"/>
                  <w:vMerge w:val="continue"/>
                  <w:noWrap w:val="0"/>
                  <w:vAlign w:val="center"/>
                </w:tcPr>
                <w:p>
                  <w:pPr>
                    <w:spacing w:line="240" w:lineRule="exact"/>
                    <w:jc w:val="center"/>
                    <w:rPr>
                      <w:rFonts w:hint="default" w:ascii="Times New Roman" w:hAnsi="Times New Roman" w:eastAsia="宋体" w:cs="Times New Roman"/>
                      <w:b/>
                      <w:color w:val="auto"/>
                      <w:spacing w:val="-20"/>
                      <w:szCs w:val="21"/>
                    </w:rPr>
                  </w:pPr>
                </w:p>
              </w:tc>
              <w:tc>
                <w:tcPr>
                  <w:tcW w:w="469" w:type="pct"/>
                  <w:vMerge w:val="continue"/>
                  <w:noWrap w:val="0"/>
                  <w:vAlign w:val="center"/>
                </w:tcPr>
                <w:p>
                  <w:pPr>
                    <w:spacing w:line="240" w:lineRule="exact"/>
                    <w:jc w:val="center"/>
                    <w:rPr>
                      <w:rFonts w:hint="default" w:ascii="Times New Roman" w:hAnsi="Times New Roman" w:eastAsia="宋体" w:cs="Times New Roman"/>
                      <w:b/>
                      <w:color w:val="auto"/>
                      <w:szCs w:val="21"/>
                    </w:rPr>
                  </w:pPr>
                </w:p>
              </w:tc>
              <w:tc>
                <w:tcPr>
                  <w:tcW w:w="546" w:type="pct"/>
                  <w:noWrap w:val="0"/>
                  <w:vAlign w:val="center"/>
                </w:tcPr>
                <w:p>
                  <w:pPr>
                    <w:spacing w:line="240" w:lineRule="exact"/>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固体废物</w:t>
                  </w:r>
                </w:p>
              </w:tc>
              <w:tc>
                <w:tcPr>
                  <w:tcW w:w="469" w:type="pct"/>
                  <w:noWrap w:val="0"/>
                  <w:vAlign w:val="center"/>
                </w:tcPr>
                <w:p>
                  <w:pPr>
                    <w:spacing w:line="240" w:lineRule="exact"/>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副产物</w:t>
                  </w:r>
                </w:p>
              </w:tc>
              <w:tc>
                <w:tcPr>
                  <w:tcW w:w="1015" w:type="pct"/>
                  <w:noWrap w:val="0"/>
                  <w:vAlign w:val="center"/>
                </w:tcPr>
                <w:p>
                  <w:pPr>
                    <w:spacing w:line="240" w:lineRule="exact"/>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判断依据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340" w:hRule="atLeast"/>
                <w:jc w:val="center"/>
              </w:trPr>
              <w:tc>
                <w:tcPr>
                  <w:tcW w:w="274" w:type="pct"/>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w:t>
                  </w:r>
                </w:p>
              </w:tc>
              <w:tc>
                <w:tcPr>
                  <w:tcW w:w="565" w:type="pct"/>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废旧太阳能电池板</w:t>
                  </w:r>
                </w:p>
              </w:tc>
              <w:tc>
                <w:tcPr>
                  <w:tcW w:w="720" w:type="pct"/>
                  <w:noWrap w:val="0"/>
                  <w:vAlign w:val="center"/>
                </w:tcPr>
                <w:p>
                  <w:pPr>
                    <w:spacing w:line="24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rPr>
                    <w:t>光伏组件</w:t>
                  </w:r>
                  <w:r>
                    <w:rPr>
                      <w:rFonts w:hint="default" w:ascii="Times New Roman" w:hAnsi="Times New Roman" w:eastAsia="宋体" w:cs="Times New Roman"/>
                      <w:color w:val="auto"/>
                      <w:szCs w:val="21"/>
                      <w:lang w:val="en-US" w:eastAsia="zh-CN"/>
                    </w:rPr>
                    <w:t>更换</w:t>
                  </w:r>
                </w:p>
              </w:tc>
              <w:tc>
                <w:tcPr>
                  <w:tcW w:w="391" w:type="pct"/>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固态</w:t>
                  </w:r>
                </w:p>
              </w:tc>
              <w:tc>
                <w:tcPr>
                  <w:tcW w:w="546" w:type="pct"/>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单晶硅等</w:t>
                  </w:r>
                </w:p>
              </w:tc>
              <w:tc>
                <w:tcPr>
                  <w:tcW w:w="469" w:type="pct"/>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161</w:t>
                  </w:r>
                  <w:r>
                    <w:rPr>
                      <w:rFonts w:hint="default" w:ascii="Times New Roman" w:hAnsi="Times New Roman" w:eastAsia="宋体" w:cs="Times New Roman"/>
                      <w:color w:val="auto"/>
                      <w:szCs w:val="21"/>
                    </w:rPr>
                    <w:t>块/a</w:t>
                  </w:r>
                </w:p>
              </w:tc>
              <w:tc>
                <w:tcPr>
                  <w:tcW w:w="546" w:type="pct"/>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469" w:type="pct"/>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1015" w:type="pct"/>
                  <w:vMerge w:val="restart"/>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《固体废物鉴别标准 通则》（GB34330-2017）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340" w:hRule="atLeast"/>
                <w:jc w:val="center"/>
              </w:trPr>
              <w:tc>
                <w:tcPr>
                  <w:tcW w:w="274" w:type="pct"/>
                  <w:noWrap w:val="0"/>
                  <w:vAlign w:val="center"/>
                </w:tcPr>
                <w:p>
                  <w:pPr>
                    <w:spacing w:line="24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2</w:t>
                  </w:r>
                </w:p>
              </w:tc>
              <w:tc>
                <w:tcPr>
                  <w:tcW w:w="565" w:type="pct"/>
                  <w:noWrap w:val="0"/>
                  <w:vAlign w:val="center"/>
                </w:tcPr>
                <w:p>
                  <w:pPr>
                    <w:spacing w:line="24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废变压器油</w:t>
                  </w:r>
                </w:p>
              </w:tc>
              <w:tc>
                <w:tcPr>
                  <w:tcW w:w="720" w:type="pct"/>
                  <w:noWrap w:val="0"/>
                  <w:vAlign w:val="center"/>
                </w:tcPr>
                <w:p>
                  <w:pPr>
                    <w:spacing w:line="24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变压器油更换或变压器事故</w:t>
                  </w:r>
                </w:p>
              </w:tc>
              <w:tc>
                <w:tcPr>
                  <w:tcW w:w="391" w:type="pct"/>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 w:val="18"/>
                      <w:szCs w:val="18"/>
                    </w:rPr>
                    <w:t>液体</w:t>
                  </w:r>
                </w:p>
              </w:tc>
              <w:tc>
                <w:tcPr>
                  <w:tcW w:w="546" w:type="pct"/>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矿物油</w:t>
                  </w:r>
                </w:p>
              </w:tc>
              <w:tc>
                <w:tcPr>
                  <w:tcW w:w="469" w:type="pct"/>
                  <w:noWrap w:val="0"/>
                  <w:vAlign w:val="center"/>
                </w:tcPr>
                <w:p>
                  <w:pPr>
                    <w:spacing w:line="24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15t/10年</w:t>
                  </w:r>
                </w:p>
              </w:tc>
              <w:tc>
                <w:tcPr>
                  <w:tcW w:w="546" w:type="pct"/>
                  <w:noWrap w:val="0"/>
                  <w:vAlign w:val="center"/>
                </w:tcPr>
                <w:p>
                  <w:pPr>
                    <w:spacing w:line="240" w:lineRule="exact"/>
                    <w:jc w:val="center"/>
                    <w:rPr>
                      <w:rFonts w:hint="default" w:ascii="Times New Roman" w:hAnsi="Times New Roman" w:eastAsia="宋体" w:cs="Times New Roman"/>
                      <w:color w:val="auto"/>
                      <w:kern w:val="2"/>
                      <w:sz w:val="21"/>
                      <w:szCs w:val="21"/>
                      <w:lang w:val="en-GB" w:eastAsia="zh-TW" w:bidi="ar-SA"/>
                    </w:rPr>
                  </w:pPr>
                  <w:r>
                    <w:rPr>
                      <w:rFonts w:hint="default" w:ascii="Times New Roman" w:hAnsi="Times New Roman" w:eastAsia="宋体" w:cs="Times New Roman"/>
                      <w:color w:val="auto"/>
                      <w:szCs w:val="21"/>
                    </w:rPr>
                    <w:t>√</w:t>
                  </w:r>
                </w:p>
              </w:tc>
              <w:tc>
                <w:tcPr>
                  <w:tcW w:w="469" w:type="pct"/>
                  <w:noWrap w:val="0"/>
                  <w:vAlign w:val="center"/>
                </w:tcPr>
                <w:p>
                  <w:pPr>
                    <w:spacing w:line="240" w:lineRule="exact"/>
                    <w:jc w:val="center"/>
                    <w:rPr>
                      <w:rFonts w:hint="default" w:ascii="Times New Roman" w:hAnsi="Times New Roman" w:eastAsia="宋体" w:cs="Times New Roman"/>
                      <w:color w:val="auto"/>
                      <w:kern w:val="2"/>
                      <w:sz w:val="21"/>
                      <w:szCs w:val="21"/>
                      <w:lang w:val="en-GB" w:eastAsia="zh-TW" w:bidi="ar-SA"/>
                    </w:rPr>
                  </w:pPr>
                  <w:r>
                    <w:rPr>
                      <w:rFonts w:hint="default" w:ascii="Times New Roman" w:hAnsi="Times New Roman" w:eastAsia="宋体" w:cs="Times New Roman"/>
                      <w:color w:val="auto"/>
                      <w:szCs w:val="21"/>
                    </w:rPr>
                    <w:t>/</w:t>
                  </w:r>
                </w:p>
              </w:tc>
              <w:tc>
                <w:tcPr>
                  <w:tcW w:w="1015" w:type="pct"/>
                  <w:vMerge w:val="continue"/>
                  <w:noWrap w:val="0"/>
                  <w:vAlign w:val="center"/>
                </w:tcPr>
                <w:p>
                  <w:pPr>
                    <w:spacing w:line="240" w:lineRule="exact"/>
                    <w:jc w:val="center"/>
                    <w:rPr>
                      <w:rFonts w:hint="default" w:ascii="Times New Roman" w:hAnsi="Times New Roman" w:eastAsia="宋体" w:cs="Times New Roman"/>
                      <w:color w:val="auto"/>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340" w:hRule="atLeast"/>
                <w:jc w:val="center"/>
              </w:trPr>
              <w:tc>
                <w:tcPr>
                  <w:tcW w:w="274" w:type="pct"/>
                  <w:noWrap w:val="0"/>
                  <w:vAlign w:val="center"/>
                </w:tcPr>
                <w:p>
                  <w:pPr>
                    <w:spacing w:line="24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3</w:t>
                  </w:r>
                </w:p>
              </w:tc>
              <w:tc>
                <w:tcPr>
                  <w:tcW w:w="565" w:type="pct"/>
                  <w:noWrap w:val="0"/>
                  <w:vAlign w:val="center"/>
                </w:tcPr>
                <w:p>
                  <w:pPr>
                    <w:spacing w:line="24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废铅酸蓄电池</w:t>
                  </w:r>
                </w:p>
              </w:tc>
              <w:tc>
                <w:tcPr>
                  <w:tcW w:w="720" w:type="pct"/>
                  <w:noWrap w:val="0"/>
                  <w:vAlign w:val="center"/>
                </w:tcPr>
                <w:p>
                  <w:pPr>
                    <w:spacing w:line="24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蓄电池更换</w:t>
                  </w:r>
                </w:p>
              </w:tc>
              <w:tc>
                <w:tcPr>
                  <w:tcW w:w="391" w:type="pct"/>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固态</w:t>
                  </w:r>
                </w:p>
              </w:tc>
              <w:tc>
                <w:tcPr>
                  <w:tcW w:w="546" w:type="pct"/>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 w:val="18"/>
                      <w:szCs w:val="18"/>
                    </w:rPr>
                    <w:t>铅、酸</w:t>
                  </w:r>
                </w:p>
              </w:tc>
              <w:tc>
                <w:tcPr>
                  <w:tcW w:w="469" w:type="pct"/>
                  <w:noWrap w:val="0"/>
                  <w:vAlign w:val="center"/>
                </w:tcPr>
                <w:p>
                  <w:pPr>
                    <w:spacing w:line="24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kern w:val="0"/>
                      <w:sz w:val="18"/>
                      <w:szCs w:val="18"/>
                      <w:highlight w:val="none"/>
                      <w:lang w:val="en-US" w:eastAsia="zh-CN"/>
                    </w:rPr>
                    <w:t>0.5</w:t>
                  </w:r>
                  <w:r>
                    <w:rPr>
                      <w:rFonts w:hint="default" w:ascii="Times New Roman" w:hAnsi="Times New Roman" w:eastAsia="宋体" w:cs="Times New Roman"/>
                      <w:color w:val="auto"/>
                      <w:kern w:val="0"/>
                      <w:sz w:val="18"/>
                      <w:szCs w:val="18"/>
                      <w:highlight w:val="none"/>
                    </w:rPr>
                    <w:t>t/a</w:t>
                  </w:r>
                </w:p>
              </w:tc>
              <w:tc>
                <w:tcPr>
                  <w:tcW w:w="546" w:type="pct"/>
                  <w:noWrap w:val="0"/>
                  <w:vAlign w:val="center"/>
                </w:tcPr>
                <w:p>
                  <w:pPr>
                    <w:spacing w:line="240" w:lineRule="exact"/>
                    <w:jc w:val="center"/>
                    <w:rPr>
                      <w:rFonts w:hint="default" w:ascii="Times New Roman" w:hAnsi="Times New Roman" w:eastAsia="宋体" w:cs="Times New Roman"/>
                      <w:color w:val="auto"/>
                      <w:kern w:val="2"/>
                      <w:sz w:val="21"/>
                      <w:szCs w:val="21"/>
                      <w:lang w:val="en-GB" w:eastAsia="zh-TW" w:bidi="ar-SA"/>
                    </w:rPr>
                  </w:pPr>
                  <w:r>
                    <w:rPr>
                      <w:rFonts w:hint="default" w:ascii="Times New Roman" w:hAnsi="Times New Roman" w:eastAsia="宋体" w:cs="Times New Roman"/>
                      <w:color w:val="auto"/>
                      <w:szCs w:val="21"/>
                    </w:rPr>
                    <w:t>√</w:t>
                  </w:r>
                </w:p>
              </w:tc>
              <w:tc>
                <w:tcPr>
                  <w:tcW w:w="469" w:type="pct"/>
                  <w:noWrap w:val="0"/>
                  <w:vAlign w:val="center"/>
                </w:tcPr>
                <w:p>
                  <w:pPr>
                    <w:spacing w:line="240" w:lineRule="exact"/>
                    <w:jc w:val="center"/>
                    <w:rPr>
                      <w:rFonts w:hint="default" w:ascii="Times New Roman" w:hAnsi="Times New Roman" w:eastAsia="宋体" w:cs="Times New Roman"/>
                      <w:color w:val="auto"/>
                      <w:kern w:val="2"/>
                      <w:sz w:val="21"/>
                      <w:szCs w:val="21"/>
                      <w:lang w:val="en-GB" w:eastAsia="zh-TW" w:bidi="ar-SA"/>
                    </w:rPr>
                  </w:pPr>
                  <w:r>
                    <w:rPr>
                      <w:rFonts w:hint="default" w:ascii="Times New Roman" w:hAnsi="Times New Roman" w:eastAsia="宋体" w:cs="Times New Roman"/>
                      <w:color w:val="auto"/>
                      <w:szCs w:val="21"/>
                    </w:rPr>
                    <w:t>/</w:t>
                  </w:r>
                </w:p>
              </w:tc>
              <w:tc>
                <w:tcPr>
                  <w:tcW w:w="1015" w:type="pct"/>
                  <w:vMerge w:val="continue"/>
                  <w:noWrap w:val="0"/>
                  <w:vAlign w:val="center"/>
                </w:tcPr>
                <w:p>
                  <w:pPr>
                    <w:spacing w:line="240" w:lineRule="exact"/>
                    <w:jc w:val="center"/>
                    <w:rPr>
                      <w:rFonts w:hint="default" w:ascii="Times New Roman" w:hAnsi="Times New Roman" w:eastAsia="宋体" w:cs="Times New Roman"/>
                      <w:color w:val="auto"/>
                      <w:szCs w:val="21"/>
                    </w:rPr>
                  </w:pPr>
                </w:p>
              </w:tc>
            </w:tr>
          </w:tbl>
          <w:p>
            <w:pPr>
              <w:pStyle w:val="183"/>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 xml:space="preserve">2）固体废物产生情况汇总 </w:t>
            </w:r>
          </w:p>
          <w:p>
            <w:pPr>
              <w:pStyle w:val="183"/>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4"/>
                <w:szCs w:val="24"/>
                <w:lang w:val="en-US"/>
              </w:rPr>
            </w:pPr>
            <w:r>
              <w:rPr>
                <w:rFonts w:hint="default" w:ascii="Times New Roman" w:hAnsi="Times New Roman" w:eastAsia="宋体" w:cs="Times New Roman"/>
                <w:color w:val="auto"/>
                <w:sz w:val="24"/>
                <w:szCs w:val="24"/>
                <w:lang w:val="en-US" w:eastAsia="zh-CN"/>
              </w:rPr>
              <w:t>按《固体废物鉴别标准通则》（GB34330-2017）和《 国家危险废物名录》（2016年）的有关要求，对项目固废进行分类。</w:t>
            </w:r>
            <w:r>
              <w:rPr>
                <w:rFonts w:hint="eastAsia" w:ascii="Times New Roman" w:hAnsi="Times New Roman" w:cs="Times New Roman"/>
                <w:color w:val="auto"/>
                <w:sz w:val="24"/>
                <w:szCs w:val="24"/>
                <w:lang w:val="en-US" w:eastAsia="zh-CN"/>
              </w:rPr>
              <w:t>本工程</w:t>
            </w:r>
            <w:r>
              <w:rPr>
                <w:rFonts w:hint="default" w:ascii="Times New Roman" w:hAnsi="Times New Roman" w:eastAsia="宋体" w:cs="Times New Roman"/>
                <w:color w:val="auto"/>
                <w:sz w:val="24"/>
                <w:szCs w:val="24"/>
                <w:lang w:val="en-US" w:eastAsia="zh-CN"/>
              </w:rPr>
              <w:t>固体废物产生情况</w:t>
            </w:r>
            <w:r>
              <w:rPr>
                <w:rFonts w:hint="eastAsia" w:ascii="Times New Roman" w:hAnsi="Times New Roman" w:cs="Times New Roman"/>
                <w:color w:val="auto"/>
                <w:sz w:val="24"/>
                <w:szCs w:val="24"/>
                <w:lang w:val="en-US" w:eastAsia="zh-CN"/>
              </w:rPr>
              <w:t>见表16，固体废物产生情况见表17。</w:t>
            </w:r>
          </w:p>
          <w:p>
            <w:pPr>
              <w:pStyle w:val="17"/>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
                <w:color w:val="auto"/>
                <w:sz w:val="24"/>
                <w:szCs w:val="24"/>
              </w:rPr>
              <w:t>表</w:t>
            </w:r>
            <w:r>
              <w:rPr>
                <w:rFonts w:hint="eastAsia" w:ascii="Times New Roman" w:hAnsi="Times New Roman" w:cs="Times New Roman"/>
                <w:b/>
                <w:color w:val="auto"/>
                <w:sz w:val="24"/>
                <w:szCs w:val="24"/>
                <w:lang w:val="en-US" w:eastAsia="zh-CN"/>
              </w:rPr>
              <w:t xml:space="preserve">16  </w:t>
            </w:r>
            <w:r>
              <w:rPr>
                <w:rFonts w:hint="default" w:ascii="Times New Roman" w:hAnsi="Times New Roman" w:eastAsia="宋体" w:cs="Times New Roman"/>
                <w:b/>
                <w:color w:val="auto"/>
                <w:sz w:val="24"/>
                <w:szCs w:val="24"/>
              </w:rPr>
              <w:t>固体废物产生情况表</w:t>
            </w:r>
          </w:p>
          <w:tbl>
            <w:tblPr>
              <w:tblStyle w:val="30"/>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473"/>
              <w:gridCol w:w="944"/>
              <w:gridCol w:w="616"/>
              <w:gridCol w:w="623"/>
              <w:gridCol w:w="494"/>
              <w:gridCol w:w="947"/>
              <w:gridCol w:w="1034"/>
              <w:gridCol w:w="1075"/>
              <w:gridCol w:w="694"/>
              <w:gridCol w:w="1184"/>
              <w:gridCol w:w="7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5" w:hRule="atLeast"/>
              </w:trPr>
              <w:tc>
                <w:tcPr>
                  <w:tcW w:w="268" w:type="pct"/>
                  <w:noWrap w:val="0"/>
                  <w:vAlign w:val="center"/>
                </w:tcPr>
                <w:p>
                  <w:pPr>
                    <w:snapToGrid w:val="0"/>
                    <w:jc w:val="center"/>
                    <w:rPr>
                      <w:rFonts w:hint="default" w:ascii="Times New Roman" w:hAnsi="Times New Roman" w:eastAsia="宋体" w:cs="Times New Roman"/>
                      <w:snapToGrid w:val="0"/>
                      <w:color w:val="auto"/>
                      <w:kern w:val="0"/>
                      <w:sz w:val="18"/>
                      <w:szCs w:val="18"/>
                    </w:rPr>
                  </w:pPr>
                  <w:r>
                    <w:rPr>
                      <w:rFonts w:hint="default" w:ascii="Times New Roman" w:hAnsi="Times New Roman" w:eastAsia="宋体" w:cs="Times New Roman"/>
                      <w:snapToGrid w:val="0"/>
                      <w:color w:val="auto"/>
                      <w:kern w:val="0"/>
                      <w:sz w:val="18"/>
                      <w:szCs w:val="18"/>
                    </w:rPr>
                    <w:t>序号</w:t>
                  </w:r>
                </w:p>
              </w:tc>
              <w:tc>
                <w:tcPr>
                  <w:tcW w:w="533" w:type="pct"/>
                  <w:noWrap w:val="0"/>
                  <w:vAlign w:val="center"/>
                </w:tcPr>
                <w:p>
                  <w:pPr>
                    <w:snapToGrid w:val="0"/>
                    <w:jc w:val="center"/>
                    <w:rPr>
                      <w:rFonts w:hint="default" w:ascii="Times New Roman" w:hAnsi="Times New Roman" w:eastAsia="宋体" w:cs="Times New Roman"/>
                      <w:snapToGrid w:val="0"/>
                      <w:color w:val="auto"/>
                      <w:kern w:val="0"/>
                      <w:sz w:val="18"/>
                      <w:szCs w:val="18"/>
                    </w:rPr>
                  </w:pPr>
                  <w:r>
                    <w:rPr>
                      <w:rFonts w:hint="default" w:ascii="Times New Roman" w:hAnsi="Times New Roman" w:eastAsia="宋体" w:cs="Times New Roman"/>
                      <w:snapToGrid w:val="0"/>
                      <w:color w:val="auto"/>
                      <w:kern w:val="0"/>
                      <w:sz w:val="18"/>
                      <w:szCs w:val="18"/>
                    </w:rPr>
                    <w:t>固废名称</w:t>
                  </w:r>
                </w:p>
              </w:tc>
              <w:tc>
                <w:tcPr>
                  <w:tcW w:w="348" w:type="pct"/>
                  <w:noWrap w:val="0"/>
                  <w:vAlign w:val="center"/>
                </w:tcPr>
                <w:p>
                  <w:pPr>
                    <w:snapToGrid w:val="0"/>
                    <w:jc w:val="center"/>
                    <w:rPr>
                      <w:rFonts w:hint="default" w:ascii="Times New Roman" w:hAnsi="Times New Roman" w:eastAsia="宋体" w:cs="Times New Roman"/>
                      <w:snapToGrid w:val="0"/>
                      <w:color w:val="auto"/>
                      <w:kern w:val="0"/>
                      <w:sz w:val="18"/>
                      <w:szCs w:val="18"/>
                    </w:rPr>
                  </w:pPr>
                  <w:r>
                    <w:rPr>
                      <w:rFonts w:hint="default" w:ascii="Times New Roman" w:hAnsi="Times New Roman" w:eastAsia="宋体" w:cs="Times New Roman"/>
                      <w:snapToGrid w:val="0"/>
                      <w:color w:val="auto"/>
                      <w:kern w:val="0"/>
                      <w:sz w:val="18"/>
                      <w:szCs w:val="18"/>
                    </w:rPr>
                    <w:t>属性</w:t>
                  </w:r>
                </w:p>
              </w:tc>
              <w:tc>
                <w:tcPr>
                  <w:tcW w:w="352" w:type="pct"/>
                  <w:noWrap w:val="0"/>
                  <w:vAlign w:val="center"/>
                </w:tcPr>
                <w:p>
                  <w:pPr>
                    <w:snapToGrid w:val="0"/>
                    <w:jc w:val="center"/>
                    <w:rPr>
                      <w:rFonts w:hint="default" w:ascii="Times New Roman" w:hAnsi="Times New Roman" w:eastAsia="宋体" w:cs="Times New Roman"/>
                      <w:snapToGrid w:val="0"/>
                      <w:color w:val="auto"/>
                      <w:kern w:val="0"/>
                      <w:sz w:val="18"/>
                      <w:szCs w:val="18"/>
                    </w:rPr>
                  </w:pPr>
                  <w:r>
                    <w:rPr>
                      <w:rFonts w:hint="default" w:ascii="Times New Roman" w:hAnsi="Times New Roman" w:eastAsia="宋体" w:cs="Times New Roman"/>
                      <w:snapToGrid w:val="0"/>
                      <w:color w:val="auto"/>
                      <w:kern w:val="0"/>
                      <w:sz w:val="18"/>
                      <w:szCs w:val="18"/>
                    </w:rPr>
                    <w:t>产生工序</w:t>
                  </w:r>
                </w:p>
              </w:tc>
              <w:tc>
                <w:tcPr>
                  <w:tcW w:w="279" w:type="pct"/>
                  <w:noWrap w:val="0"/>
                  <w:vAlign w:val="center"/>
                </w:tcPr>
                <w:p>
                  <w:pPr>
                    <w:snapToGrid w:val="0"/>
                    <w:jc w:val="center"/>
                    <w:rPr>
                      <w:rFonts w:hint="default" w:ascii="Times New Roman" w:hAnsi="Times New Roman" w:eastAsia="宋体" w:cs="Times New Roman"/>
                      <w:snapToGrid w:val="0"/>
                      <w:color w:val="auto"/>
                      <w:kern w:val="0"/>
                      <w:sz w:val="18"/>
                      <w:szCs w:val="18"/>
                    </w:rPr>
                  </w:pPr>
                  <w:r>
                    <w:rPr>
                      <w:rFonts w:hint="default" w:ascii="Times New Roman" w:hAnsi="Times New Roman" w:eastAsia="宋体" w:cs="Times New Roman"/>
                      <w:snapToGrid w:val="0"/>
                      <w:color w:val="auto"/>
                      <w:kern w:val="0"/>
                      <w:sz w:val="18"/>
                      <w:szCs w:val="18"/>
                    </w:rPr>
                    <w:t>形态</w:t>
                  </w:r>
                </w:p>
              </w:tc>
              <w:tc>
                <w:tcPr>
                  <w:tcW w:w="535" w:type="pct"/>
                  <w:noWrap w:val="0"/>
                  <w:vAlign w:val="center"/>
                </w:tcPr>
                <w:p>
                  <w:pPr>
                    <w:snapToGrid w:val="0"/>
                    <w:jc w:val="center"/>
                    <w:rPr>
                      <w:rFonts w:hint="default" w:ascii="Times New Roman" w:hAnsi="Times New Roman" w:eastAsia="宋体" w:cs="Times New Roman"/>
                      <w:snapToGrid w:val="0"/>
                      <w:color w:val="auto"/>
                      <w:kern w:val="0"/>
                      <w:sz w:val="18"/>
                      <w:szCs w:val="18"/>
                    </w:rPr>
                  </w:pPr>
                  <w:r>
                    <w:rPr>
                      <w:rFonts w:hint="default" w:ascii="Times New Roman" w:hAnsi="Times New Roman" w:eastAsia="宋体" w:cs="Times New Roman"/>
                      <w:snapToGrid w:val="0"/>
                      <w:color w:val="auto"/>
                      <w:kern w:val="0"/>
                      <w:sz w:val="18"/>
                      <w:szCs w:val="18"/>
                    </w:rPr>
                    <w:t>主要成分</w:t>
                  </w:r>
                </w:p>
              </w:tc>
              <w:tc>
                <w:tcPr>
                  <w:tcW w:w="584" w:type="pct"/>
                  <w:noWrap w:val="0"/>
                  <w:vAlign w:val="center"/>
                </w:tcPr>
                <w:p>
                  <w:pPr>
                    <w:snapToGrid w:val="0"/>
                    <w:jc w:val="center"/>
                    <w:rPr>
                      <w:rFonts w:hint="default" w:ascii="Times New Roman" w:hAnsi="Times New Roman" w:eastAsia="宋体" w:cs="Times New Roman"/>
                      <w:snapToGrid w:val="0"/>
                      <w:color w:val="auto"/>
                      <w:kern w:val="0"/>
                      <w:sz w:val="18"/>
                      <w:szCs w:val="18"/>
                    </w:rPr>
                  </w:pPr>
                  <w:r>
                    <w:rPr>
                      <w:rFonts w:hint="default" w:ascii="Times New Roman" w:hAnsi="Times New Roman" w:eastAsia="宋体" w:cs="Times New Roman"/>
                      <w:snapToGrid w:val="0"/>
                      <w:color w:val="auto"/>
                      <w:kern w:val="0"/>
                      <w:sz w:val="18"/>
                      <w:szCs w:val="18"/>
                    </w:rPr>
                    <w:t>危险特性鉴别方法</w:t>
                  </w:r>
                </w:p>
              </w:tc>
              <w:tc>
                <w:tcPr>
                  <w:tcW w:w="607" w:type="pct"/>
                  <w:noWrap w:val="0"/>
                  <w:vAlign w:val="center"/>
                </w:tcPr>
                <w:p>
                  <w:pPr>
                    <w:snapToGrid w:val="0"/>
                    <w:jc w:val="center"/>
                    <w:rPr>
                      <w:rFonts w:hint="default" w:ascii="Times New Roman" w:hAnsi="Times New Roman" w:eastAsia="宋体" w:cs="Times New Roman"/>
                      <w:snapToGrid w:val="0"/>
                      <w:color w:val="auto"/>
                      <w:kern w:val="0"/>
                      <w:sz w:val="18"/>
                      <w:szCs w:val="18"/>
                    </w:rPr>
                  </w:pPr>
                  <w:r>
                    <w:rPr>
                      <w:rFonts w:hint="default" w:ascii="Times New Roman" w:hAnsi="Times New Roman" w:eastAsia="宋体" w:cs="Times New Roman"/>
                      <w:snapToGrid w:val="0"/>
                      <w:color w:val="auto"/>
                      <w:kern w:val="0"/>
                      <w:sz w:val="18"/>
                      <w:szCs w:val="18"/>
                    </w:rPr>
                    <w:t>危险特性</w:t>
                  </w:r>
                </w:p>
              </w:tc>
              <w:tc>
                <w:tcPr>
                  <w:tcW w:w="392" w:type="pct"/>
                  <w:noWrap w:val="0"/>
                  <w:vAlign w:val="center"/>
                </w:tcPr>
                <w:p>
                  <w:pPr>
                    <w:snapToGrid w:val="0"/>
                    <w:jc w:val="center"/>
                    <w:rPr>
                      <w:rFonts w:hint="default" w:ascii="Times New Roman" w:hAnsi="Times New Roman" w:eastAsia="宋体" w:cs="Times New Roman"/>
                      <w:snapToGrid w:val="0"/>
                      <w:color w:val="auto"/>
                      <w:kern w:val="0"/>
                      <w:sz w:val="18"/>
                      <w:szCs w:val="18"/>
                    </w:rPr>
                  </w:pPr>
                  <w:r>
                    <w:rPr>
                      <w:rFonts w:hint="default" w:ascii="Times New Roman" w:hAnsi="Times New Roman" w:eastAsia="宋体" w:cs="Times New Roman"/>
                      <w:snapToGrid w:val="0"/>
                      <w:color w:val="auto"/>
                      <w:kern w:val="0"/>
                      <w:sz w:val="18"/>
                      <w:szCs w:val="18"/>
                    </w:rPr>
                    <w:t>废物类别</w:t>
                  </w:r>
                </w:p>
              </w:tc>
              <w:tc>
                <w:tcPr>
                  <w:tcW w:w="669" w:type="pct"/>
                  <w:noWrap w:val="0"/>
                  <w:vAlign w:val="center"/>
                </w:tcPr>
                <w:p>
                  <w:pPr>
                    <w:snapToGrid w:val="0"/>
                    <w:jc w:val="center"/>
                    <w:rPr>
                      <w:rFonts w:hint="default" w:ascii="Times New Roman" w:hAnsi="Times New Roman" w:eastAsia="宋体" w:cs="Times New Roman"/>
                      <w:snapToGrid w:val="0"/>
                      <w:color w:val="auto"/>
                      <w:kern w:val="0"/>
                      <w:sz w:val="18"/>
                      <w:szCs w:val="18"/>
                    </w:rPr>
                  </w:pPr>
                  <w:r>
                    <w:rPr>
                      <w:rFonts w:hint="default" w:ascii="Times New Roman" w:hAnsi="Times New Roman" w:eastAsia="宋体" w:cs="Times New Roman"/>
                      <w:snapToGrid w:val="0"/>
                      <w:color w:val="auto"/>
                      <w:kern w:val="0"/>
                      <w:sz w:val="18"/>
                      <w:szCs w:val="18"/>
                    </w:rPr>
                    <w:t>废物代码</w:t>
                  </w:r>
                </w:p>
              </w:tc>
              <w:tc>
                <w:tcPr>
                  <w:tcW w:w="427" w:type="pct"/>
                  <w:noWrap w:val="0"/>
                  <w:vAlign w:val="center"/>
                </w:tcPr>
                <w:p>
                  <w:pPr>
                    <w:snapToGrid w:val="0"/>
                    <w:jc w:val="center"/>
                    <w:rPr>
                      <w:rFonts w:hint="default" w:ascii="Times New Roman" w:hAnsi="Times New Roman" w:eastAsia="宋体" w:cs="Times New Roman"/>
                      <w:snapToGrid w:val="0"/>
                      <w:color w:val="auto"/>
                      <w:kern w:val="0"/>
                      <w:sz w:val="18"/>
                      <w:szCs w:val="18"/>
                    </w:rPr>
                  </w:pPr>
                  <w:r>
                    <w:rPr>
                      <w:rFonts w:hint="default" w:ascii="Times New Roman" w:hAnsi="Times New Roman" w:eastAsia="宋体" w:cs="Times New Roman"/>
                      <w:snapToGrid w:val="0"/>
                      <w:color w:val="auto"/>
                      <w:kern w:val="0"/>
                      <w:sz w:val="18"/>
                      <w:szCs w:val="18"/>
                    </w:rPr>
                    <w:t>估算产生量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5" w:hRule="atLeast"/>
              </w:trPr>
              <w:tc>
                <w:tcPr>
                  <w:tcW w:w="268" w:type="pct"/>
                  <w:noWrap w:val="0"/>
                  <w:vAlign w:val="center"/>
                </w:tcPr>
                <w:p>
                  <w:pPr>
                    <w:snapToGrid w:val="0"/>
                    <w:jc w:val="center"/>
                    <w:rPr>
                      <w:rFonts w:hint="default" w:ascii="Times New Roman" w:hAnsi="Times New Roman" w:eastAsia="宋体" w:cs="Times New Roman"/>
                      <w:snapToGrid w:val="0"/>
                      <w:color w:val="auto"/>
                      <w:kern w:val="0"/>
                      <w:sz w:val="18"/>
                      <w:szCs w:val="18"/>
                    </w:rPr>
                  </w:pPr>
                  <w:r>
                    <w:rPr>
                      <w:rFonts w:hint="default" w:ascii="Times New Roman" w:hAnsi="Times New Roman" w:eastAsia="宋体" w:cs="Times New Roman"/>
                      <w:snapToGrid w:val="0"/>
                      <w:color w:val="auto"/>
                      <w:kern w:val="0"/>
                      <w:sz w:val="18"/>
                      <w:szCs w:val="18"/>
                    </w:rPr>
                    <w:t>1</w:t>
                  </w:r>
                </w:p>
              </w:tc>
              <w:tc>
                <w:tcPr>
                  <w:tcW w:w="533" w:type="pct"/>
                  <w:noWrap w:val="0"/>
                  <w:vAlign w:val="center"/>
                </w:tcPr>
                <w:p>
                  <w:pPr>
                    <w:snapToGrid w:val="0"/>
                    <w:jc w:val="center"/>
                    <w:rPr>
                      <w:rFonts w:hint="default" w:ascii="Times New Roman" w:hAnsi="Times New Roman" w:eastAsia="宋体" w:cs="Times New Roman"/>
                      <w:snapToGrid w:val="0"/>
                      <w:color w:val="auto"/>
                      <w:kern w:val="0"/>
                      <w:sz w:val="18"/>
                      <w:szCs w:val="18"/>
                    </w:rPr>
                  </w:pPr>
                  <w:r>
                    <w:rPr>
                      <w:rFonts w:hint="default" w:ascii="Times New Roman" w:hAnsi="Times New Roman" w:eastAsia="宋体" w:cs="Times New Roman"/>
                      <w:color w:val="auto"/>
                      <w:sz w:val="18"/>
                      <w:szCs w:val="18"/>
                    </w:rPr>
                    <w:t>废旧太阳能电池板</w:t>
                  </w:r>
                </w:p>
              </w:tc>
              <w:tc>
                <w:tcPr>
                  <w:tcW w:w="348" w:type="pct"/>
                  <w:noWrap w:val="0"/>
                  <w:vAlign w:val="center"/>
                </w:tcPr>
                <w:p>
                  <w:pPr>
                    <w:snapToGrid w:val="0"/>
                    <w:jc w:val="center"/>
                    <w:rPr>
                      <w:rFonts w:hint="default" w:ascii="Times New Roman" w:hAnsi="Times New Roman" w:eastAsia="宋体" w:cs="Times New Roman"/>
                      <w:snapToGrid w:val="0"/>
                      <w:color w:val="auto"/>
                      <w:kern w:val="0"/>
                      <w:sz w:val="18"/>
                      <w:szCs w:val="18"/>
                    </w:rPr>
                  </w:pPr>
                  <w:r>
                    <w:rPr>
                      <w:rFonts w:hint="default" w:ascii="Times New Roman" w:hAnsi="Times New Roman" w:eastAsia="宋体" w:cs="Times New Roman"/>
                      <w:snapToGrid w:val="0"/>
                      <w:color w:val="auto"/>
                      <w:kern w:val="0"/>
                      <w:sz w:val="18"/>
                      <w:szCs w:val="18"/>
                    </w:rPr>
                    <w:t>一般工业废物</w:t>
                  </w:r>
                </w:p>
              </w:tc>
              <w:tc>
                <w:tcPr>
                  <w:tcW w:w="644" w:type="dxa"/>
                  <w:noWrap w:val="0"/>
                  <w:vAlign w:val="center"/>
                </w:tcPr>
                <w:p>
                  <w:pPr>
                    <w:spacing w:line="240" w:lineRule="exact"/>
                    <w:jc w:val="center"/>
                    <w:rPr>
                      <w:rFonts w:hint="default" w:ascii="Times New Roman" w:hAnsi="Times New Roman" w:eastAsia="宋体" w:cs="Times New Roman"/>
                      <w:snapToGrid w:val="0"/>
                      <w:color w:val="auto"/>
                      <w:kern w:val="0"/>
                      <w:sz w:val="18"/>
                      <w:szCs w:val="18"/>
                      <w:lang w:val="en-US" w:eastAsia="zh-CN"/>
                    </w:rPr>
                  </w:pPr>
                  <w:r>
                    <w:rPr>
                      <w:rFonts w:hint="default" w:ascii="Times New Roman" w:hAnsi="Times New Roman" w:eastAsia="宋体" w:cs="Times New Roman"/>
                      <w:color w:val="auto"/>
                      <w:sz w:val="18"/>
                      <w:szCs w:val="18"/>
                    </w:rPr>
                    <w:t>光伏组件</w:t>
                  </w:r>
                  <w:r>
                    <w:rPr>
                      <w:rFonts w:hint="default" w:ascii="Times New Roman" w:hAnsi="Times New Roman" w:eastAsia="宋体" w:cs="Times New Roman"/>
                      <w:color w:val="auto"/>
                      <w:sz w:val="18"/>
                      <w:szCs w:val="18"/>
                      <w:lang w:val="en-US" w:eastAsia="zh-CN"/>
                    </w:rPr>
                    <w:t>更换</w:t>
                  </w:r>
                </w:p>
              </w:tc>
              <w:tc>
                <w:tcPr>
                  <w:tcW w:w="279" w:type="pct"/>
                  <w:noWrap w:val="0"/>
                  <w:vAlign w:val="center"/>
                </w:tcPr>
                <w:p>
                  <w:pPr>
                    <w:snapToGrid w:val="0"/>
                    <w:jc w:val="center"/>
                    <w:rPr>
                      <w:rFonts w:hint="default" w:ascii="Times New Roman" w:hAnsi="Times New Roman" w:eastAsia="宋体" w:cs="Times New Roman"/>
                      <w:snapToGrid w:val="0"/>
                      <w:color w:val="auto"/>
                      <w:kern w:val="0"/>
                      <w:sz w:val="18"/>
                      <w:szCs w:val="18"/>
                    </w:rPr>
                  </w:pPr>
                  <w:r>
                    <w:rPr>
                      <w:rFonts w:hint="default" w:ascii="Times New Roman" w:hAnsi="Times New Roman" w:eastAsia="宋体" w:cs="Times New Roman"/>
                      <w:snapToGrid w:val="0"/>
                      <w:color w:val="auto"/>
                      <w:kern w:val="0"/>
                      <w:sz w:val="18"/>
                      <w:szCs w:val="18"/>
                    </w:rPr>
                    <w:t>固态</w:t>
                  </w:r>
                </w:p>
              </w:tc>
              <w:tc>
                <w:tcPr>
                  <w:tcW w:w="535" w:type="pct"/>
                  <w:noWrap w:val="0"/>
                  <w:vAlign w:val="center"/>
                </w:tcPr>
                <w:p>
                  <w:pPr>
                    <w:snapToGrid w:val="0"/>
                    <w:jc w:val="center"/>
                    <w:rPr>
                      <w:rFonts w:hint="default" w:ascii="Times New Roman" w:hAnsi="Times New Roman" w:eastAsia="宋体" w:cs="Times New Roman"/>
                      <w:snapToGrid w:val="0"/>
                      <w:color w:val="auto"/>
                      <w:kern w:val="0"/>
                      <w:sz w:val="18"/>
                      <w:szCs w:val="18"/>
                      <w:lang w:eastAsia="zh-CN"/>
                    </w:rPr>
                  </w:pPr>
                  <w:r>
                    <w:rPr>
                      <w:rFonts w:hint="default" w:ascii="Times New Roman" w:hAnsi="Times New Roman" w:eastAsia="宋体" w:cs="Times New Roman"/>
                      <w:snapToGrid w:val="0"/>
                      <w:color w:val="auto"/>
                      <w:kern w:val="0"/>
                      <w:sz w:val="18"/>
                      <w:szCs w:val="18"/>
                      <w:lang w:val="en-US" w:eastAsia="zh-CN"/>
                    </w:rPr>
                    <w:t>单晶硅等</w:t>
                  </w:r>
                </w:p>
              </w:tc>
              <w:tc>
                <w:tcPr>
                  <w:tcW w:w="584" w:type="pct"/>
                  <w:noWrap w:val="0"/>
                  <w:vAlign w:val="center"/>
                </w:tcPr>
                <w:p>
                  <w:pPr>
                    <w:snapToGrid w:val="0"/>
                    <w:jc w:val="center"/>
                    <w:rPr>
                      <w:rFonts w:hint="default" w:ascii="Times New Roman" w:hAnsi="Times New Roman" w:eastAsia="宋体" w:cs="Times New Roman"/>
                      <w:snapToGrid w:val="0"/>
                      <w:color w:val="auto"/>
                      <w:kern w:val="0"/>
                      <w:sz w:val="18"/>
                      <w:szCs w:val="18"/>
                    </w:rPr>
                  </w:pPr>
                  <w:r>
                    <w:rPr>
                      <w:rFonts w:hint="default" w:ascii="Times New Roman" w:hAnsi="Times New Roman" w:eastAsia="宋体" w:cs="Times New Roman"/>
                      <w:snapToGrid w:val="0"/>
                      <w:color w:val="auto"/>
                      <w:kern w:val="0"/>
                      <w:sz w:val="18"/>
                      <w:szCs w:val="18"/>
                    </w:rPr>
                    <w:t>/</w:t>
                  </w:r>
                </w:p>
              </w:tc>
              <w:tc>
                <w:tcPr>
                  <w:tcW w:w="607" w:type="pct"/>
                  <w:noWrap w:val="0"/>
                  <w:vAlign w:val="center"/>
                </w:tcPr>
                <w:p>
                  <w:pPr>
                    <w:snapToGrid w:val="0"/>
                    <w:spacing w:line="280" w:lineRule="exact"/>
                    <w:jc w:val="center"/>
                    <w:rPr>
                      <w:rFonts w:hint="default" w:ascii="Times New Roman" w:hAnsi="Times New Roman" w:eastAsia="宋体" w:cs="Times New Roman"/>
                      <w:snapToGrid w:val="0"/>
                      <w:color w:val="auto"/>
                      <w:kern w:val="0"/>
                      <w:sz w:val="18"/>
                      <w:szCs w:val="18"/>
                    </w:rPr>
                  </w:pPr>
                  <w:r>
                    <w:rPr>
                      <w:rFonts w:hint="default" w:ascii="Times New Roman" w:hAnsi="Times New Roman" w:eastAsia="宋体" w:cs="Times New Roman"/>
                      <w:snapToGrid w:val="0"/>
                      <w:color w:val="auto"/>
                      <w:kern w:val="0"/>
                      <w:sz w:val="18"/>
                      <w:szCs w:val="18"/>
                    </w:rPr>
                    <w:t>/</w:t>
                  </w:r>
                </w:p>
              </w:tc>
              <w:tc>
                <w:tcPr>
                  <w:tcW w:w="392" w:type="pct"/>
                  <w:noWrap w:val="0"/>
                  <w:vAlign w:val="center"/>
                </w:tcPr>
                <w:p>
                  <w:pPr>
                    <w:snapToGrid w:val="0"/>
                    <w:spacing w:line="280" w:lineRule="exact"/>
                    <w:jc w:val="center"/>
                    <w:rPr>
                      <w:rFonts w:hint="default" w:ascii="Times New Roman" w:hAnsi="Times New Roman" w:eastAsia="宋体" w:cs="Times New Roman"/>
                      <w:snapToGrid w:val="0"/>
                      <w:color w:val="auto"/>
                      <w:kern w:val="0"/>
                      <w:sz w:val="18"/>
                      <w:szCs w:val="18"/>
                    </w:rPr>
                  </w:pPr>
                  <w:r>
                    <w:rPr>
                      <w:rFonts w:hint="default" w:ascii="Times New Roman" w:hAnsi="Times New Roman" w:eastAsia="宋体" w:cs="Times New Roman"/>
                      <w:snapToGrid w:val="0"/>
                      <w:color w:val="auto"/>
                      <w:kern w:val="0"/>
                      <w:sz w:val="18"/>
                      <w:szCs w:val="18"/>
                    </w:rPr>
                    <w:t>/</w:t>
                  </w:r>
                </w:p>
              </w:tc>
              <w:tc>
                <w:tcPr>
                  <w:tcW w:w="669" w:type="pct"/>
                  <w:noWrap w:val="0"/>
                  <w:vAlign w:val="center"/>
                </w:tcPr>
                <w:p>
                  <w:pPr>
                    <w:snapToGrid w:val="0"/>
                    <w:spacing w:line="280" w:lineRule="exact"/>
                    <w:jc w:val="center"/>
                    <w:rPr>
                      <w:rFonts w:hint="default" w:ascii="Times New Roman" w:hAnsi="Times New Roman" w:eastAsia="宋体" w:cs="Times New Roman"/>
                      <w:snapToGrid w:val="0"/>
                      <w:color w:val="auto"/>
                      <w:kern w:val="0"/>
                      <w:sz w:val="18"/>
                      <w:szCs w:val="18"/>
                    </w:rPr>
                  </w:pPr>
                  <w:r>
                    <w:rPr>
                      <w:rFonts w:hint="default" w:ascii="Times New Roman" w:hAnsi="Times New Roman" w:eastAsia="宋体" w:cs="Times New Roman"/>
                      <w:snapToGrid w:val="0"/>
                      <w:color w:val="auto"/>
                      <w:kern w:val="0"/>
                      <w:sz w:val="18"/>
                      <w:szCs w:val="18"/>
                    </w:rPr>
                    <w:t>/</w:t>
                  </w:r>
                </w:p>
              </w:tc>
              <w:tc>
                <w:tcPr>
                  <w:tcW w:w="427" w:type="pct"/>
                  <w:noWrap w:val="0"/>
                  <w:vAlign w:val="center"/>
                </w:tcPr>
                <w:p>
                  <w:pPr>
                    <w:spacing w:line="240" w:lineRule="exact"/>
                    <w:jc w:val="center"/>
                    <w:rPr>
                      <w:rFonts w:hint="default" w:ascii="Times New Roman" w:hAnsi="Times New Roman" w:eastAsia="宋体" w:cs="Times New Roman"/>
                      <w:color w:val="auto"/>
                      <w:kern w:val="2"/>
                      <w:sz w:val="18"/>
                      <w:szCs w:val="18"/>
                      <w:lang w:val="en-GB" w:eastAsia="zh-TW" w:bidi="ar-SA"/>
                    </w:rPr>
                  </w:pPr>
                  <w:r>
                    <w:rPr>
                      <w:rFonts w:hint="default" w:ascii="Times New Roman" w:hAnsi="Times New Roman" w:eastAsia="宋体" w:cs="Times New Roman"/>
                      <w:color w:val="auto"/>
                      <w:sz w:val="18"/>
                      <w:szCs w:val="18"/>
                      <w:lang w:val="en-US" w:eastAsia="zh-CN"/>
                    </w:rPr>
                    <w:t>161</w:t>
                  </w:r>
                  <w:r>
                    <w:rPr>
                      <w:rFonts w:hint="default" w:ascii="Times New Roman" w:hAnsi="Times New Roman" w:eastAsia="宋体" w:cs="Times New Roman"/>
                      <w:color w:val="auto"/>
                      <w:sz w:val="18"/>
                      <w:szCs w:val="18"/>
                    </w:rPr>
                    <w:t>块/a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5" w:hRule="atLeast"/>
              </w:trPr>
              <w:tc>
                <w:tcPr>
                  <w:tcW w:w="268" w:type="pct"/>
                  <w:noWrap w:val="0"/>
                  <w:vAlign w:val="center"/>
                </w:tcPr>
                <w:p>
                  <w:pPr>
                    <w:snapToGrid w:val="0"/>
                    <w:jc w:val="center"/>
                    <w:rPr>
                      <w:rFonts w:hint="default" w:ascii="Times New Roman" w:hAnsi="Times New Roman" w:eastAsia="宋体" w:cs="Times New Roman"/>
                      <w:snapToGrid w:val="0"/>
                      <w:color w:val="auto"/>
                      <w:kern w:val="0"/>
                      <w:sz w:val="18"/>
                      <w:szCs w:val="18"/>
                    </w:rPr>
                  </w:pPr>
                  <w:r>
                    <w:rPr>
                      <w:rFonts w:hint="default" w:ascii="Times New Roman" w:hAnsi="Times New Roman" w:eastAsia="宋体" w:cs="Times New Roman"/>
                      <w:snapToGrid w:val="0"/>
                      <w:color w:val="auto"/>
                      <w:kern w:val="0"/>
                      <w:sz w:val="18"/>
                      <w:szCs w:val="18"/>
                    </w:rPr>
                    <w:t>2</w:t>
                  </w:r>
                </w:p>
              </w:tc>
              <w:tc>
                <w:tcPr>
                  <w:tcW w:w="975" w:type="dxa"/>
                  <w:noWrap w:val="0"/>
                  <w:vAlign w:val="center"/>
                </w:tcPr>
                <w:p>
                  <w:pPr>
                    <w:spacing w:line="240" w:lineRule="exact"/>
                    <w:jc w:val="center"/>
                    <w:rPr>
                      <w:rFonts w:hint="default" w:ascii="Times New Roman" w:hAnsi="Times New Roman" w:eastAsia="宋体" w:cs="Times New Roman"/>
                      <w:snapToGrid w:val="0"/>
                      <w:color w:val="auto"/>
                      <w:kern w:val="0"/>
                      <w:sz w:val="18"/>
                      <w:szCs w:val="18"/>
                    </w:rPr>
                  </w:pPr>
                  <w:r>
                    <w:rPr>
                      <w:rFonts w:hint="default" w:ascii="Times New Roman" w:hAnsi="Times New Roman" w:eastAsia="宋体" w:cs="Times New Roman"/>
                      <w:color w:val="auto"/>
                      <w:sz w:val="18"/>
                      <w:szCs w:val="18"/>
                      <w:lang w:val="en-US" w:eastAsia="zh-CN"/>
                    </w:rPr>
                    <w:t>废变压器油</w:t>
                  </w:r>
                </w:p>
              </w:tc>
              <w:tc>
                <w:tcPr>
                  <w:tcW w:w="348" w:type="pct"/>
                  <w:noWrap w:val="0"/>
                  <w:vAlign w:val="center"/>
                </w:tcPr>
                <w:p>
                  <w:pPr>
                    <w:snapToGrid w:val="0"/>
                    <w:jc w:val="center"/>
                    <w:rPr>
                      <w:rFonts w:hint="default" w:ascii="Times New Roman" w:hAnsi="Times New Roman" w:eastAsia="宋体" w:cs="Times New Roman"/>
                      <w:snapToGrid w:val="0"/>
                      <w:color w:val="auto"/>
                      <w:kern w:val="0"/>
                      <w:sz w:val="18"/>
                      <w:szCs w:val="18"/>
                    </w:rPr>
                  </w:pPr>
                  <w:r>
                    <w:rPr>
                      <w:rFonts w:hint="default" w:ascii="Times New Roman" w:hAnsi="Times New Roman" w:eastAsia="宋体" w:cs="Times New Roman"/>
                      <w:snapToGrid w:val="0"/>
                      <w:color w:val="auto"/>
                      <w:kern w:val="0"/>
                      <w:sz w:val="18"/>
                      <w:szCs w:val="18"/>
                    </w:rPr>
                    <w:t>危险废物</w:t>
                  </w:r>
                </w:p>
              </w:tc>
              <w:tc>
                <w:tcPr>
                  <w:tcW w:w="644" w:type="dxa"/>
                  <w:noWrap w:val="0"/>
                  <w:vAlign w:val="center"/>
                </w:tcPr>
                <w:p>
                  <w:pPr>
                    <w:spacing w:line="240" w:lineRule="exact"/>
                    <w:jc w:val="center"/>
                    <w:rPr>
                      <w:rFonts w:hint="default" w:ascii="Times New Roman" w:hAnsi="Times New Roman" w:eastAsia="宋体" w:cs="Times New Roman"/>
                      <w:snapToGrid w:val="0"/>
                      <w:color w:val="auto"/>
                      <w:kern w:val="0"/>
                      <w:sz w:val="18"/>
                      <w:szCs w:val="18"/>
                    </w:rPr>
                  </w:pPr>
                  <w:r>
                    <w:rPr>
                      <w:rFonts w:hint="default" w:ascii="Times New Roman" w:hAnsi="Times New Roman" w:eastAsia="宋体" w:cs="Times New Roman"/>
                      <w:color w:val="auto"/>
                      <w:sz w:val="18"/>
                      <w:szCs w:val="18"/>
                      <w:lang w:val="en-US" w:eastAsia="zh-CN"/>
                    </w:rPr>
                    <w:t>变压器油更换或变压器事故</w:t>
                  </w:r>
                </w:p>
              </w:tc>
              <w:tc>
                <w:tcPr>
                  <w:tcW w:w="279" w:type="pct"/>
                  <w:noWrap w:val="0"/>
                  <w:vAlign w:val="center"/>
                </w:tcPr>
                <w:p>
                  <w:pPr>
                    <w:snapToGrid w:val="0"/>
                    <w:jc w:val="center"/>
                    <w:rPr>
                      <w:rFonts w:hint="default" w:ascii="Times New Roman" w:hAnsi="Times New Roman" w:eastAsia="宋体" w:cs="Times New Roman"/>
                      <w:snapToGrid w:val="0"/>
                      <w:color w:val="auto"/>
                      <w:kern w:val="0"/>
                      <w:sz w:val="18"/>
                      <w:szCs w:val="18"/>
                    </w:rPr>
                  </w:pPr>
                  <w:r>
                    <w:rPr>
                      <w:rFonts w:hint="default" w:ascii="Times New Roman" w:hAnsi="Times New Roman" w:eastAsia="宋体" w:cs="Times New Roman"/>
                      <w:snapToGrid w:val="0"/>
                      <w:color w:val="auto"/>
                      <w:kern w:val="0"/>
                      <w:sz w:val="18"/>
                      <w:szCs w:val="18"/>
                    </w:rPr>
                    <w:t>液态</w:t>
                  </w:r>
                </w:p>
              </w:tc>
              <w:tc>
                <w:tcPr>
                  <w:tcW w:w="535" w:type="pct"/>
                  <w:noWrap w:val="0"/>
                  <w:vAlign w:val="center"/>
                </w:tcPr>
                <w:p>
                  <w:pPr>
                    <w:snapToGrid w:val="0"/>
                    <w:jc w:val="center"/>
                    <w:rPr>
                      <w:rFonts w:hint="default" w:ascii="Times New Roman" w:hAnsi="Times New Roman" w:eastAsia="宋体" w:cs="Times New Roman"/>
                      <w:snapToGrid w:val="0"/>
                      <w:color w:val="auto"/>
                      <w:kern w:val="0"/>
                      <w:sz w:val="18"/>
                      <w:szCs w:val="18"/>
                    </w:rPr>
                  </w:pPr>
                  <w:r>
                    <w:rPr>
                      <w:rFonts w:hint="default" w:ascii="Times New Roman" w:hAnsi="Times New Roman" w:eastAsia="宋体" w:cs="Times New Roman"/>
                      <w:snapToGrid w:val="0"/>
                      <w:color w:val="auto"/>
                      <w:kern w:val="0"/>
                      <w:sz w:val="18"/>
                      <w:szCs w:val="18"/>
                    </w:rPr>
                    <w:t>矿物油</w:t>
                  </w:r>
                </w:p>
              </w:tc>
              <w:tc>
                <w:tcPr>
                  <w:tcW w:w="584" w:type="pct"/>
                  <w:noWrap w:val="0"/>
                  <w:vAlign w:val="center"/>
                </w:tcPr>
                <w:p>
                  <w:pPr>
                    <w:snapToGrid w:val="0"/>
                    <w:jc w:val="center"/>
                    <w:rPr>
                      <w:rFonts w:hint="default" w:ascii="Times New Roman" w:hAnsi="Times New Roman" w:eastAsia="宋体" w:cs="Times New Roman"/>
                      <w:snapToGrid w:val="0"/>
                      <w:color w:val="auto"/>
                      <w:kern w:val="0"/>
                      <w:sz w:val="18"/>
                      <w:szCs w:val="18"/>
                    </w:rPr>
                  </w:pPr>
                  <w:r>
                    <w:rPr>
                      <w:rFonts w:hint="default" w:ascii="Times New Roman" w:hAnsi="Times New Roman" w:eastAsia="宋体" w:cs="Times New Roman"/>
                      <w:snapToGrid w:val="0"/>
                      <w:color w:val="auto"/>
                      <w:kern w:val="0"/>
                      <w:sz w:val="18"/>
                      <w:szCs w:val="18"/>
                    </w:rPr>
                    <w:t>危险废物名录</w:t>
                  </w:r>
                </w:p>
              </w:tc>
              <w:tc>
                <w:tcPr>
                  <w:tcW w:w="607" w:type="pct"/>
                  <w:noWrap w:val="0"/>
                  <w:vAlign w:val="center"/>
                </w:tcPr>
                <w:p>
                  <w:pPr>
                    <w:snapToGrid w:val="0"/>
                    <w:spacing w:line="280" w:lineRule="exact"/>
                    <w:jc w:val="center"/>
                    <w:rPr>
                      <w:rFonts w:hint="default" w:ascii="Times New Roman" w:hAnsi="Times New Roman" w:eastAsia="宋体" w:cs="Times New Roman"/>
                      <w:snapToGrid w:val="0"/>
                      <w:color w:val="auto"/>
                      <w:kern w:val="0"/>
                      <w:sz w:val="18"/>
                      <w:szCs w:val="18"/>
                    </w:rPr>
                  </w:pPr>
                  <w:r>
                    <w:rPr>
                      <w:rFonts w:hint="default" w:ascii="Times New Roman" w:hAnsi="Times New Roman" w:eastAsia="宋体" w:cs="Times New Roman"/>
                      <w:snapToGrid w:val="0"/>
                      <w:color w:val="auto"/>
                      <w:kern w:val="0"/>
                      <w:sz w:val="18"/>
                      <w:szCs w:val="18"/>
                    </w:rPr>
                    <w:t>T，I</w:t>
                  </w:r>
                </w:p>
              </w:tc>
              <w:tc>
                <w:tcPr>
                  <w:tcW w:w="392" w:type="pct"/>
                  <w:noWrap w:val="0"/>
                  <w:vAlign w:val="center"/>
                </w:tcPr>
                <w:p>
                  <w:pPr>
                    <w:snapToGrid w:val="0"/>
                    <w:spacing w:line="280" w:lineRule="exact"/>
                    <w:jc w:val="center"/>
                    <w:rPr>
                      <w:rFonts w:hint="default" w:ascii="Times New Roman" w:hAnsi="Times New Roman" w:eastAsia="宋体" w:cs="Times New Roman"/>
                      <w:snapToGrid w:val="0"/>
                      <w:color w:val="auto"/>
                      <w:kern w:val="0"/>
                      <w:sz w:val="18"/>
                      <w:szCs w:val="18"/>
                    </w:rPr>
                  </w:pPr>
                  <w:r>
                    <w:rPr>
                      <w:rFonts w:hint="default" w:ascii="Times New Roman" w:hAnsi="Times New Roman" w:eastAsia="宋体" w:cs="Times New Roman"/>
                      <w:snapToGrid w:val="0"/>
                      <w:color w:val="auto"/>
                      <w:kern w:val="0"/>
                      <w:sz w:val="18"/>
                      <w:szCs w:val="18"/>
                    </w:rPr>
                    <w:t>HW08</w:t>
                  </w:r>
                </w:p>
              </w:tc>
              <w:tc>
                <w:tcPr>
                  <w:tcW w:w="669" w:type="pct"/>
                  <w:noWrap w:val="0"/>
                  <w:vAlign w:val="center"/>
                </w:tcPr>
                <w:p>
                  <w:pPr>
                    <w:snapToGrid w:val="0"/>
                    <w:spacing w:line="280" w:lineRule="exact"/>
                    <w:jc w:val="center"/>
                    <w:rPr>
                      <w:rFonts w:hint="default" w:ascii="Times New Roman" w:hAnsi="Times New Roman" w:eastAsia="宋体" w:cs="Times New Roman"/>
                      <w:snapToGrid w:val="0"/>
                      <w:color w:val="auto"/>
                      <w:kern w:val="0"/>
                      <w:sz w:val="18"/>
                      <w:szCs w:val="18"/>
                    </w:rPr>
                  </w:pPr>
                  <w:r>
                    <w:rPr>
                      <w:rFonts w:hint="default" w:ascii="Times New Roman" w:hAnsi="Times New Roman" w:eastAsia="宋体" w:cs="Times New Roman"/>
                      <w:snapToGrid w:val="0"/>
                      <w:color w:val="auto"/>
                      <w:kern w:val="0"/>
                      <w:sz w:val="18"/>
                      <w:szCs w:val="18"/>
                    </w:rPr>
                    <w:t>900-220-008</w:t>
                  </w:r>
                </w:p>
              </w:tc>
              <w:tc>
                <w:tcPr>
                  <w:tcW w:w="427" w:type="pct"/>
                  <w:noWrap w:val="0"/>
                  <w:vAlign w:val="center"/>
                </w:tcPr>
                <w:p>
                  <w:pPr>
                    <w:snapToGrid w:val="0"/>
                    <w:jc w:val="center"/>
                    <w:rPr>
                      <w:rFonts w:hint="default" w:ascii="Times New Roman" w:hAnsi="Times New Roman" w:eastAsia="宋体" w:cs="Times New Roman"/>
                      <w:snapToGrid w:val="0"/>
                      <w:color w:val="auto"/>
                      <w:kern w:val="0"/>
                      <w:sz w:val="18"/>
                      <w:szCs w:val="18"/>
                    </w:rPr>
                  </w:pPr>
                  <w:r>
                    <w:rPr>
                      <w:rFonts w:hint="default" w:ascii="Times New Roman" w:hAnsi="Times New Roman" w:eastAsia="宋体" w:cs="Times New Roman"/>
                      <w:snapToGrid w:val="0"/>
                      <w:color w:val="auto"/>
                      <w:kern w:val="0"/>
                      <w:sz w:val="18"/>
                      <w:szCs w:val="18"/>
                      <w:lang w:val="en-US" w:eastAsia="zh-CN"/>
                    </w:rPr>
                    <w:t>15</w:t>
                  </w:r>
                  <w:r>
                    <w:rPr>
                      <w:rFonts w:hint="default" w:ascii="Times New Roman" w:hAnsi="Times New Roman" w:eastAsia="宋体" w:cs="Times New Roman"/>
                      <w:snapToGrid w:val="0"/>
                      <w:color w:val="auto"/>
                      <w:kern w:val="0"/>
                      <w:sz w:val="18"/>
                      <w:szCs w:val="18"/>
                    </w:rPr>
                    <w:t>t/</w:t>
                  </w:r>
                  <w:r>
                    <w:rPr>
                      <w:rFonts w:hint="default" w:ascii="Times New Roman" w:hAnsi="Times New Roman" w:eastAsia="宋体" w:cs="Times New Roman"/>
                      <w:snapToGrid w:val="0"/>
                      <w:color w:val="auto"/>
                      <w:kern w:val="0"/>
                      <w:sz w:val="18"/>
                      <w:szCs w:val="18"/>
                      <w:lang w:val="en-US" w:eastAsia="zh-CN"/>
                    </w:rPr>
                    <w:t>10</w:t>
                  </w:r>
                  <w:r>
                    <w:rPr>
                      <w:rFonts w:hint="default" w:ascii="Times New Roman" w:hAnsi="Times New Roman" w:eastAsia="宋体" w:cs="Times New Roman"/>
                      <w:snapToGrid w:val="0"/>
                      <w:color w:val="auto"/>
                      <w:kern w:val="0"/>
                      <w:sz w:val="18"/>
                      <w:szCs w:val="18"/>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5" w:hRule="atLeast"/>
              </w:trPr>
              <w:tc>
                <w:tcPr>
                  <w:tcW w:w="268" w:type="pct"/>
                  <w:noWrap w:val="0"/>
                  <w:vAlign w:val="center"/>
                </w:tcPr>
                <w:p>
                  <w:pPr>
                    <w:snapToGrid w:val="0"/>
                    <w:jc w:val="center"/>
                    <w:rPr>
                      <w:rFonts w:hint="default" w:ascii="Times New Roman" w:hAnsi="Times New Roman" w:eastAsia="宋体" w:cs="Times New Roman"/>
                      <w:snapToGrid w:val="0"/>
                      <w:color w:val="auto"/>
                      <w:kern w:val="0"/>
                      <w:sz w:val="18"/>
                      <w:szCs w:val="18"/>
                    </w:rPr>
                  </w:pPr>
                  <w:r>
                    <w:rPr>
                      <w:rFonts w:hint="default" w:ascii="Times New Roman" w:hAnsi="Times New Roman" w:eastAsia="宋体" w:cs="Times New Roman"/>
                      <w:snapToGrid w:val="0"/>
                      <w:color w:val="auto"/>
                      <w:kern w:val="0"/>
                      <w:sz w:val="18"/>
                      <w:szCs w:val="18"/>
                    </w:rPr>
                    <w:t>3</w:t>
                  </w:r>
                </w:p>
              </w:tc>
              <w:tc>
                <w:tcPr>
                  <w:tcW w:w="975" w:type="dxa"/>
                  <w:noWrap w:val="0"/>
                  <w:vAlign w:val="center"/>
                </w:tcPr>
                <w:p>
                  <w:pPr>
                    <w:spacing w:line="240" w:lineRule="exact"/>
                    <w:jc w:val="center"/>
                    <w:rPr>
                      <w:rFonts w:hint="default" w:ascii="Times New Roman" w:hAnsi="Times New Roman" w:eastAsia="宋体" w:cs="Times New Roman"/>
                      <w:snapToGrid w:val="0"/>
                      <w:color w:val="auto"/>
                      <w:kern w:val="0"/>
                      <w:sz w:val="18"/>
                      <w:szCs w:val="18"/>
                    </w:rPr>
                  </w:pPr>
                  <w:r>
                    <w:rPr>
                      <w:rFonts w:hint="default" w:ascii="Times New Roman" w:hAnsi="Times New Roman" w:eastAsia="宋体" w:cs="Times New Roman"/>
                      <w:color w:val="auto"/>
                      <w:sz w:val="18"/>
                      <w:szCs w:val="18"/>
                      <w:lang w:val="en-US" w:eastAsia="zh-CN"/>
                    </w:rPr>
                    <w:t>废铅酸蓄电池</w:t>
                  </w:r>
                </w:p>
              </w:tc>
              <w:tc>
                <w:tcPr>
                  <w:tcW w:w="348" w:type="pct"/>
                  <w:noWrap w:val="0"/>
                  <w:vAlign w:val="center"/>
                </w:tcPr>
                <w:p>
                  <w:pPr>
                    <w:snapToGrid w:val="0"/>
                    <w:jc w:val="center"/>
                    <w:rPr>
                      <w:rFonts w:hint="default" w:ascii="Times New Roman" w:hAnsi="Times New Roman" w:eastAsia="宋体" w:cs="Times New Roman"/>
                      <w:snapToGrid w:val="0"/>
                      <w:color w:val="auto"/>
                      <w:kern w:val="0"/>
                      <w:sz w:val="18"/>
                      <w:szCs w:val="18"/>
                    </w:rPr>
                  </w:pPr>
                  <w:r>
                    <w:rPr>
                      <w:rFonts w:hint="default" w:ascii="Times New Roman" w:hAnsi="Times New Roman" w:eastAsia="宋体" w:cs="Times New Roman"/>
                      <w:snapToGrid w:val="0"/>
                      <w:color w:val="auto"/>
                      <w:kern w:val="0"/>
                      <w:sz w:val="18"/>
                      <w:szCs w:val="18"/>
                    </w:rPr>
                    <w:t>危险废物</w:t>
                  </w:r>
                </w:p>
              </w:tc>
              <w:tc>
                <w:tcPr>
                  <w:tcW w:w="644" w:type="dxa"/>
                  <w:noWrap w:val="0"/>
                  <w:vAlign w:val="center"/>
                </w:tcPr>
                <w:p>
                  <w:pPr>
                    <w:spacing w:line="240" w:lineRule="exact"/>
                    <w:jc w:val="center"/>
                    <w:rPr>
                      <w:rFonts w:hint="default" w:ascii="Times New Roman" w:hAnsi="Times New Roman" w:eastAsia="宋体" w:cs="Times New Roman"/>
                      <w:snapToGrid w:val="0"/>
                      <w:color w:val="auto"/>
                      <w:kern w:val="0"/>
                      <w:sz w:val="18"/>
                      <w:szCs w:val="18"/>
                    </w:rPr>
                  </w:pPr>
                  <w:r>
                    <w:rPr>
                      <w:rFonts w:hint="default" w:ascii="Times New Roman" w:hAnsi="Times New Roman" w:eastAsia="宋体" w:cs="Times New Roman"/>
                      <w:color w:val="auto"/>
                      <w:sz w:val="18"/>
                      <w:szCs w:val="18"/>
                      <w:lang w:val="en-US" w:eastAsia="zh-CN"/>
                    </w:rPr>
                    <w:t>蓄电池更换</w:t>
                  </w:r>
                </w:p>
              </w:tc>
              <w:tc>
                <w:tcPr>
                  <w:tcW w:w="279" w:type="pct"/>
                  <w:noWrap w:val="0"/>
                  <w:vAlign w:val="center"/>
                </w:tcPr>
                <w:p>
                  <w:pPr>
                    <w:snapToGrid w:val="0"/>
                    <w:jc w:val="center"/>
                    <w:rPr>
                      <w:rFonts w:hint="default" w:ascii="Times New Roman" w:hAnsi="Times New Roman" w:eastAsia="宋体" w:cs="Times New Roman"/>
                      <w:snapToGrid w:val="0"/>
                      <w:color w:val="auto"/>
                      <w:kern w:val="0"/>
                      <w:sz w:val="18"/>
                      <w:szCs w:val="18"/>
                    </w:rPr>
                  </w:pPr>
                  <w:r>
                    <w:rPr>
                      <w:rFonts w:hint="default" w:ascii="Times New Roman" w:hAnsi="Times New Roman" w:eastAsia="宋体" w:cs="Times New Roman"/>
                      <w:snapToGrid w:val="0"/>
                      <w:color w:val="auto"/>
                      <w:kern w:val="0"/>
                      <w:sz w:val="18"/>
                      <w:szCs w:val="18"/>
                    </w:rPr>
                    <w:t>固态</w:t>
                  </w:r>
                </w:p>
              </w:tc>
              <w:tc>
                <w:tcPr>
                  <w:tcW w:w="535" w:type="pct"/>
                  <w:noWrap w:val="0"/>
                  <w:vAlign w:val="center"/>
                </w:tcPr>
                <w:p>
                  <w:pPr>
                    <w:snapToGrid w:val="0"/>
                    <w:jc w:val="center"/>
                    <w:rPr>
                      <w:rFonts w:hint="default" w:ascii="Times New Roman" w:hAnsi="Times New Roman" w:eastAsia="宋体" w:cs="Times New Roman"/>
                      <w:snapToGrid w:val="0"/>
                      <w:color w:val="auto"/>
                      <w:kern w:val="0"/>
                      <w:sz w:val="18"/>
                      <w:szCs w:val="18"/>
                    </w:rPr>
                  </w:pPr>
                  <w:r>
                    <w:rPr>
                      <w:rFonts w:hint="default" w:ascii="Times New Roman" w:hAnsi="Times New Roman" w:eastAsia="宋体" w:cs="Times New Roman"/>
                      <w:color w:val="auto"/>
                      <w:kern w:val="0"/>
                      <w:sz w:val="18"/>
                      <w:szCs w:val="18"/>
                    </w:rPr>
                    <w:t>铅、酸</w:t>
                  </w:r>
                </w:p>
              </w:tc>
              <w:tc>
                <w:tcPr>
                  <w:tcW w:w="584" w:type="pct"/>
                  <w:noWrap w:val="0"/>
                  <w:vAlign w:val="center"/>
                </w:tcPr>
                <w:p>
                  <w:pPr>
                    <w:snapToGrid w:val="0"/>
                    <w:jc w:val="center"/>
                    <w:rPr>
                      <w:rFonts w:hint="default" w:ascii="Times New Roman" w:hAnsi="Times New Roman" w:eastAsia="宋体" w:cs="Times New Roman"/>
                      <w:snapToGrid w:val="0"/>
                      <w:color w:val="auto"/>
                      <w:kern w:val="0"/>
                      <w:sz w:val="18"/>
                      <w:szCs w:val="18"/>
                    </w:rPr>
                  </w:pPr>
                  <w:r>
                    <w:rPr>
                      <w:rFonts w:hint="default" w:ascii="Times New Roman" w:hAnsi="Times New Roman" w:eastAsia="宋体" w:cs="Times New Roman"/>
                      <w:snapToGrid w:val="0"/>
                      <w:color w:val="auto"/>
                      <w:kern w:val="0"/>
                      <w:sz w:val="18"/>
                      <w:szCs w:val="18"/>
                    </w:rPr>
                    <w:t>危险废物名录</w:t>
                  </w:r>
                </w:p>
              </w:tc>
              <w:tc>
                <w:tcPr>
                  <w:tcW w:w="607" w:type="pct"/>
                  <w:noWrap w:val="0"/>
                  <w:vAlign w:val="center"/>
                </w:tcPr>
                <w:p>
                  <w:pPr>
                    <w:snapToGrid w:val="0"/>
                    <w:spacing w:line="280" w:lineRule="exact"/>
                    <w:jc w:val="center"/>
                    <w:rPr>
                      <w:rFonts w:hint="default" w:ascii="Times New Roman" w:hAnsi="Times New Roman" w:eastAsia="宋体" w:cs="Times New Roman"/>
                      <w:snapToGrid w:val="0"/>
                      <w:color w:val="auto"/>
                      <w:kern w:val="0"/>
                      <w:sz w:val="18"/>
                      <w:szCs w:val="18"/>
                    </w:rPr>
                  </w:pPr>
                  <w:r>
                    <w:rPr>
                      <w:rFonts w:hint="default" w:ascii="Times New Roman" w:hAnsi="Times New Roman" w:eastAsia="宋体" w:cs="Times New Roman"/>
                      <w:snapToGrid w:val="0"/>
                      <w:color w:val="auto"/>
                      <w:kern w:val="0"/>
                      <w:sz w:val="18"/>
                      <w:szCs w:val="18"/>
                    </w:rPr>
                    <w:t>T</w:t>
                  </w:r>
                </w:p>
              </w:tc>
              <w:tc>
                <w:tcPr>
                  <w:tcW w:w="392" w:type="pct"/>
                  <w:noWrap w:val="0"/>
                  <w:vAlign w:val="center"/>
                </w:tcPr>
                <w:p>
                  <w:pPr>
                    <w:snapToGrid w:val="0"/>
                    <w:spacing w:line="280" w:lineRule="exact"/>
                    <w:jc w:val="center"/>
                    <w:rPr>
                      <w:rFonts w:hint="default" w:ascii="Times New Roman" w:hAnsi="Times New Roman" w:eastAsia="宋体" w:cs="Times New Roman"/>
                      <w:snapToGrid w:val="0"/>
                      <w:color w:val="auto"/>
                      <w:kern w:val="0"/>
                      <w:sz w:val="18"/>
                      <w:szCs w:val="18"/>
                    </w:rPr>
                  </w:pPr>
                  <w:r>
                    <w:rPr>
                      <w:rFonts w:hint="default" w:ascii="Times New Roman" w:hAnsi="Times New Roman" w:eastAsia="宋体" w:cs="Times New Roman"/>
                      <w:color w:val="auto"/>
                      <w:kern w:val="0"/>
                      <w:sz w:val="18"/>
                      <w:szCs w:val="18"/>
                    </w:rPr>
                    <w:t>HW49</w:t>
                  </w:r>
                </w:p>
              </w:tc>
              <w:tc>
                <w:tcPr>
                  <w:tcW w:w="669" w:type="pct"/>
                  <w:noWrap w:val="0"/>
                  <w:vAlign w:val="center"/>
                </w:tcPr>
                <w:p>
                  <w:pPr>
                    <w:snapToGrid w:val="0"/>
                    <w:spacing w:line="280" w:lineRule="exact"/>
                    <w:jc w:val="center"/>
                    <w:rPr>
                      <w:rFonts w:hint="default" w:ascii="Times New Roman" w:hAnsi="Times New Roman" w:eastAsia="宋体" w:cs="Times New Roman"/>
                      <w:snapToGrid w:val="0"/>
                      <w:color w:val="auto"/>
                      <w:kern w:val="0"/>
                      <w:sz w:val="18"/>
                      <w:szCs w:val="18"/>
                    </w:rPr>
                  </w:pPr>
                  <w:r>
                    <w:rPr>
                      <w:rFonts w:hint="default" w:ascii="Times New Roman" w:hAnsi="Times New Roman" w:eastAsia="宋体" w:cs="Times New Roman"/>
                      <w:color w:val="auto"/>
                      <w:kern w:val="0"/>
                      <w:sz w:val="18"/>
                      <w:szCs w:val="18"/>
                    </w:rPr>
                    <w:t>900-044-49</w:t>
                  </w:r>
                </w:p>
              </w:tc>
              <w:tc>
                <w:tcPr>
                  <w:tcW w:w="427" w:type="pct"/>
                  <w:noWrap w:val="0"/>
                  <w:vAlign w:val="center"/>
                </w:tcPr>
                <w:p>
                  <w:pPr>
                    <w:snapToGrid w:val="0"/>
                    <w:jc w:val="center"/>
                    <w:rPr>
                      <w:rFonts w:hint="default" w:ascii="Times New Roman" w:hAnsi="Times New Roman" w:eastAsia="宋体" w:cs="Times New Roman"/>
                      <w:snapToGrid w:val="0"/>
                      <w:color w:val="auto"/>
                      <w:kern w:val="0"/>
                      <w:sz w:val="18"/>
                      <w:szCs w:val="18"/>
                    </w:rPr>
                  </w:pPr>
                  <w:r>
                    <w:rPr>
                      <w:rFonts w:hint="default" w:ascii="Times New Roman" w:hAnsi="Times New Roman" w:eastAsia="宋体" w:cs="Times New Roman"/>
                      <w:snapToGrid w:val="0"/>
                      <w:color w:val="auto"/>
                      <w:kern w:val="0"/>
                      <w:sz w:val="18"/>
                      <w:szCs w:val="18"/>
                      <w:lang w:val="en-US" w:eastAsia="zh-CN"/>
                    </w:rPr>
                    <w:t>0.5</w:t>
                  </w:r>
                  <w:r>
                    <w:rPr>
                      <w:rFonts w:hint="default" w:ascii="Times New Roman" w:hAnsi="Times New Roman" w:eastAsia="宋体" w:cs="Times New Roman"/>
                      <w:snapToGrid w:val="0"/>
                      <w:color w:val="auto"/>
                      <w:kern w:val="0"/>
                      <w:sz w:val="18"/>
                      <w:szCs w:val="18"/>
                    </w:rPr>
                    <w:t>t/a</w:t>
                  </w:r>
                </w:p>
              </w:tc>
            </w:tr>
          </w:tbl>
          <w:p>
            <w:pPr>
              <w:pStyle w:val="17"/>
              <w:spacing w:line="300" w:lineRule="exact"/>
              <w:ind w:firstLine="422"/>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表</w:t>
            </w:r>
            <w:r>
              <w:rPr>
                <w:rFonts w:hint="eastAsia" w:ascii="Times New Roman" w:hAnsi="Times New Roman" w:cs="Times New Roman"/>
                <w:b/>
                <w:color w:val="auto"/>
                <w:sz w:val="21"/>
                <w:szCs w:val="21"/>
                <w:lang w:val="en-US" w:eastAsia="zh-CN"/>
              </w:rPr>
              <w:t xml:space="preserve">17 </w:t>
            </w:r>
            <w:r>
              <w:rPr>
                <w:rFonts w:hint="default" w:ascii="Times New Roman" w:hAnsi="Times New Roman" w:eastAsia="宋体" w:cs="Times New Roman"/>
                <w:b/>
                <w:color w:val="auto"/>
                <w:sz w:val="21"/>
                <w:szCs w:val="21"/>
              </w:rPr>
              <w:t xml:space="preserve"> 危险废物汇总</w:t>
            </w:r>
          </w:p>
          <w:tbl>
            <w:tblPr>
              <w:tblStyle w:val="30"/>
              <w:tblW w:w="499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630"/>
              <w:gridCol w:w="602"/>
              <w:gridCol w:w="940"/>
              <w:gridCol w:w="929"/>
              <w:gridCol w:w="894"/>
              <w:gridCol w:w="299"/>
              <w:gridCol w:w="454"/>
              <w:gridCol w:w="914"/>
              <w:gridCol w:w="845"/>
              <w:gridCol w:w="357"/>
              <w:gridCol w:w="19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6" w:hRule="atLeast"/>
              </w:trPr>
              <w:tc>
                <w:tcPr>
                  <w:tcW w:w="358" w:type="pct"/>
                  <w:noWrap w:val="0"/>
                  <w:vAlign w:val="center"/>
                </w:tcPr>
                <w:p>
                  <w:pPr>
                    <w:snapToGrid w:val="0"/>
                    <w:jc w:val="center"/>
                    <w:rPr>
                      <w:rFonts w:hint="default" w:ascii="Times New Roman" w:hAnsi="Times New Roman" w:eastAsia="宋体" w:cs="Times New Roman"/>
                      <w:snapToGrid w:val="0"/>
                      <w:color w:val="auto"/>
                      <w:kern w:val="0"/>
                      <w:sz w:val="18"/>
                      <w:szCs w:val="18"/>
                    </w:rPr>
                  </w:pPr>
                  <w:r>
                    <w:rPr>
                      <w:rFonts w:hint="default" w:ascii="Times New Roman" w:hAnsi="Times New Roman" w:eastAsia="宋体" w:cs="Times New Roman"/>
                      <w:snapToGrid w:val="0"/>
                      <w:color w:val="auto"/>
                      <w:kern w:val="0"/>
                      <w:sz w:val="18"/>
                      <w:szCs w:val="18"/>
                    </w:rPr>
                    <w:t>危险废物名称</w:t>
                  </w:r>
                </w:p>
              </w:tc>
              <w:tc>
                <w:tcPr>
                  <w:tcW w:w="342" w:type="pct"/>
                  <w:noWrap w:val="0"/>
                  <w:vAlign w:val="center"/>
                </w:tcPr>
                <w:p>
                  <w:pPr>
                    <w:snapToGrid w:val="0"/>
                    <w:jc w:val="center"/>
                    <w:rPr>
                      <w:rFonts w:hint="default" w:ascii="Times New Roman" w:hAnsi="Times New Roman" w:eastAsia="宋体" w:cs="Times New Roman"/>
                      <w:snapToGrid w:val="0"/>
                      <w:color w:val="auto"/>
                      <w:kern w:val="0"/>
                      <w:sz w:val="18"/>
                      <w:szCs w:val="18"/>
                    </w:rPr>
                  </w:pPr>
                  <w:r>
                    <w:rPr>
                      <w:rFonts w:hint="default" w:ascii="Times New Roman" w:hAnsi="Times New Roman" w:eastAsia="宋体" w:cs="Times New Roman"/>
                      <w:snapToGrid w:val="0"/>
                      <w:color w:val="auto"/>
                      <w:kern w:val="0"/>
                      <w:sz w:val="18"/>
                      <w:szCs w:val="18"/>
                    </w:rPr>
                    <w:t>危险废物类别</w:t>
                  </w:r>
                </w:p>
              </w:tc>
              <w:tc>
                <w:tcPr>
                  <w:tcW w:w="517" w:type="pct"/>
                  <w:noWrap w:val="0"/>
                  <w:vAlign w:val="center"/>
                </w:tcPr>
                <w:p>
                  <w:pPr>
                    <w:snapToGrid w:val="0"/>
                    <w:jc w:val="center"/>
                    <w:rPr>
                      <w:rFonts w:hint="default" w:ascii="Times New Roman" w:hAnsi="Times New Roman" w:eastAsia="宋体" w:cs="Times New Roman"/>
                      <w:snapToGrid w:val="0"/>
                      <w:color w:val="auto"/>
                      <w:kern w:val="0"/>
                      <w:sz w:val="18"/>
                      <w:szCs w:val="18"/>
                    </w:rPr>
                  </w:pPr>
                  <w:r>
                    <w:rPr>
                      <w:rFonts w:hint="default" w:ascii="Times New Roman" w:hAnsi="Times New Roman" w:eastAsia="宋体" w:cs="Times New Roman"/>
                      <w:snapToGrid w:val="0"/>
                      <w:color w:val="auto"/>
                      <w:kern w:val="0"/>
                      <w:sz w:val="18"/>
                      <w:szCs w:val="18"/>
                    </w:rPr>
                    <w:t>危险废物代码</w:t>
                  </w:r>
                </w:p>
              </w:tc>
              <w:tc>
                <w:tcPr>
                  <w:tcW w:w="527" w:type="pct"/>
                  <w:noWrap w:val="0"/>
                  <w:vAlign w:val="center"/>
                </w:tcPr>
                <w:p>
                  <w:pPr>
                    <w:snapToGrid w:val="0"/>
                    <w:jc w:val="center"/>
                    <w:rPr>
                      <w:rFonts w:hint="default" w:ascii="Times New Roman" w:hAnsi="Times New Roman" w:eastAsia="宋体" w:cs="Times New Roman"/>
                      <w:snapToGrid w:val="0"/>
                      <w:color w:val="auto"/>
                      <w:kern w:val="0"/>
                      <w:sz w:val="18"/>
                      <w:szCs w:val="18"/>
                    </w:rPr>
                  </w:pPr>
                  <w:r>
                    <w:rPr>
                      <w:rFonts w:hint="default" w:ascii="Times New Roman" w:hAnsi="Times New Roman" w:eastAsia="宋体" w:cs="Times New Roman"/>
                      <w:snapToGrid w:val="0"/>
                      <w:color w:val="auto"/>
                      <w:kern w:val="0"/>
                      <w:sz w:val="18"/>
                      <w:szCs w:val="18"/>
                    </w:rPr>
                    <w:t>产生量</w:t>
                  </w:r>
                </w:p>
              </w:tc>
              <w:tc>
                <w:tcPr>
                  <w:tcW w:w="507" w:type="pct"/>
                  <w:noWrap w:val="0"/>
                  <w:vAlign w:val="center"/>
                </w:tcPr>
                <w:p>
                  <w:pPr>
                    <w:snapToGrid w:val="0"/>
                    <w:jc w:val="center"/>
                    <w:rPr>
                      <w:rFonts w:hint="default" w:ascii="Times New Roman" w:hAnsi="Times New Roman" w:eastAsia="宋体" w:cs="Times New Roman"/>
                      <w:snapToGrid w:val="0"/>
                      <w:color w:val="auto"/>
                      <w:kern w:val="0"/>
                      <w:sz w:val="18"/>
                      <w:szCs w:val="18"/>
                    </w:rPr>
                  </w:pPr>
                  <w:r>
                    <w:rPr>
                      <w:rFonts w:hint="default" w:ascii="Times New Roman" w:hAnsi="Times New Roman" w:eastAsia="宋体" w:cs="Times New Roman"/>
                      <w:snapToGrid w:val="0"/>
                      <w:color w:val="auto"/>
                      <w:kern w:val="0"/>
                      <w:sz w:val="18"/>
                      <w:szCs w:val="18"/>
                    </w:rPr>
                    <w:t>产生工序及装置</w:t>
                  </w:r>
                </w:p>
              </w:tc>
              <w:tc>
                <w:tcPr>
                  <w:tcW w:w="171" w:type="pct"/>
                  <w:noWrap w:val="0"/>
                  <w:vAlign w:val="center"/>
                </w:tcPr>
                <w:p>
                  <w:pPr>
                    <w:snapToGrid w:val="0"/>
                    <w:jc w:val="center"/>
                    <w:rPr>
                      <w:rFonts w:hint="default" w:ascii="Times New Roman" w:hAnsi="Times New Roman" w:eastAsia="宋体" w:cs="Times New Roman"/>
                      <w:snapToGrid w:val="0"/>
                      <w:color w:val="auto"/>
                      <w:kern w:val="0"/>
                      <w:sz w:val="18"/>
                      <w:szCs w:val="18"/>
                    </w:rPr>
                  </w:pPr>
                  <w:r>
                    <w:rPr>
                      <w:rFonts w:hint="default" w:ascii="Times New Roman" w:hAnsi="Times New Roman" w:eastAsia="宋体" w:cs="Times New Roman"/>
                      <w:snapToGrid w:val="0"/>
                      <w:color w:val="auto"/>
                      <w:kern w:val="0"/>
                      <w:sz w:val="18"/>
                      <w:szCs w:val="18"/>
                    </w:rPr>
                    <w:t>形态</w:t>
                  </w:r>
                </w:p>
              </w:tc>
              <w:tc>
                <w:tcPr>
                  <w:tcW w:w="258" w:type="pct"/>
                  <w:noWrap w:val="0"/>
                  <w:vAlign w:val="center"/>
                </w:tcPr>
                <w:p>
                  <w:pPr>
                    <w:snapToGrid w:val="0"/>
                    <w:jc w:val="center"/>
                    <w:rPr>
                      <w:rFonts w:hint="default" w:ascii="Times New Roman" w:hAnsi="Times New Roman" w:eastAsia="宋体" w:cs="Times New Roman"/>
                      <w:snapToGrid w:val="0"/>
                      <w:color w:val="auto"/>
                      <w:kern w:val="0"/>
                      <w:sz w:val="18"/>
                      <w:szCs w:val="18"/>
                    </w:rPr>
                  </w:pPr>
                  <w:r>
                    <w:rPr>
                      <w:rFonts w:hint="default" w:ascii="Times New Roman" w:hAnsi="Times New Roman" w:eastAsia="宋体" w:cs="Times New Roman"/>
                      <w:snapToGrid w:val="0"/>
                      <w:color w:val="auto"/>
                      <w:kern w:val="0"/>
                      <w:sz w:val="18"/>
                      <w:szCs w:val="18"/>
                    </w:rPr>
                    <w:t>主要成分</w:t>
                  </w:r>
                </w:p>
              </w:tc>
              <w:tc>
                <w:tcPr>
                  <w:tcW w:w="518" w:type="pct"/>
                  <w:noWrap w:val="0"/>
                  <w:vAlign w:val="center"/>
                </w:tcPr>
                <w:p>
                  <w:pPr>
                    <w:snapToGrid w:val="0"/>
                    <w:jc w:val="center"/>
                    <w:rPr>
                      <w:rFonts w:hint="default" w:ascii="Times New Roman" w:hAnsi="Times New Roman" w:eastAsia="宋体" w:cs="Times New Roman"/>
                      <w:snapToGrid w:val="0"/>
                      <w:color w:val="auto"/>
                      <w:kern w:val="0"/>
                      <w:sz w:val="18"/>
                      <w:szCs w:val="18"/>
                    </w:rPr>
                  </w:pPr>
                  <w:r>
                    <w:rPr>
                      <w:rFonts w:hint="default" w:ascii="Times New Roman" w:hAnsi="Times New Roman" w:eastAsia="宋体" w:cs="Times New Roman"/>
                      <w:snapToGrid w:val="0"/>
                      <w:color w:val="auto"/>
                      <w:kern w:val="0"/>
                      <w:sz w:val="18"/>
                      <w:szCs w:val="18"/>
                    </w:rPr>
                    <w:t>有害成分</w:t>
                  </w:r>
                </w:p>
              </w:tc>
              <w:tc>
                <w:tcPr>
                  <w:tcW w:w="479" w:type="pct"/>
                  <w:noWrap w:val="0"/>
                  <w:vAlign w:val="center"/>
                </w:tcPr>
                <w:p>
                  <w:pPr>
                    <w:snapToGrid w:val="0"/>
                    <w:jc w:val="center"/>
                    <w:rPr>
                      <w:rFonts w:hint="default" w:ascii="Times New Roman" w:hAnsi="Times New Roman" w:eastAsia="宋体" w:cs="Times New Roman"/>
                      <w:snapToGrid w:val="0"/>
                      <w:color w:val="auto"/>
                      <w:kern w:val="0"/>
                      <w:sz w:val="18"/>
                      <w:szCs w:val="18"/>
                    </w:rPr>
                  </w:pPr>
                  <w:r>
                    <w:rPr>
                      <w:rFonts w:hint="default" w:ascii="Times New Roman" w:hAnsi="Times New Roman" w:eastAsia="宋体" w:cs="Times New Roman"/>
                      <w:snapToGrid w:val="0"/>
                      <w:color w:val="auto"/>
                      <w:kern w:val="0"/>
                      <w:sz w:val="18"/>
                      <w:szCs w:val="18"/>
                    </w:rPr>
                    <w:t>产废周期</w:t>
                  </w:r>
                </w:p>
              </w:tc>
              <w:tc>
                <w:tcPr>
                  <w:tcW w:w="203" w:type="pct"/>
                  <w:noWrap w:val="0"/>
                  <w:vAlign w:val="center"/>
                </w:tcPr>
                <w:p>
                  <w:pPr>
                    <w:snapToGrid w:val="0"/>
                    <w:jc w:val="center"/>
                    <w:rPr>
                      <w:rFonts w:hint="default" w:ascii="Times New Roman" w:hAnsi="Times New Roman" w:eastAsia="宋体" w:cs="Times New Roman"/>
                      <w:snapToGrid w:val="0"/>
                      <w:color w:val="auto"/>
                      <w:kern w:val="0"/>
                      <w:sz w:val="18"/>
                      <w:szCs w:val="18"/>
                    </w:rPr>
                  </w:pPr>
                  <w:r>
                    <w:rPr>
                      <w:rFonts w:hint="default" w:ascii="Times New Roman" w:hAnsi="Times New Roman" w:eastAsia="宋体" w:cs="Times New Roman"/>
                      <w:snapToGrid w:val="0"/>
                      <w:color w:val="auto"/>
                      <w:kern w:val="0"/>
                      <w:sz w:val="18"/>
                      <w:szCs w:val="18"/>
                    </w:rPr>
                    <w:t>危险</w:t>
                  </w:r>
                </w:p>
                <w:p>
                  <w:pPr>
                    <w:snapToGrid w:val="0"/>
                    <w:jc w:val="center"/>
                    <w:rPr>
                      <w:rFonts w:hint="default" w:ascii="Times New Roman" w:hAnsi="Times New Roman" w:eastAsia="宋体" w:cs="Times New Roman"/>
                      <w:snapToGrid w:val="0"/>
                      <w:color w:val="auto"/>
                      <w:kern w:val="0"/>
                      <w:sz w:val="18"/>
                      <w:szCs w:val="18"/>
                    </w:rPr>
                  </w:pPr>
                  <w:r>
                    <w:rPr>
                      <w:rFonts w:hint="default" w:ascii="Times New Roman" w:hAnsi="Times New Roman" w:eastAsia="宋体" w:cs="Times New Roman"/>
                      <w:snapToGrid w:val="0"/>
                      <w:color w:val="auto"/>
                      <w:kern w:val="0"/>
                      <w:sz w:val="18"/>
                      <w:szCs w:val="18"/>
                    </w:rPr>
                    <w:t>特性</w:t>
                  </w:r>
                </w:p>
              </w:tc>
              <w:tc>
                <w:tcPr>
                  <w:tcW w:w="1116" w:type="pct"/>
                  <w:noWrap w:val="0"/>
                  <w:vAlign w:val="center"/>
                </w:tcPr>
                <w:p>
                  <w:pPr>
                    <w:snapToGrid w:val="0"/>
                    <w:ind w:left="-57" w:right="-57"/>
                    <w:jc w:val="center"/>
                    <w:rPr>
                      <w:rFonts w:hint="default" w:ascii="Times New Roman" w:hAnsi="Times New Roman" w:eastAsia="宋体" w:cs="Times New Roman"/>
                      <w:snapToGrid w:val="0"/>
                      <w:color w:val="auto"/>
                      <w:kern w:val="0"/>
                      <w:sz w:val="18"/>
                      <w:szCs w:val="18"/>
                    </w:rPr>
                  </w:pPr>
                  <w:r>
                    <w:rPr>
                      <w:rFonts w:hint="default" w:ascii="Times New Roman" w:hAnsi="Times New Roman" w:eastAsia="宋体" w:cs="Times New Roman"/>
                      <w:snapToGrid w:val="0"/>
                      <w:color w:val="auto"/>
                      <w:kern w:val="0"/>
                      <w:sz w:val="18"/>
                      <w:szCs w:val="18"/>
                    </w:rPr>
                    <w:t>污染防治措施*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89" w:hRule="atLeast"/>
              </w:trPr>
              <w:tc>
                <w:tcPr>
                  <w:tcW w:w="654" w:type="dxa"/>
                  <w:noWrap w:val="0"/>
                  <w:vAlign w:val="center"/>
                </w:tcPr>
                <w:p>
                  <w:pPr>
                    <w:spacing w:line="240" w:lineRule="exact"/>
                    <w:jc w:val="center"/>
                    <w:rPr>
                      <w:rFonts w:hint="default" w:ascii="Times New Roman" w:hAnsi="Times New Roman" w:eastAsia="宋体" w:cs="Times New Roman"/>
                      <w:snapToGrid w:val="0"/>
                      <w:color w:val="auto"/>
                      <w:kern w:val="0"/>
                      <w:sz w:val="18"/>
                      <w:szCs w:val="18"/>
                    </w:rPr>
                  </w:pPr>
                  <w:r>
                    <w:rPr>
                      <w:rFonts w:hint="default" w:ascii="Times New Roman" w:hAnsi="Times New Roman" w:eastAsia="宋体" w:cs="Times New Roman"/>
                      <w:color w:val="auto"/>
                      <w:sz w:val="18"/>
                      <w:szCs w:val="18"/>
                      <w:lang w:val="en-US" w:eastAsia="zh-CN"/>
                    </w:rPr>
                    <w:t>废变压器油</w:t>
                  </w:r>
                </w:p>
              </w:tc>
              <w:tc>
                <w:tcPr>
                  <w:tcW w:w="625" w:type="dxa"/>
                  <w:noWrap w:val="0"/>
                  <w:vAlign w:val="center"/>
                </w:tcPr>
                <w:p>
                  <w:pPr>
                    <w:snapToGrid w:val="0"/>
                    <w:spacing w:line="280" w:lineRule="exact"/>
                    <w:jc w:val="center"/>
                    <w:rPr>
                      <w:rFonts w:hint="default" w:ascii="Times New Roman" w:hAnsi="Times New Roman" w:eastAsia="宋体" w:cs="Times New Roman"/>
                      <w:snapToGrid w:val="0"/>
                      <w:color w:val="auto"/>
                      <w:kern w:val="0"/>
                      <w:sz w:val="18"/>
                      <w:szCs w:val="18"/>
                    </w:rPr>
                  </w:pPr>
                  <w:r>
                    <w:rPr>
                      <w:rFonts w:hint="default" w:ascii="Times New Roman" w:hAnsi="Times New Roman" w:eastAsia="宋体" w:cs="Times New Roman"/>
                      <w:snapToGrid w:val="0"/>
                      <w:color w:val="auto"/>
                      <w:kern w:val="0"/>
                      <w:sz w:val="18"/>
                      <w:szCs w:val="18"/>
                    </w:rPr>
                    <w:t>HW08</w:t>
                  </w:r>
                </w:p>
              </w:tc>
              <w:tc>
                <w:tcPr>
                  <w:tcW w:w="945" w:type="dxa"/>
                  <w:noWrap w:val="0"/>
                  <w:vAlign w:val="center"/>
                </w:tcPr>
                <w:p>
                  <w:pPr>
                    <w:snapToGrid w:val="0"/>
                    <w:spacing w:line="280" w:lineRule="exact"/>
                    <w:jc w:val="center"/>
                    <w:rPr>
                      <w:rFonts w:hint="default" w:ascii="Times New Roman" w:hAnsi="Times New Roman" w:eastAsia="宋体" w:cs="Times New Roman"/>
                      <w:snapToGrid w:val="0"/>
                      <w:color w:val="auto"/>
                      <w:kern w:val="0"/>
                      <w:sz w:val="18"/>
                      <w:szCs w:val="18"/>
                    </w:rPr>
                  </w:pPr>
                  <w:r>
                    <w:rPr>
                      <w:rFonts w:hint="default" w:ascii="Times New Roman" w:hAnsi="Times New Roman" w:eastAsia="宋体" w:cs="Times New Roman"/>
                      <w:snapToGrid w:val="0"/>
                      <w:color w:val="auto"/>
                      <w:kern w:val="0"/>
                      <w:sz w:val="18"/>
                      <w:szCs w:val="18"/>
                    </w:rPr>
                    <w:t>900-220-008</w:t>
                  </w:r>
                </w:p>
              </w:tc>
              <w:tc>
                <w:tcPr>
                  <w:tcW w:w="963" w:type="dxa"/>
                  <w:noWrap w:val="0"/>
                  <w:vAlign w:val="center"/>
                </w:tcPr>
                <w:p>
                  <w:pPr>
                    <w:snapToGrid w:val="0"/>
                    <w:jc w:val="center"/>
                    <w:rPr>
                      <w:rFonts w:hint="default" w:ascii="Times New Roman" w:hAnsi="Times New Roman" w:eastAsia="宋体" w:cs="Times New Roman"/>
                      <w:snapToGrid w:val="0"/>
                      <w:color w:val="auto"/>
                      <w:kern w:val="0"/>
                      <w:sz w:val="18"/>
                      <w:szCs w:val="18"/>
                    </w:rPr>
                  </w:pPr>
                  <w:r>
                    <w:rPr>
                      <w:rFonts w:hint="default" w:ascii="Times New Roman" w:hAnsi="Times New Roman" w:eastAsia="宋体" w:cs="Times New Roman"/>
                      <w:snapToGrid w:val="0"/>
                      <w:color w:val="auto"/>
                      <w:kern w:val="0"/>
                      <w:sz w:val="18"/>
                      <w:szCs w:val="18"/>
                      <w:lang w:val="en-US" w:eastAsia="zh-CN"/>
                    </w:rPr>
                    <w:t>15</w:t>
                  </w:r>
                  <w:r>
                    <w:rPr>
                      <w:rFonts w:hint="default" w:ascii="Times New Roman" w:hAnsi="Times New Roman" w:eastAsia="宋体" w:cs="Times New Roman"/>
                      <w:snapToGrid w:val="0"/>
                      <w:color w:val="auto"/>
                      <w:kern w:val="0"/>
                      <w:sz w:val="18"/>
                      <w:szCs w:val="18"/>
                    </w:rPr>
                    <w:t>t/</w:t>
                  </w:r>
                  <w:r>
                    <w:rPr>
                      <w:rFonts w:hint="default" w:ascii="Times New Roman" w:hAnsi="Times New Roman" w:eastAsia="宋体" w:cs="Times New Roman"/>
                      <w:snapToGrid w:val="0"/>
                      <w:color w:val="auto"/>
                      <w:kern w:val="0"/>
                      <w:sz w:val="18"/>
                      <w:szCs w:val="18"/>
                      <w:lang w:val="en-US" w:eastAsia="zh-CN"/>
                    </w:rPr>
                    <w:t>10</w:t>
                  </w:r>
                  <w:r>
                    <w:rPr>
                      <w:rFonts w:hint="default" w:ascii="Times New Roman" w:hAnsi="Times New Roman" w:eastAsia="宋体" w:cs="Times New Roman"/>
                      <w:snapToGrid w:val="0"/>
                      <w:color w:val="auto"/>
                      <w:kern w:val="0"/>
                      <w:sz w:val="18"/>
                      <w:szCs w:val="18"/>
                    </w:rPr>
                    <w:t>a</w:t>
                  </w:r>
                </w:p>
              </w:tc>
              <w:tc>
                <w:tcPr>
                  <w:tcW w:w="927" w:type="dxa"/>
                  <w:noWrap w:val="0"/>
                  <w:vAlign w:val="center"/>
                </w:tcPr>
                <w:p>
                  <w:pPr>
                    <w:spacing w:line="240" w:lineRule="exact"/>
                    <w:jc w:val="center"/>
                    <w:rPr>
                      <w:rFonts w:hint="default" w:ascii="Times New Roman" w:hAnsi="Times New Roman" w:eastAsia="宋体" w:cs="Times New Roman"/>
                      <w:snapToGrid w:val="0"/>
                      <w:color w:val="auto"/>
                      <w:kern w:val="0"/>
                      <w:sz w:val="18"/>
                      <w:szCs w:val="18"/>
                    </w:rPr>
                  </w:pPr>
                  <w:r>
                    <w:rPr>
                      <w:rFonts w:hint="default" w:ascii="Times New Roman" w:hAnsi="Times New Roman" w:eastAsia="宋体" w:cs="Times New Roman"/>
                      <w:color w:val="auto"/>
                      <w:sz w:val="18"/>
                      <w:szCs w:val="18"/>
                      <w:lang w:val="en-US" w:eastAsia="zh-CN"/>
                    </w:rPr>
                    <w:t>变压器油更换或变压器事故</w:t>
                  </w:r>
                </w:p>
              </w:tc>
              <w:tc>
                <w:tcPr>
                  <w:tcW w:w="171" w:type="pct"/>
                  <w:noWrap w:val="0"/>
                  <w:vAlign w:val="center"/>
                </w:tcPr>
                <w:p>
                  <w:pPr>
                    <w:snapToGrid w:val="0"/>
                    <w:jc w:val="center"/>
                    <w:rPr>
                      <w:rFonts w:hint="default" w:ascii="Times New Roman" w:hAnsi="Times New Roman" w:eastAsia="宋体" w:cs="Times New Roman"/>
                      <w:snapToGrid w:val="0"/>
                      <w:color w:val="auto"/>
                      <w:kern w:val="0"/>
                      <w:sz w:val="18"/>
                      <w:szCs w:val="18"/>
                    </w:rPr>
                  </w:pPr>
                  <w:r>
                    <w:rPr>
                      <w:rFonts w:hint="default" w:ascii="Times New Roman" w:hAnsi="Times New Roman" w:eastAsia="宋体" w:cs="Times New Roman"/>
                      <w:snapToGrid w:val="0"/>
                      <w:color w:val="auto"/>
                      <w:kern w:val="0"/>
                      <w:sz w:val="18"/>
                      <w:szCs w:val="18"/>
                    </w:rPr>
                    <w:t>液态</w:t>
                  </w:r>
                </w:p>
              </w:tc>
              <w:tc>
                <w:tcPr>
                  <w:tcW w:w="258" w:type="pct"/>
                  <w:noWrap w:val="0"/>
                  <w:vAlign w:val="center"/>
                </w:tcPr>
                <w:p>
                  <w:pPr>
                    <w:snapToGrid w:val="0"/>
                    <w:jc w:val="center"/>
                    <w:rPr>
                      <w:rFonts w:hint="default" w:ascii="Times New Roman" w:hAnsi="Times New Roman" w:eastAsia="宋体" w:cs="Times New Roman"/>
                      <w:snapToGrid w:val="0"/>
                      <w:color w:val="auto"/>
                      <w:kern w:val="0"/>
                      <w:sz w:val="18"/>
                      <w:szCs w:val="18"/>
                    </w:rPr>
                  </w:pPr>
                  <w:r>
                    <w:rPr>
                      <w:rFonts w:hint="default" w:ascii="Times New Roman" w:hAnsi="Times New Roman" w:eastAsia="宋体" w:cs="Times New Roman"/>
                      <w:snapToGrid w:val="0"/>
                      <w:color w:val="auto"/>
                      <w:kern w:val="0"/>
                      <w:sz w:val="18"/>
                      <w:szCs w:val="18"/>
                    </w:rPr>
                    <w:t>矿物油</w:t>
                  </w:r>
                </w:p>
              </w:tc>
              <w:tc>
                <w:tcPr>
                  <w:tcW w:w="518" w:type="pct"/>
                  <w:noWrap w:val="0"/>
                  <w:vAlign w:val="center"/>
                </w:tcPr>
                <w:p>
                  <w:pPr>
                    <w:snapToGrid w:val="0"/>
                    <w:jc w:val="center"/>
                    <w:rPr>
                      <w:rFonts w:hint="default" w:ascii="Times New Roman" w:hAnsi="Times New Roman" w:eastAsia="宋体" w:cs="Times New Roman"/>
                      <w:snapToGrid w:val="0"/>
                      <w:color w:val="auto"/>
                      <w:kern w:val="0"/>
                      <w:sz w:val="18"/>
                      <w:szCs w:val="18"/>
                    </w:rPr>
                  </w:pPr>
                  <w:r>
                    <w:rPr>
                      <w:rFonts w:hint="default" w:ascii="Times New Roman" w:hAnsi="Times New Roman" w:eastAsia="宋体" w:cs="Times New Roman"/>
                      <w:snapToGrid w:val="0"/>
                      <w:color w:val="auto"/>
                      <w:kern w:val="0"/>
                      <w:sz w:val="18"/>
                      <w:szCs w:val="18"/>
                    </w:rPr>
                    <w:t>矿物油</w:t>
                  </w:r>
                </w:p>
              </w:tc>
              <w:tc>
                <w:tcPr>
                  <w:tcW w:w="479" w:type="pct"/>
                  <w:noWrap w:val="0"/>
                  <w:vAlign w:val="center"/>
                </w:tcPr>
                <w:p>
                  <w:pPr>
                    <w:snapToGrid w:val="0"/>
                    <w:ind w:left="-57" w:right="-57"/>
                    <w:jc w:val="center"/>
                    <w:rPr>
                      <w:rFonts w:hint="default" w:ascii="Times New Roman" w:hAnsi="Times New Roman" w:eastAsia="宋体" w:cs="Times New Roman"/>
                      <w:snapToGrid w:val="0"/>
                      <w:color w:val="auto"/>
                      <w:kern w:val="0"/>
                      <w:sz w:val="18"/>
                      <w:szCs w:val="18"/>
                    </w:rPr>
                  </w:pPr>
                  <w:r>
                    <w:rPr>
                      <w:rFonts w:hint="default" w:ascii="Times New Roman" w:hAnsi="Times New Roman" w:eastAsia="宋体" w:cs="Times New Roman"/>
                      <w:snapToGrid w:val="0"/>
                      <w:color w:val="auto"/>
                      <w:kern w:val="0"/>
                      <w:sz w:val="18"/>
                      <w:szCs w:val="18"/>
                      <w:lang w:val="en-US" w:eastAsia="zh-CN"/>
                    </w:rPr>
                    <w:t>10年</w:t>
                  </w:r>
                  <w:r>
                    <w:rPr>
                      <w:rFonts w:hint="default" w:ascii="Times New Roman" w:hAnsi="Times New Roman" w:eastAsia="宋体" w:cs="Times New Roman"/>
                      <w:snapToGrid w:val="0"/>
                      <w:color w:val="auto"/>
                      <w:kern w:val="0"/>
                      <w:sz w:val="18"/>
                      <w:szCs w:val="18"/>
                    </w:rPr>
                    <w:t>一次</w:t>
                  </w:r>
                </w:p>
              </w:tc>
              <w:tc>
                <w:tcPr>
                  <w:tcW w:w="203" w:type="pct"/>
                  <w:noWrap w:val="0"/>
                  <w:vAlign w:val="center"/>
                </w:tcPr>
                <w:p>
                  <w:pPr>
                    <w:snapToGrid w:val="0"/>
                    <w:spacing w:line="280" w:lineRule="exact"/>
                    <w:jc w:val="center"/>
                    <w:rPr>
                      <w:rFonts w:hint="default" w:ascii="Times New Roman" w:hAnsi="Times New Roman" w:eastAsia="宋体" w:cs="Times New Roman"/>
                      <w:snapToGrid w:val="0"/>
                      <w:color w:val="auto"/>
                      <w:kern w:val="0"/>
                      <w:sz w:val="18"/>
                      <w:szCs w:val="18"/>
                    </w:rPr>
                  </w:pPr>
                  <w:r>
                    <w:rPr>
                      <w:rFonts w:hint="default" w:ascii="Times New Roman" w:hAnsi="Times New Roman" w:eastAsia="宋体" w:cs="Times New Roman"/>
                      <w:snapToGrid w:val="0"/>
                      <w:color w:val="auto"/>
                      <w:kern w:val="0"/>
                      <w:sz w:val="18"/>
                      <w:szCs w:val="18"/>
                    </w:rPr>
                    <w:t>T，I</w:t>
                  </w:r>
                </w:p>
              </w:tc>
              <w:tc>
                <w:tcPr>
                  <w:tcW w:w="1116" w:type="pct"/>
                  <w:vMerge w:val="restart"/>
                  <w:noWrap w:val="0"/>
                  <w:vAlign w:val="center"/>
                </w:tcPr>
                <w:p>
                  <w:pPr>
                    <w:snapToGrid w:val="0"/>
                    <w:jc w:val="center"/>
                    <w:rPr>
                      <w:rFonts w:hint="default" w:ascii="Times New Roman" w:hAnsi="Times New Roman" w:eastAsia="宋体" w:cs="Times New Roman"/>
                      <w:snapToGrid w:val="0"/>
                      <w:color w:val="auto"/>
                      <w:kern w:val="0"/>
                      <w:sz w:val="18"/>
                      <w:szCs w:val="18"/>
                    </w:rPr>
                  </w:pPr>
                  <w:r>
                    <w:rPr>
                      <w:rFonts w:hint="default" w:ascii="Times New Roman" w:hAnsi="Times New Roman" w:eastAsia="宋体" w:cs="Times New Roman"/>
                      <w:snapToGrid w:val="0"/>
                      <w:color w:val="auto"/>
                      <w:kern w:val="0"/>
                      <w:sz w:val="18"/>
                      <w:szCs w:val="18"/>
                    </w:rPr>
                    <w:t>暂存于厂内危废</w:t>
                  </w:r>
                  <w:r>
                    <w:rPr>
                      <w:rFonts w:hint="default" w:ascii="Times New Roman" w:hAnsi="Times New Roman" w:eastAsia="宋体" w:cs="Times New Roman"/>
                      <w:snapToGrid w:val="0"/>
                      <w:color w:val="auto"/>
                      <w:kern w:val="0"/>
                      <w:sz w:val="18"/>
                      <w:szCs w:val="18"/>
                      <w:lang w:val="en-US" w:eastAsia="zh-CN"/>
                    </w:rPr>
                    <w:t>暂存间</w:t>
                  </w:r>
                  <w:r>
                    <w:rPr>
                      <w:rFonts w:hint="default" w:ascii="Times New Roman" w:hAnsi="Times New Roman" w:eastAsia="宋体" w:cs="Times New Roman"/>
                      <w:snapToGrid w:val="0"/>
                      <w:color w:val="auto"/>
                      <w:kern w:val="0"/>
                      <w:sz w:val="18"/>
                      <w:szCs w:val="18"/>
                    </w:rPr>
                    <w:t>内，</w:t>
                  </w:r>
                  <w:r>
                    <w:rPr>
                      <w:rFonts w:hint="default" w:ascii="Times New Roman" w:hAnsi="Times New Roman" w:eastAsia="宋体" w:cs="Times New Roman"/>
                      <w:snapToGrid w:val="0"/>
                      <w:color w:val="auto"/>
                      <w:kern w:val="0"/>
                      <w:sz w:val="18"/>
                      <w:szCs w:val="18"/>
                      <w:lang w:val="en-US" w:eastAsia="zh-CN"/>
                    </w:rPr>
                    <w:t>暂存间</w:t>
                  </w:r>
                  <w:r>
                    <w:rPr>
                      <w:rFonts w:hint="default" w:ascii="Times New Roman" w:hAnsi="Times New Roman" w:eastAsia="宋体" w:cs="Times New Roman"/>
                      <w:snapToGrid w:val="0"/>
                      <w:color w:val="auto"/>
                      <w:kern w:val="0"/>
                      <w:sz w:val="18"/>
                      <w:szCs w:val="18"/>
                    </w:rPr>
                    <w:t>地面均刷环氧地坪防渗，</w:t>
                  </w:r>
                  <w:r>
                    <w:rPr>
                      <w:rFonts w:hint="default" w:ascii="Times New Roman" w:hAnsi="Times New Roman" w:eastAsia="宋体" w:cs="Times New Roman"/>
                      <w:snapToGrid w:val="0"/>
                      <w:color w:val="auto"/>
                      <w:kern w:val="0"/>
                      <w:sz w:val="18"/>
                      <w:szCs w:val="18"/>
                      <w:lang w:val="en-US" w:eastAsia="zh-CN"/>
                    </w:rPr>
                    <w:t>危</w:t>
                  </w:r>
                  <w:r>
                    <w:rPr>
                      <w:rFonts w:hint="default" w:ascii="Times New Roman" w:hAnsi="Times New Roman" w:eastAsia="宋体" w:cs="Times New Roman"/>
                      <w:snapToGrid w:val="0"/>
                      <w:color w:val="auto"/>
                      <w:kern w:val="0"/>
                      <w:sz w:val="18"/>
                      <w:szCs w:val="18"/>
                    </w:rPr>
                    <w:t>废分区域堆放，并且</w:t>
                  </w:r>
                  <w:r>
                    <w:rPr>
                      <w:rFonts w:hint="default" w:ascii="Times New Roman" w:hAnsi="Times New Roman" w:eastAsia="宋体" w:cs="Times New Roman"/>
                      <w:snapToGrid w:val="0"/>
                      <w:color w:val="auto"/>
                      <w:kern w:val="0"/>
                      <w:sz w:val="18"/>
                      <w:szCs w:val="18"/>
                      <w:lang w:val="en-US" w:eastAsia="zh-CN"/>
                    </w:rPr>
                    <w:t>暂存间</w:t>
                  </w:r>
                  <w:r>
                    <w:rPr>
                      <w:rFonts w:hint="default" w:ascii="Times New Roman" w:hAnsi="Times New Roman" w:eastAsia="宋体" w:cs="Times New Roman"/>
                      <w:snapToGrid w:val="0"/>
                      <w:color w:val="auto"/>
                      <w:kern w:val="0"/>
                      <w:sz w:val="18"/>
                      <w:szCs w:val="18"/>
                    </w:rPr>
                    <w:t>规范设置危险废物责任制公告牌、危险废物标识牌和警示标志，以及包装容器标签。项目危险固废</w:t>
                  </w:r>
                  <w:r>
                    <w:rPr>
                      <w:rFonts w:hint="default" w:ascii="Times New Roman" w:hAnsi="Times New Roman" w:eastAsia="宋体" w:cs="Times New Roman"/>
                      <w:snapToGrid w:val="0"/>
                      <w:color w:val="auto"/>
                      <w:kern w:val="0"/>
                      <w:sz w:val="18"/>
                      <w:szCs w:val="18"/>
                      <w:lang w:val="en-US" w:eastAsia="zh-CN"/>
                    </w:rPr>
                    <w:t>废变压器油</w:t>
                  </w:r>
                  <w:r>
                    <w:rPr>
                      <w:rFonts w:hint="default" w:ascii="Times New Roman" w:hAnsi="Times New Roman" w:eastAsia="宋体" w:cs="Times New Roman"/>
                      <w:snapToGrid w:val="0"/>
                      <w:color w:val="auto"/>
                      <w:kern w:val="0"/>
                      <w:sz w:val="18"/>
                      <w:szCs w:val="18"/>
                    </w:rPr>
                    <w:t>用PE桶包装存放危废堆场符合《危险废物贮存污染控制标准》规定要求。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63" w:hRule="atLeast"/>
              </w:trPr>
              <w:tc>
                <w:tcPr>
                  <w:tcW w:w="654" w:type="dxa"/>
                  <w:noWrap w:val="0"/>
                  <w:vAlign w:val="center"/>
                </w:tcPr>
                <w:p>
                  <w:pPr>
                    <w:spacing w:line="240" w:lineRule="exact"/>
                    <w:jc w:val="center"/>
                    <w:rPr>
                      <w:rFonts w:hint="default" w:ascii="Times New Roman" w:hAnsi="Times New Roman" w:eastAsia="宋体" w:cs="Times New Roman"/>
                      <w:snapToGrid w:val="0"/>
                      <w:color w:val="auto"/>
                      <w:kern w:val="0"/>
                      <w:sz w:val="18"/>
                      <w:szCs w:val="18"/>
                    </w:rPr>
                  </w:pPr>
                  <w:r>
                    <w:rPr>
                      <w:rFonts w:hint="default" w:ascii="Times New Roman" w:hAnsi="Times New Roman" w:eastAsia="宋体" w:cs="Times New Roman"/>
                      <w:color w:val="auto"/>
                      <w:sz w:val="18"/>
                      <w:szCs w:val="18"/>
                      <w:lang w:val="en-US" w:eastAsia="zh-CN"/>
                    </w:rPr>
                    <w:t>废铅酸蓄电池</w:t>
                  </w:r>
                </w:p>
              </w:tc>
              <w:tc>
                <w:tcPr>
                  <w:tcW w:w="625" w:type="dxa"/>
                  <w:noWrap w:val="0"/>
                  <w:vAlign w:val="center"/>
                </w:tcPr>
                <w:p>
                  <w:pPr>
                    <w:snapToGrid w:val="0"/>
                    <w:spacing w:line="280" w:lineRule="exact"/>
                    <w:jc w:val="center"/>
                    <w:rPr>
                      <w:rFonts w:hint="default" w:ascii="Times New Roman" w:hAnsi="Times New Roman" w:eastAsia="宋体" w:cs="Times New Roman"/>
                      <w:snapToGrid w:val="0"/>
                      <w:color w:val="auto"/>
                      <w:kern w:val="0"/>
                      <w:sz w:val="18"/>
                      <w:szCs w:val="18"/>
                    </w:rPr>
                  </w:pPr>
                  <w:r>
                    <w:rPr>
                      <w:rFonts w:hint="default" w:ascii="Times New Roman" w:hAnsi="Times New Roman" w:eastAsia="宋体" w:cs="Times New Roman"/>
                      <w:color w:val="auto"/>
                      <w:kern w:val="0"/>
                      <w:sz w:val="18"/>
                      <w:szCs w:val="18"/>
                    </w:rPr>
                    <w:t>HW49</w:t>
                  </w:r>
                </w:p>
              </w:tc>
              <w:tc>
                <w:tcPr>
                  <w:tcW w:w="945" w:type="dxa"/>
                  <w:noWrap w:val="0"/>
                  <w:vAlign w:val="center"/>
                </w:tcPr>
                <w:p>
                  <w:pPr>
                    <w:snapToGrid w:val="0"/>
                    <w:spacing w:line="280" w:lineRule="exact"/>
                    <w:jc w:val="center"/>
                    <w:rPr>
                      <w:rFonts w:hint="default" w:ascii="Times New Roman" w:hAnsi="Times New Roman" w:eastAsia="宋体" w:cs="Times New Roman"/>
                      <w:snapToGrid w:val="0"/>
                      <w:color w:val="auto"/>
                      <w:kern w:val="0"/>
                      <w:sz w:val="18"/>
                      <w:szCs w:val="18"/>
                    </w:rPr>
                  </w:pPr>
                  <w:r>
                    <w:rPr>
                      <w:rFonts w:hint="default" w:ascii="Times New Roman" w:hAnsi="Times New Roman" w:eastAsia="宋体" w:cs="Times New Roman"/>
                      <w:color w:val="auto"/>
                      <w:kern w:val="0"/>
                      <w:sz w:val="18"/>
                      <w:szCs w:val="18"/>
                    </w:rPr>
                    <w:t>900-044-49</w:t>
                  </w:r>
                </w:p>
              </w:tc>
              <w:tc>
                <w:tcPr>
                  <w:tcW w:w="963" w:type="dxa"/>
                  <w:noWrap w:val="0"/>
                  <w:vAlign w:val="center"/>
                </w:tcPr>
                <w:p>
                  <w:pPr>
                    <w:snapToGrid w:val="0"/>
                    <w:jc w:val="center"/>
                    <w:rPr>
                      <w:rFonts w:hint="default" w:ascii="Times New Roman" w:hAnsi="Times New Roman" w:eastAsia="宋体" w:cs="Times New Roman"/>
                      <w:snapToGrid w:val="0"/>
                      <w:color w:val="auto"/>
                      <w:kern w:val="0"/>
                      <w:sz w:val="18"/>
                      <w:szCs w:val="18"/>
                    </w:rPr>
                  </w:pPr>
                  <w:r>
                    <w:rPr>
                      <w:rFonts w:hint="default" w:ascii="Times New Roman" w:hAnsi="Times New Roman" w:eastAsia="宋体" w:cs="Times New Roman"/>
                      <w:snapToGrid w:val="0"/>
                      <w:color w:val="auto"/>
                      <w:kern w:val="0"/>
                      <w:sz w:val="18"/>
                      <w:szCs w:val="18"/>
                      <w:lang w:val="en-US" w:eastAsia="zh-CN"/>
                    </w:rPr>
                    <w:t>0.5</w:t>
                  </w:r>
                  <w:r>
                    <w:rPr>
                      <w:rFonts w:hint="default" w:ascii="Times New Roman" w:hAnsi="Times New Roman" w:eastAsia="宋体" w:cs="Times New Roman"/>
                      <w:snapToGrid w:val="0"/>
                      <w:color w:val="auto"/>
                      <w:kern w:val="0"/>
                      <w:sz w:val="18"/>
                      <w:szCs w:val="18"/>
                    </w:rPr>
                    <w:t>t/a</w:t>
                  </w:r>
                </w:p>
              </w:tc>
              <w:tc>
                <w:tcPr>
                  <w:tcW w:w="927" w:type="dxa"/>
                  <w:noWrap w:val="0"/>
                  <w:vAlign w:val="center"/>
                </w:tcPr>
                <w:p>
                  <w:pPr>
                    <w:spacing w:line="240" w:lineRule="exact"/>
                    <w:jc w:val="center"/>
                    <w:rPr>
                      <w:rFonts w:hint="default" w:ascii="Times New Roman" w:hAnsi="Times New Roman" w:eastAsia="宋体" w:cs="Times New Roman"/>
                      <w:snapToGrid w:val="0"/>
                      <w:color w:val="auto"/>
                      <w:kern w:val="0"/>
                      <w:sz w:val="18"/>
                      <w:szCs w:val="18"/>
                    </w:rPr>
                  </w:pPr>
                  <w:r>
                    <w:rPr>
                      <w:rFonts w:hint="default" w:ascii="Times New Roman" w:hAnsi="Times New Roman" w:eastAsia="宋体" w:cs="Times New Roman"/>
                      <w:color w:val="auto"/>
                      <w:sz w:val="18"/>
                      <w:szCs w:val="18"/>
                      <w:lang w:val="en-US" w:eastAsia="zh-CN"/>
                    </w:rPr>
                    <w:t>蓄电池更换</w:t>
                  </w:r>
                </w:p>
              </w:tc>
              <w:tc>
                <w:tcPr>
                  <w:tcW w:w="171" w:type="pct"/>
                  <w:noWrap w:val="0"/>
                  <w:vAlign w:val="center"/>
                </w:tcPr>
                <w:p>
                  <w:pPr>
                    <w:snapToGrid w:val="0"/>
                    <w:jc w:val="center"/>
                    <w:rPr>
                      <w:rFonts w:hint="default" w:ascii="Times New Roman" w:hAnsi="Times New Roman" w:eastAsia="宋体" w:cs="Times New Roman"/>
                      <w:snapToGrid w:val="0"/>
                      <w:color w:val="auto"/>
                      <w:kern w:val="0"/>
                      <w:sz w:val="18"/>
                      <w:szCs w:val="18"/>
                    </w:rPr>
                  </w:pPr>
                  <w:r>
                    <w:rPr>
                      <w:rFonts w:hint="default" w:ascii="Times New Roman" w:hAnsi="Times New Roman" w:eastAsia="宋体" w:cs="Times New Roman"/>
                      <w:snapToGrid w:val="0"/>
                      <w:color w:val="auto"/>
                      <w:kern w:val="0"/>
                      <w:sz w:val="18"/>
                      <w:szCs w:val="18"/>
                      <w:lang w:val="en-US" w:eastAsia="zh-CN"/>
                    </w:rPr>
                    <w:t>固</w:t>
                  </w:r>
                  <w:r>
                    <w:rPr>
                      <w:rFonts w:hint="default" w:ascii="Times New Roman" w:hAnsi="Times New Roman" w:eastAsia="宋体" w:cs="Times New Roman"/>
                      <w:snapToGrid w:val="0"/>
                      <w:color w:val="auto"/>
                      <w:kern w:val="0"/>
                      <w:sz w:val="18"/>
                      <w:szCs w:val="18"/>
                    </w:rPr>
                    <w:t>态</w:t>
                  </w:r>
                </w:p>
              </w:tc>
              <w:tc>
                <w:tcPr>
                  <w:tcW w:w="258" w:type="pct"/>
                  <w:noWrap w:val="0"/>
                  <w:vAlign w:val="center"/>
                </w:tcPr>
                <w:p>
                  <w:pPr>
                    <w:snapToGrid w:val="0"/>
                    <w:jc w:val="center"/>
                    <w:rPr>
                      <w:rFonts w:hint="default" w:ascii="Times New Roman" w:hAnsi="Times New Roman" w:eastAsia="宋体" w:cs="Times New Roman"/>
                      <w:snapToGrid w:val="0"/>
                      <w:color w:val="auto"/>
                      <w:kern w:val="0"/>
                      <w:sz w:val="18"/>
                      <w:szCs w:val="18"/>
                    </w:rPr>
                  </w:pPr>
                  <w:r>
                    <w:rPr>
                      <w:rFonts w:hint="default" w:ascii="Times New Roman" w:hAnsi="Times New Roman" w:eastAsia="宋体" w:cs="Times New Roman"/>
                      <w:color w:val="auto"/>
                      <w:kern w:val="0"/>
                      <w:sz w:val="18"/>
                      <w:szCs w:val="18"/>
                    </w:rPr>
                    <w:t>铅、酸</w:t>
                  </w:r>
                </w:p>
              </w:tc>
              <w:tc>
                <w:tcPr>
                  <w:tcW w:w="518" w:type="pct"/>
                  <w:noWrap w:val="0"/>
                  <w:vAlign w:val="center"/>
                </w:tcPr>
                <w:p>
                  <w:pPr>
                    <w:snapToGrid w:val="0"/>
                    <w:jc w:val="center"/>
                    <w:rPr>
                      <w:rFonts w:hint="default" w:ascii="Times New Roman" w:hAnsi="Times New Roman" w:eastAsia="宋体" w:cs="Times New Roman"/>
                      <w:snapToGrid w:val="0"/>
                      <w:color w:val="auto"/>
                      <w:kern w:val="0"/>
                      <w:sz w:val="18"/>
                      <w:szCs w:val="18"/>
                    </w:rPr>
                  </w:pPr>
                  <w:r>
                    <w:rPr>
                      <w:rFonts w:hint="default" w:ascii="Times New Roman" w:hAnsi="Times New Roman" w:eastAsia="宋体" w:cs="Times New Roman"/>
                      <w:color w:val="auto"/>
                      <w:kern w:val="0"/>
                      <w:sz w:val="18"/>
                      <w:szCs w:val="18"/>
                    </w:rPr>
                    <w:t>铅、酸</w:t>
                  </w:r>
                </w:p>
              </w:tc>
              <w:tc>
                <w:tcPr>
                  <w:tcW w:w="479" w:type="pct"/>
                  <w:noWrap w:val="0"/>
                  <w:vAlign w:val="center"/>
                </w:tcPr>
                <w:p>
                  <w:pPr>
                    <w:snapToGrid w:val="0"/>
                    <w:ind w:left="-57" w:right="-57"/>
                    <w:jc w:val="center"/>
                    <w:rPr>
                      <w:rFonts w:hint="default" w:ascii="Times New Roman" w:hAnsi="Times New Roman" w:eastAsia="宋体" w:cs="Times New Roman"/>
                      <w:snapToGrid w:val="0"/>
                      <w:color w:val="auto"/>
                      <w:kern w:val="0"/>
                      <w:sz w:val="18"/>
                      <w:szCs w:val="18"/>
                      <w:lang w:eastAsia="zh-CN"/>
                    </w:rPr>
                  </w:pPr>
                  <w:r>
                    <w:rPr>
                      <w:rFonts w:hint="default" w:ascii="Times New Roman" w:hAnsi="Times New Roman" w:eastAsia="宋体" w:cs="Times New Roman"/>
                      <w:snapToGrid w:val="0"/>
                      <w:color w:val="auto"/>
                      <w:kern w:val="0"/>
                      <w:sz w:val="18"/>
                      <w:szCs w:val="18"/>
                      <w:lang w:val="en-US" w:eastAsia="zh-CN"/>
                    </w:rPr>
                    <w:t>不定期</w:t>
                  </w:r>
                </w:p>
              </w:tc>
              <w:tc>
                <w:tcPr>
                  <w:tcW w:w="203" w:type="pct"/>
                  <w:noWrap w:val="0"/>
                  <w:vAlign w:val="center"/>
                </w:tcPr>
                <w:p>
                  <w:pPr>
                    <w:snapToGrid w:val="0"/>
                    <w:spacing w:line="280" w:lineRule="exact"/>
                    <w:jc w:val="center"/>
                    <w:rPr>
                      <w:rFonts w:hint="default" w:ascii="Times New Roman" w:hAnsi="Times New Roman" w:eastAsia="宋体" w:cs="Times New Roman"/>
                      <w:snapToGrid w:val="0"/>
                      <w:color w:val="auto"/>
                      <w:kern w:val="0"/>
                      <w:sz w:val="18"/>
                      <w:szCs w:val="18"/>
                    </w:rPr>
                  </w:pPr>
                  <w:r>
                    <w:rPr>
                      <w:rFonts w:hint="default" w:ascii="Times New Roman" w:hAnsi="Times New Roman" w:eastAsia="宋体" w:cs="Times New Roman"/>
                      <w:snapToGrid w:val="0"/>
                      <w:color w:val="auto"/>
                      <w:kern w:val="0"/>
                      <w:sz w:val="18"/>
                      <w:szCs w:val="18"/>
                    </w:rPr>
                    <w:t>T</w:t>
                  </w:r>
                </w:p>
              </w:tc>
              <w:tc>
                <w:tcPr>
                  <w:tcW w:w="1116" w:type="pct"/>
                  <w:vMerge w:val="continue"/>
                  <w:noWrap w:val="0"/>
                  <w:vAlign w:val="center"/>
                </w:tcPr>
                <w:p>
                  <w:pPr>
                    <w:snapToGrid w:val="0"/>
                    <w:jc w:val="center"/>
                    <w:rPr>
                      <w:rFonts w:hint="default" w:ascii="Times New Roman" w:hAnsi="Times New Roman" w:eastAsia="宋体" w:cs="Times New Roman"/>
                      <w:snapToGrid w:val="0"/>
                      <w:color w:val="auto"/>
                      <w:kern w:val="0"/>
                      <w:sz w:val="18"/>
                      <w:szCs w:val="18"/>
                    </w:rPr>
                  </w:pPr>
                </w:p>
              </w:tc>
            </w:tr>
          </w:tbl>
          <w:p>
            <w:pPr>
              <w:pStyle w:val="12"/>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3、营运期满后</w:t>
            </w:r>
          </w:p>
          <w:p>
            <w:pPr>
              <w:pStyle w:val="12"/>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光伏电站营运期满后，预计光伏组件的功率衰减达到80%，不能满足光伏发电要求。主要的环境影响为拆除的光伏组件对环境的影响。拆除下来的光伏组件以及电器设备由供应厂商负责回收，废变压器油及废蓄电池等危险废物由拥有危险废物处理处置资质的单位进行回收、运输和处置时，应先向当地主管环境保护部门进行申报登记，环保部门同意后按照《危险废物转移联单管理办法》填写危险废物转移五联单后，由拥有危险废物处理处置资质的单位进行回收、运输和处置。拆除全部建（构）筑物，拆除产生的建筑垃圾主要为混凝土，全部用于场地平整，最终应恢复项目区植被。</w:t>
            </w:r>
          </w:p>
          <w:p>
            <w:pPr>
              <w:pStyle w:val="12"/>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2" w:firstLineChars="200"/>
              <w:textAlignment w:val="auto"/>
              <w:rPr>
                <w:rFonts w:hint="default" w:ascii="Times New Roman" w:hAnsi="Times New Roman" w:eastAsia="宋体" w:cs="Times New Roman"/>
                <w:b/>
                <w:color w:val="auto"/>
                <w:sz w:val="24"/>
                <w:szCs w:val="24"/>
              </w:rPr>
            </w:pPr>
            <w:r>
              <w:rPr>
                <w:rFonts w:hint="eastAsia" w:cs="Times New Roman"/>
                <w:b/>
                <w:color w:val="auto"/>
                <w:sz w:val="24"/>
                <w:szCs w:val="24"/>
                <w:lang w:val="en-US" w:eastAsia="zh-CN"/>
              </w:rPr>
              <w:t>四、</w:t>
            </w:r>
            <w:r>
              <w:rPr>
                <w:rFonts w:hint="default" w:ascii="Times New Roman" w:hAnsi="Times New Roman" w:eastAsia="宋体" w:cs="Times New Roman"/>
                <w:b/>
                <w:color w:val="auto"/>
                <w:sz w:val="24"/>
                <w:szCs w:val="24"/>
              </w:rPr>
              <w:t>工程建设计划</w:t>
            </w:r>
          </w:p>
          <w:p>
            <w:pPr>
              <w:pStyle w:val="15"/>
              <w:keepNext w:val="0"/>
              <w:keepLines w:val="0"/>
              <w:pageBreakBefore w:val="0"/>
              <w:widowControl w:val="0"/>
              <w:kinsoku/>
              <w:wordWrap/>
              <w:overflowPunct/>
              <w:topLinePunct w:val="0"/>
              <w:autoSpaceDE/>
              <w:autoSpaceDN/>
              <w:bidi w:val="0"/>
              <w:adjustRightInd w:val="0"/>
              <w:snapToGrid w:val="0"/>
              <w:spacing w:line="360" w:lineRule="auto"/>
              <w:ind w:leftChars="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本工程计划于20</w:t>
            </w:r>
            <w:r>
              <w:rPr>
                <w:rFonts w:hint="default" w:ascii="Times New Roman" w:hAnsi="Times New Roman" w:eastAsia="宋体" w:cs="Times New Roman"/>
                <w:color w:val="auto"/>
                <w:sz w:val="24"/>
                <w:szCs w:val="24"/>
                <w:lang w:val="en-US" w:eastAsia="zh-CN"/>
              </w:rPr>
              <w:t>21</w:t>
            </w:r>
            <w:r>
              <w:rPr>
                <w:rFonts w:hint="default" w:ascii="Times New Roman" w:hAnsi="Times New Roman" w:eastAsia="宋体" w:cs="Times New Roman"/>
                <w:color w:val="auto"/>
                <w:sz w:val="24"/>
                <w:szCs w:val="24"/>
              </w:rPr>
              <w:t>年</w:t>
            </w:r>
            <w:r>
              <w:rPr>
                <w:rFonts w:hint="default"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rPr>
              <w:t>月底前投产，</w:t>
            </w:r>
            <w:r>
              <w:rPr>
                <w:rFonts w:hint="eastAsia" w:ascii="Times New Roman" w:hAnsi="Times New Roman" w:cs="Times New Roman"/>
                <w:color w:val="auto"/>
                <w:sz w:val="24"/>
                <w:szCs w:val="24"/>
                <w:lang w:val="en-US" w:eastAsia="zh-CN"/>
              </w:rPr>
              <w:t>拟采用</w:t>
            </w:r>
            <w:r>
              <w:rPr>
                <w:rFonts w:hint="default" w:ascii="Times New Roman" w:hAnsi="Times New Roman" w:eastAsia="宋体" w:cs="Times New Roman"/>
                <w:color w:val="auto"/>
                <w:sz w:val="24"/>
                <w:szCs w:val="24"/>
                <w:lang w:val="en-US" w:eastAsia="zh-CN"/>
              </w:rPr>
              <w:t>无人值守</w:t>
            </w:r>
            <w:r>
              <w:rPr>
                <w:rFonts w:hint="eastAsia" w:ascii="Times New Roman" w:hAnsi="Times New Roman" w:cs="Times New Roman"/>
                <w:color w:val="auto"/>
                <w:sz w:val="24"/>
                <w:szCs w:val="24"/>
                <w:lang w:val="en-US" w:eastAsia="zh-CN"/>
              </w:rPr>
              <w:t>的方式</w:t>
            </w:r>
            <w:r>
              <w:rPr>
                <w:rFonts w:hint="default" w:ascii="Times New Roman" w:hAnsi="Times New Roman" w:eastAsia="宋体" w:cs="Times New Roman"/>
                <w:color w:val="auto"/>
                <w:sz w:val="24"/>
                <w:szCs w:val="24"/>
              </w:rPr>
              <w:t>。</w:t>
            </w:r>
          </w:p>
          <w:p>
            <w:pPr>
              <w:adjustRightInd w:val="0"/>
              <w:snapToGrid w:val="0"/>
              <w:spacing w:line="360" w:lineRule="auto"/>
              <w:rPr>
                <w:rFonts w:hint="default" w:ascii="Times New Roman" w:hAnsi="Times New Roman" w:eastAsia="宋体" w:cs="Times New Roman"/>
                <w:color w:val="auto"/>
                <w:sz w:val="24"/>
                <w:highlight w:val="yellow"/>
                <w:lang w:eastAsia="zh-CN"/>
              </w:rPr>
            </w:pPr>
          </w:p>
        </w:tc>
      </w:tr>
    </w:tbl>
    <w:p>
      <w:pPr>
        <w:outlineLvl w:val="0"/>
        <w:rPr>
          <w:b/>
          <w:color w:val="auto"/>
          <w:sz w:val="30"/>
          <w:szCs w:val="30"/>
          <w:highlight w:val="none"/>
        </w:rPr>
      </w:pPr>
      <w:r>
        <w:rPr>
          <w:color w:val="auto"/>
          <w:sz w:val="28"/>
          <w:szCs w:val="28"/>
          <w:highlight w:val="yellow"/>
        </w:rPr>
        <w:br w:type="page"/>
      </w:r>
      <w:bookmarkStart w:id="22" w:name="_Toc18036"/>
      <w:r>
        <w:rPr>
          <w:rStyle w:val="171"/>
          <w:rFonts w:hint="eastAsia"/>
          <w:color w:val="auto"/>
          <w:lang w:val="en-US" w:eastAsia="zh-CN"/>
        </w:rPr>
        <w:t>六、建设项目主要污染物产生及预计排放情况</w:t>
      </w:r>
      <w:bookmarkEnd w:id="22"/>
    </w:p>
    <w:tbl>
      <w:tblPr>
        <w:tblStyle w:val="30"/>
        <w:tblW w:w="9071"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23" w:type="dxa"/>
          <w:bottom w:w="0" w:type="dxa"/>
          <w:right w:w="28" w:type="dxa"/>
        </w:tblCellMar>
      </w:tblPr>
      <w:tblGrid>
        <w:gridCol w:w="517"/>
        <w:gridCol w:w="1518"/>
        <w:gridCol w:w="1114"/>
        <w:gridCol w:w="1192"/>
        <w:gridCol w:w="884"/>
        <w:gridCol w:w="983"/>
        <w:gridCol w:w="123"/>
        <w:gridCol w:w="657"/>
        <w:gridCol w:w="174"/>
        <w:gridCol w:w="829"/>
        <w:gridCol w:w="108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23" w:type="dxa"/>
            <w:bottom w:w="0" w:type="dxa"/>
            <w:right w:w="28" w:type="dxa"/>
          </w:tblCellMar>
        </w:tblPrEx>
        <w:trPr>
          <w:trHeight w:val="447" w:hRule="atLeast"/>
          <w:jc w:val="center"/>
        </w:trPr>
        <w:tc>
          <w:tcPr>
            <w:tcW w:w="285" w:type="pct"/>
            <w:noWrap w:val="0"/>
            <w:vAlign w:val="center"/>
          </w:tcPr>
          <w:p>
            <w:pPr>
              <w:pStyle w:val="184"/>
              <w:spacing w:line="276" w:lineRule="auto"/>
              <w:rPr>
                <w:rFonts w:ascii="Times New Roman" w:hAnsi="Times New Roman" w:eastAsia="宋体" w:cs="Times New Roman"/>
                <w:b/>
                <w:bCs/>
                <w:color w:val="auto"/>
                <w:sz w:val="21"/>
                <w:szCs w:val="21"/>
              </w:rPr>
            </w:pPr>
            <w:r>
              <w:rPr>
                <w:rFonts w:ascii="Times New Roman" w:hAnsi="Times New Roman" w:eastAsia="宋体" w:cs="Times New Roman"/>
                <w:b/>
                <w:bCs/>
                <w:color w:val="auto"/>
                <w:sz w:val="21"/>
                <w:szCs w:val="21"/>
              </w:rPr>
              <w:t>种类</w:t>
            </w:r>
          </w:p>
        </w:tc>
        <w:tc>
          <w:tcPr>
            <w:tcW w:w="837" w:type="pct"/>
            <w:noWrap w:val="0"/>
            <w:vAlign w:val="center"/>
          </w:tcPr>
          <w:p>
            <w:pPr>
              <w:pStyle w:val="184"/>
              <w:spacing w:line="276" w:lineRule="auto"/>
              <w:rPr>
                <w:rFonts w:ascii="Times New Roman" w:hAnsi="Times New Roman" w:eastAsia="宋体" w:cs="Times New Roman"/>
                <w:b/>
                <w:bCs/>
                <w:color w:val="auto"/>
                <w:sz w:val="21"/>
                <w:szCs w:val="21"/>
              </w:rPr>
            </w:pPr>
            <w:r>
              <w:rPr>
                <w:rFonts w:ascii="Times New Roman" w:hAnsi="Times New Roman" w:eastAsia="宋体" w:cs="Times New Roman"/>
                <w:b/>
                <w:bCs/>
                <w:color w:val="auto"/>
                <w:sz w:val="21"/>
                <w:szCs w:val="21"/>
              </w:rPr>
              <w:t>排放源</w:t>
            </w:r>
          </w:p>
          <w:p>
            <w:pPr>
              <w:pStyle w:val="184"/>
              <w:spacing w:line="276" w:lineRule="auto"/>
              <w:rPr>
                <w:rFonts w:ascii="Times New Roman" w:hAnsi="Times New Roman" w:eastAsia="宋体" w:cs="Times New Roman"/>
                <w:b/>
                <w:bCs/>
                <w:color w:val="auto"/>
                <w:sz w:val="21"/>
                <w:szCs w:val="21"/>
              </w:rPr>
            </w:pPr>
            <w:r>
              <w:rPr>
                <w:rFonts w:ascii="Times New Roman" w:hAnsi="Times New Roman" w:eastAsia="宋体" w:cs="Times New Roman"/>
                <w:b/>
                <w:bCs/>
                <w:color w:val="auto"/>
                <w:sz w:val="21"/>
                <w:szCs w:val="21"/>
              </w:rPr>
              <w:t>（编号）</w:t>
            </w:r>
          </w:p>
        </w:tc>
        <w:tc>
          <w:tcPr>
            <w:tcW w:w="614" w:type="pct"/>
            <w:noWrap w:val="0"/>
            <w:vAlign w:val="center"/>
          </w:tcPr>
          <w:p>
            <w:pPr>
              <w:pStyle w:val="184"/>
              <w:spacing w:line="276" w:lineRule="auto"/>
              <w:rPr>
                <w:rFonts w:ascii="Times New Roman" w:hAnsi="Times New Roman" w:eastAsia="宋体" w:cs="Times New Roman"/>
                <w:b/>
                <w:bCs/>
                <w:color w:val="auto"/>
                <w:sz w:val="21"/>
                <w:szCs w:val="21"/>
              </w:rPr>
            </w:pPr>
            <w:r>
              <w:rPr>
                <w:rFonts w:ascii="Times New Roman" w:hAnsi="Times New Roman" w:eastAsia="宋体" w:cs="Times New Roman"/>
                <w:b/>
                <w:bCs/>
                <w:color w:val="auto"/>
                <w:sz w:val="21"/>
                <w:szCs w:val="21"/>
              </w:rPr>
              <w:t>污染物名称</w:t>
            </w:r>
          </w:p>
        </w:tc>
        <w:tc>
          <w:tcPr>
            <w:tcW w:w="657" w:type="pct"/>
            <w:noWrap w:val="0"/>
            <w:vAlign w:val="center"/>
          </w:tcPr>
          <w:p>
            <w:pPr>
              <w:pStyle w:val="184"/>
              <w:spacing w:line="276" w:lineRule="auto"/>
              <w:rPr>
                <w:rFonts w:ascii="Times New Roman" w:hAnsi="Times New Roman" w:eastAsia="宋体" w:cs="Times New Roman"/>
                <w:b/>
                <w:bCs/>
                <w:color w:val="auto"/>
                <w:sz w:val="21"/>
                <w:szCs w:val="21"/>
              </w:rPr>
            </w:pPr>
            <w:r>
              <w:rPr>
                <w:rFonts w:ascii="Times New Roman" w:hAnsi="Times New Roman" w:eastAsia="宋体" w:cs="Times New Roman"/>
                <w:b/>
                <w:bCs/>
                <w:color w:val="auto"/>
                <w:sz w:val="21"/>
                <w:szCs w:val="21"/>
              </w:rPr>
              <w:t>产生浓度mg/m</w:t>
            </w:r>
            <w:r>
              <w:rPr>
                <w:rFonts w:ascii="Times New Roman" w:hAnsi="Times New Roman" w:eastAsia="宋体" w:cs="Times New Roman"/>
                <w:b/>
                <w:bCs/>
                <w:color w:val="auto"/>
                <w:sz w:val="21"/>
                <w:szCs w:val="21"/>
                <w:vertAlign w:val="superscript"/>
              </w:rPr>
              <w:t>3</w:t>
            </w:r>
          </w:p>
        </w:tc>
        <w:tc>
          <w:tcPr>
            <w:tcW w:w="487" w:type="pct"/>
            <w:noWrap w:val="0"/>
            <w:vAlign w:val="center"/>
          </w:tcPr>
          <w:p>
            <w:pPr>
              <w:pStyle w:val="184"/>
              <w:spacing w:line="276" w:lineRule="auto"/>
              <w:rPr>
                <w:rFonts w:ascii="Times New Roman" w:hAnsi="Times New Roman" w:eastAsia="宋体" w:cs="Times New Roman"/>
                <w:b/>
                <w:bCs/>
                <w:color w:val="auto"/>
                <w:sz w:val="21"/>
                <w:szCs w:val="21"/>
              </w:rPr>
            </w:pPr>
            <w:r>
              <w:rPr>
                <w:rFonts w:ascii="Times New Roman" w:hAnsi="Times New Roman" w:eastAsia="宋体" w:cs="Times New Roman"/>
                <w:b/>
                <w:bCs/>
                <w:color w:val="auto"/>
                <w:sz w:val="21"/>
                <w:szCs w:val="21"/>
              </w:rPr>
              <w:t>产生量t/a</w:t>
            </w:r>
          </w:p>
        </w:tc>
        <w:tc>
          <w:tcPr>
            <w:tcW w:w="610" w:type="pct"/>
            <w:gridSpan w:val="2"/>
            <w:noWrap w:val="0"/>
            <w:vAlign w:val="center"/>
          </w:tcPr>
          <w:p>
            <w:pPr>
              <w:pStyle w:val="184"/>
              <w:spacing w:line="276" w:lineRule="auto"/>
              <w:rPr>
                <w:rFonts w:ascii="Times New Roman" w:hAnsi="Times New Roman" w:eastAsia="宋体" w:cs="Times New Roman"/>
                <w:b/>
                <w:bCs/>
                <w:color w:val="auto"/>
                <w:sz w:val="21"/>
                <w:szCs w:val="21"/>
              </w:rPr>
            </w:pPr>
            <w:r>
              <w:rPr>
                <w:rFonts w:ascii="Times New Roman" w:hAnsi="Times New Roman" w:eastAsia="宋体" w:cs="Times New Roman"/>
                <w:b/>
                <w:bCs/>
                <w:color w:val="auto"/>
                <w:sz w:val="21"/>
                <w:szCs w:val="21"/>
              </w:rPr>
              <w:t>排放浓度mg/m</w:t>
            </w:r>
            <w:r>
              <w:rPr>
                <w:rFonts w:ascii="Times New Roman" w:hAnsi="Times New Roman" w:eastAsia="宋体" w:cs="Times New Roman"/>
                <w:b/>
                <w:bCs/>
                <w:color w:val="auto"/>
                <w:sz w:val="21"/>
                <w:szCs w:val="21"/>
                <w:vertAlign w:val="superscript"/>
              </w:rPr>
              <w:t>3</w:t>
            </w:r>
          </w:p>
        </w:tc>
        <w:tc>
          <w:tcPr>
            <w:tcW w:w="458" w:type="pct"/>
            <w:gridSpan w:val="2"/>
            <w:noWrap w:val="0"/>
            <w:vAlign w:val="center"/>
          </w:tcPr>
          <w:p>
            <w:pPr>
              <w:pStyle w:val="184"/>
              <w:spacing w:line="276" w:lineRule="auto"/>
              <w:rPr>
                <w:rFonts w:ascii="Times New Roman" w:hAnsi="Times New Roman" w:eastAsia="宋体" w:cs="Times New Roman"/>
                <w:b/>
                <w:bCs/>
                <w:color w:val="auto"/>
                <w:sz w:val="21"/>
                <w:szCs w:val="21"/>
              </w:rPr>
            </w:pPr>
            <w:r>
              <w:rPr>
                <w:rFonts w:ascii="Times New Roman" w:hAnsi="Times New Roman" w:eastAsia="宋体" w:cs="Times New Roman"/>
                <w:b/>
                <w:bCs/>
                <w:color w:val="auto"/>
                <w:sz w:val="21"/>
                <w:szCs w:val="21"/>
              </w:rPr>
              <w:t>排放速率kg/h</w:t>
            </w:r>
          </w:p>
        </w:tc>
        <w:tc>
          <w:tcPr>
            <w:tcW w:w="457" w:type="pct"/>
            <w:noWrap w:val="0"/>
            <w:vAlign w:val="center"/>
          </w:tcPr>
          <w:p>
            <w:pPr>
              <w:pStyle w:val="184"/>
              <w:spacing w:line="276" w:lineRule="auto"/>
              <w:rPr>
                <w:rFonts w:ascii="Times New Roman" w:hAnsi="Times New Roman" w:eastAsia="宋体" w:cs="Times New Roman"/>
                <w:b/>
                <w:bCs/>
                <w:color w:val="auto"/>
                <w:sz w:val="21"/>
                <w:szCs w:val="21"/>
              </w:rPr>
            </w:pPr>
            <w:r>
              <w:rPr>
                <w:rFonts w:ascii="Times New Roman" w:hAnsi="Times New Roman" w:eastAsia="宋体" w:cs="Times New Roman"/>
                <w:b/>
                <w:bCs/>
                <w:color w:val="auto"/>
                <w:sz w:val="21"/>
                <w:szCs w:val="21"/>
              </w:rPr>
              <w:t>排放量t/a</w:t>
            </w:r>
          </w:p>
        </w:tc>
        <w:tc>
          <w:tcPr>
            <w:tcW w:w="592" w:type="pct"/>
            <w:noWrap w:val="0"/>
            <w:vAlign w:val="center"/>
          </w:tcPr>
          <w:p>
            <w:pPr>
              <w:pStyle w:val="184"/>
              <w:spacing w:line="276" w:lineRule="auto"/>
              <w:rPr>
                <w:rFonts w:ascii="Times New Roman" w:hAnsi="Times New Roman" w:eastAsia="宋体" w:cs="Times New Roman"/>
                <w:b/>
                <w:bCs/>
                <w:color w:val="auto"/>
                <w:sz w:val="21"/>
                <w:szCs w:val="21"/>
              </w:rPr>
            </w:pPr>
            <w:r>
              <w:rPr>
                <w:rFonts w:ascii="Times New Roman" w:hAnsi="Times New Roman" w:eastAsia="宋体" w:cs="Times New Roman"/>
                <w:b/>
                <w:bCs/>
                <w:color w:val="auto"/>
                <w:sz w:val="21"/>
                <w:szCs w:val="21"/>
              </w:rPr>
              <w:t>排放去向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23" w:type="dxa"/>
            <w:bottom w:w="0" w:type="dxa"/>
            <w:right w:w="28" w:type="dxa"/>
          </w:tblCellMar>
        </w:tblPrEx>
        <w:trPr>
          <w:trHeight w:val="225" w:hRule="atLeast"/>
          <w:jc w:val="center"/>
        </w:trPr>
        <w:tc>
          <w:tcPr>
            <w:tcW w:w="285" w:type="pct"/>
            <w:noWrap w:val="0"/>
            <w:vAlign w:val="center"/>
          </w:tcPr>
          <w:p>
            <w:pPr>
              <w:pStyle w:val="184"/>
              <w:spacing w:line="240" w:lineRule="exact"/>
              <w:rPr>
                <w:rFonts w:ascii="Times New Roman" w:hAnsi="Times New Roman" w:eastAsia="宋体" w:cs="Times New Roman"/>
                <w:color w:val="auto"/>
                <w:sz w:val="21"/>
                <w:szCs w:val="21"/>
              </w:rPr>
            </w:pPr>
            <w:bookmarkStart w:id="23" w:name="OLE_LINK2" w:colFirst="5" w:colLast="5"/>
            <w:r>
              <w:rPr>
                <w:rFonts w:ascii="Times New Roman" w:hAnsi="Times New Roman" w:eastAsia="宋体" w:cs="Times New Roman"/>
                <w:color w:val="auto"/>
                <w:sz w:val="21"/>
                <w:szCs w:val="21"/>
              </w:rPr>
              <w:t>大气</w:t>
            </w:r>
          </w:p>
          <w:p>
            <w:pPr>
              <w:pStyle w:val="184"/>
              <w:spacing w:line="240" w:lineRule="exact"/>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污染</w:t>
            </w:r>
          </w:p>
          <w:p>
            <w:pPr>
              <w:pStyle w:val="184"/>
              <w:spacing w:line="240" w:lineRule="exact"/>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物</w:t>
            </w:r>
          </w:p>
        </w:tc>
        <w:tc>
          <w:tcPr>
            <w:tcW w:w="837" w:type="pct"/>
            <w:noWrap w:val="0"/>
            <w:vAlign w:val="center"/>
          </w:tcPr>
          <w:p>
            <w:pPr>
              <w:pStyle w:val="184"/>
              <w:spacing w:line="276" w:lineRule="auto"/>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w:t>
            </w:r>
          </w:p>
        </w:tc>
        <w:tc>
          <w:tcPr>
            <w:tcW w:w="614" w:type="pct"/>
            <w:noWrap w:val="0"/>
            <w:vAlign w:val="center"/>
          </w:tcPr>
          <w:p>
            <w:pPr>
              <w:spacing w:line="276" w:lineRule="auto"/>
              <w:jc w:val="center"/>
              <w:rPr>
                <w:color w:val="auto"/>
                <w:sz w:val="21"/>
                <w:szCs w:val="21"/>
              </w:rPr>
            </w:pPr>
            <w:r>
              <w:rPr>
                <w:rFonts w:hint="eastAsia"/>
                <w:color w:val="auto"/>
                <w:sz w:val="21"/>
                <w:szCs w:val="21"/>
              </w:rPr>
              <w:t>/</w:t>
            </w:r>
          </w:p>
        </w:tc>
        <w:tc>
          <w:tcPr>
            <w:tcW w:w="657" w:type="pct"/>
            <w:noWrap w:val="0"/>
            <w:vAlign w:val="center"/>
          </w:tcPr>
          <w:p>
            <w:pPr>
              <w:jc w:val="center"/>
              <w:rPr>
                <w:color w:val="auto"/>
                <w:sz w:val="21"/>
                <w:szCs w:val="21"/>
              </w:rPr>
            </w:pPr>
            <w:r>
              <w:rPr>
                <w:rFonts w:hint="eastAsia"/>
                <w:color w:val="auto"/>
                <w:sz w:val="21"/>
                <w:szCs w:val="21"/>
              </w:rPr>
              <w:t>/</w:t>
            </w:r>
          </w:p>
        </w:tc>
        <w:tc>
          <w:tcPr>
            <w:tcW w:w="487" w:type="pct"/>
            <w:noWrap w:val="0"/>
            <w:vAlign w:val="center"/>
          </w:tcPr>
          <w:p>
            <w:pPr>
              <w:jc w:val="center"/>
              <w:rPr>
                <w:color w:val="auto"/>
                <w:sz w:val="21"/>
                <w:szCs w:val="21"/>
              </w:rPr>
            </w:pPr>
          </w:p>
        </w:tc>
        <w:tc>
          <w:tcPr>
            <w:tcW w:w="610" w:type="pct"/>
            <w:gridSpan w:val="2"/>
            <w:noWrap w:val="0"/>
            <w:vAlign w:val="center"/>
          </w:tcPr>
          <w:p>
            <w:pPr>
              <w:jc w:val="center"/>
              <w:rPr>
                <w:color w:val="auto"/>
                <w:sz w:val="21"/>
                <w:szCs w:val="21"/>
              </w:rPr>
            </w:pPr>
            <w:r>
              <w:rPr>
                <w:rFonts w:hint="eastAsia"/>
                <w:color w:val="auto"/>
                <w:sz w:val="21"/>
                <w:szCs w:val="21"/>
              </w:rPr>
              <w:t>/</w:t>
            </w:r>
          </w:p>
        </w:tc>
        <w:tc>
          <w:tcPr>
            <w:tcW w:w="458" w:type="pct"/>
            <w:gridSpan w:val="2"/>
            <w:noWrap w:val="0"/>
            <w:vAlign w:val="center"/>
          </w:tcPr>
          <w:p>
            <w:pPr>
              <w:jc w:val="center"/>
              <w:rPr>
                <w:color w:val="auto"/>
                <w:sz w:val="21"/>
                <w:szCs w:val="21"/>
              </w:rPr>
            </w:pPr>
            <w:r>
              <w:rPr>
                <w:rFonts w:hint="eastAsia"/>
                <w:color w:val="auto"/>
                <w:sz w:val="21"/>
                <w:szCs w:val="21"/>
              </w:rPr>
              <w:t>/</w:t>
            </w:r>
          </w:p>
        </w:tc>
        <w:tc>
          <w:tcPr>
            <w:tcW w:w="457" w:type="pct"/>
            <w:noWrap w:val="0"/>
            <w:vAlign w:val="center"/>
          </w:tcPr>
          <w:p>
            <w:pPr>
              <w:jc w:val="center"/>
              <w:rPr>
                <w:color w:val="auto"/>
                <w:sz w:val="21"/>
                <w:szCs w:val="21"/>
              </w:rPr>
            </w:pPr>
            <w:r>
              <w:rPr>
                <w:rFonts w:hint="eastAsia"/>
                <w:color w:val="auto"/>
                <w:sz w:val="21"/>
                <w:szCs w:val="21"/>
              </w:rPr>
              <w:t>/</w:t>
            </w:r>
          </w:p>
        </w:tc>
        <w:tc>
          <w:tcPr>
            <w:tcW w:w="592" w:type="pct"/>
            <w:noWrap w:val="0"/>
            <w:vAlign w:val="center"/>
          </w:tcPr>
          <w:p>
            <w:pPr>
              <w:pStyle w:val="10"/>
              <w:spacing w:line="240" w:lineRule="exact"/>
              <w:jc w:val="center"/>
              <w:rPr>
                <w:color w:val="auto"/>
                <w:sz w:val="21"/>
                <w:szCs w:val="21"/>
              </w:rPr>
            </w:pPr>
            <w:r>
              <w:rPr>
                <w:rFonts w:hint="eastAsia"/>
                <w:color w:val="auto"/>
                <w:sz w:val="21"/>
                <w:szCs w:val="21"/>
              </w:rPr>
              <w:t>/</w:t>
            </w:r>
          </w:p>
        </w:tc>
      </w:tr>
      <w:bookmarkEnd w:id="23"/>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23" w:type="dxa"/>
            <w:bottom w:w="0" w:type="dxa"/>
            <w:right w:w="28" w:type="dxa"/>
          </w:tblCellMar>
        </w:tblPrEx>
        <w:trPr>
          <w:trHeight w:val="969" w:hRule="atLeast"/>
          <w:jc w:val="center"/>
        </w:trPr>
        <w:tc>
          <w:tcPr>
            <w:tcW w:w="285" w:type="pct"/>
            <w:noWrap w:val="0"/>
            <w:vAlign w:val="center"/>
          </w:tcPr>
          <w:p>
            <w:pPr>
              <w:pStyle w:val="184"/>
              <w:spacing w:line="240" w:lineRule="exact"/>
              <w:rPr>
                <w:rFonts w:ascii="Times New Roman" w:hAnsi="Times New Roman" w:eastAsia="宋体" w:cs="Times New Roman"/>
                <w:b/>
                <w:bCs/>
                <w:color w:val="auto"/>
                <w:sz w:val="21"/>
                <w:szCs w:val="21"/>
              </w:rPr>
            </w:pPr>
            <w:r>
              <w:rPr>
                <w:rFonts w:ascii="Times New Roman" w:hAnsi="Times New Roman" w:eastAsia="宋体" w:cs="Times New Roman"/>
                <w:b/>
                <w:bCs/>
                <w:color w:val="auto"/>
                <w:sz w:val="21"/>
                <w:szCs w:val="21"/>
              </w:rPr>
              <w:t>种类</w:t>
            </w:r>
          </w:p>
        </w:tc>
        <w:tc>
          <w:tcPr>
            <w:tcW w:w="837" w:type="pct"/>
            <w:noWrap w:val="0"/>
            <w:vAlign w:val="center"/>
          </w:tcPr>
          <w:p>
            <w:pPr>
              <w:spacing w:line="240" w:lineRule="exact"/>
              <w:jc w:val="center"/>
              <w:rPr>
                <w:b/>
                <w:bCs/>
                <w:color w:val="auto"/>
                <w:sz w:val="21"/>
                <w:szCs w:val="21"/>
              </w:rPr>
            </w:pPr>
            <w:r>
              <w:rPr>
                <w:b/>
                <w:bCs/>
                <w:color w:val="auto"/>
                <w:sz w:val="21"/>
                <w:szCs w:val="21"/>
              </w:rPr>
              <w:t>排放源</w:t>
            </w:r>
          </w:p>
          <w:p>
            <w:pPr>
              <w:spacing w:line="240" w:lineRule="exact"/>
              <w:jc w:val="center"/>
              <w:rPr>
                <w:b/>
                <w:bCs/>
                <w:color w:val="auto"/>
                <w:sz w:val="21"/>
                <w:szCs w:val="21"/>
              </w:rPr>
            </w:pPr>
            <w:r>
              <w:rPr>
                <w:b/>
                <w:bCs/>
                <w:color w:val="auto"/>
                <w:sz w:val="21"/>
                <w:szCs w:val="21"/>
              </w:rPr>
              <w:t>（编号）</w:t>
            </w:r>
          </w:p>
        </w:tc>
        <w:tc>
          <w:tcPr>
            <w:tcW w:w="614" w:type="pct"/>
            <w:noWrap w:val="0"/>
            <w:vAlign w:val="center"/>
          </w:tcPr>
          <w:p>
            <w:pPr>
              <w:pStyle w:val="184"/>
              <w:spacing w:line="240" w:lineRule="exact"/>
              <w:rPr>
                <w:rFonts w:ascii="Times New Roman" w:hAnsi="Times New Roman" w:eastAsia="宋体" w:cs="Times New Roman"/>
                <w:b/>
                <w:bCs/>
                <w:color w:val="auto"/>
                <w:sz w:val="21"/>
                <w:szCs w:val="21"/>
              </w:rPr>
            </w:pPr>
            <w:r>
              <w:rPr>
                <w:rFonts w:ascii="Times New Roman" w:hAnsi="Times New Roman" w:eastAsia="宋体" w:cs="Times New Roman"/>
                <w:b/>
                <w:bCs/>
                <w:color w:val="auto"/>
                <w:sz w:val="21"/>
                <w:szCs w:val="21"/>
              </w:rPr>
              <w:t>污染物名称</w:t>
            </w:r>
          </w:p>
        </w:tc>
        <w:tc>
          <w:tcPr>
            <w:tcW w:w="657" w:type="pct"/>
            <w:noWrap w:val="0"/>
            <w:vAlign w:val="center"/>
          </w:tcPr>
          <w:p>
            <w:pPr>
              <w:pStyle w:val="184"/>
              <w:spacing w:line="240" w:lineRule="exact"/>
              <w:rPr>
                <w:rFonts w:ascii="Times New Roman" w:hAnsi="Times New Roman" w:eastAsia="宋体" w:cs="Times New Roman"/>
                <w:b/>
                <w:bCs/>
                <w:color w:val="auto"/>
                <w:sz w:val="21"/>
                <w:szCs w:val="21"/>
              </w:rPr>
            </w:pPr>
            <w:r>
              <w:rPr>
                <w:rFonts w:ascii="Times New Roman" w:hAnsi="Times New Roman" w:eastAsia="宋体" w:cs="Times New Roman"/>
                <w:b/>
                <w:bCs/>
                <w:color w:val="auto"/>
                <w:sz w:val="21"/>
                <w:szCs w:val="21"/>
              </w:rPr>
              <w:t>废水量t/a</w:t>
            </w:r>
          </w:p>
        </w:tc>
        <w:tc>
          <w:tcPr>
            <w:tcW w:w="487" w:type="pct"/>
            <w:noWrap w:val="0"/>
            <w:vAlign w:val="center"/>
          </w:tcPr>
          <w:p>
            <w:pPr>
              <w:pStyle w:val="184"/>
              <w:spacing w:line="240" w:lineRule="exact"/>
              <w:rPr>
                <w:rFonts w:hint="eastAsia" w:ascii="Times New Roman" w:hAnsi="Times New Roman" w:eastAsia="宋体" w:cs="Times New Roman"/>
                <w:b/>
                <w:bCs/>
                <w:color w:val="auto"/>
                <w:sz w:val="21"/>
                <w:szCs w:val="21"/>
                <w:lang w:eastAsia="zh-CN"/>
              </w:rPr>
            </w:pPr>
            <w:r>
              <w:rPr>
                <w:rFonts w:ascii="Times New Roman" w:hAnsi="Times New Roman" w:eastAsia="宋体" w:cs="Times New Roman"/>
                <w:b/>
                <w:bCs/>
                <w:color w:val="auto"/>
                <w:sz w:val="21"/>
                <w:szCs w:val="21"/>
              </w:rPr>
              <w:t>产生浓度mg/</w:t>
            </w:r>
            <w:r>
              <w:rPr>
                <w:rFonts w:hint="eastAsia" w:ascii="Times New Roman" w:hAnsi="Times New Roman" w:eastAsia="宋体" w:cs="Times New Roman"/>
                <w:b/>
                <w:bCs/>
                <w:color w:val="auto"/>
                <w:sz w:val="21"/>
                <w:szCs w:val="21"/>
                <w:lang w:val="en-US" w:eastAsia="zh-CN"/>
              </w:rPr>
              <w:t>L</w:t>
            </w:r>
          </w:p>
        </w:tc>
        <w:tc>
          <w:tcPr>
            <w:tcW w:w="610" w:type="pct"/>
            <w:gridSpan w:val="2"/>
            <w:noWrap w:val="0"/>
            <w:vAlign w:val="center"/>
          </w:tcPr>
          <w:p>
            <w:pPr>
              <w:pStyle w:val="184"/>
              <w:spacing w:line="240" w:lineRule="exact"/>
              <w:rPr>
                <w:rFonts w:ascii="Times New Roman" w:hAnsi="Times New Roman" w:eastAsia="宋体" w:cs="Times New Roman"/>
                <w:b/>
                <w:bCs/>
                <w:color w:val="auto"/>
                <w:sz w:val="21"/>
                <w:szCs w:val="21"/>
              </w:rPr>
            </w:pPr>
            <w:r>
              <w:rPr>
                <w:rFonts w:ascii="Times New Roman" w:hAnsi="Times New Roman" w:eastAsia="宋体" w:cs="Times New Roman"/>
                <w:b/>
                <w:bCs/>
                <w:color w:val="auto"/>
                <w:sz w:val="21"/>
                <w:szCs w:val="21"/>
              </w:rPr>
              <w:t>产生量t/a</w:t>
            </w:r>
          </w:p>
        </w:tc>
        <w:tc>
          <w:tcPr>
            <w:tcW w:w="458" w:type="pct"/>
            <w:gridSpan w:val="2"/>
            <w:noWrap w:val="0"/>
            <w:vAlign w:val="center"/>
          </w:tcPr>
          <w:p>
            <w:pPr>
              <w:pStyle w:val="184"/>
              <w:spacing w:line="240" w:lineRule="exact"/>
              <w:rPr>
                <w:rFonts w:hint="eastAsia" w:ascii="Times New Roman" w:hAnsi="Times New Roman" w:eastAsia="宋体" w:cs="Times New Roman"/>
                <w:b/>
                <w:bCs/>
                <w:color w:val="auto"/>
                <w:sz w:val="21"/>
                <w:szCs w:val="21"/>
                <w:lang w:eastAsia="zh-CN"/>
              </w:rPr>
            </w:pPr>
            <w:r>
              <w:rPr>
                <w:rFonts w:hint="eastAsia" w:ascii="Times New Roman" w:hAnsi="Times New Roman" w:eastAsia="宋体" w:cs="Times New Roman"/>
                <w:b/>
                <w:bCs/>
                <w:color w:val="auto"/>
                <w:sz w:val="21"/>
                <w:szCs w:val="21"/>
              </w:rPr>
              <w:t>排放</w:t>
            </w:r>
            <w:r>
              <w:rPr>
                <w:rFonts w:ascii="Times New Roman" w:hAnsi="Times New Roman" w:eastAsia="宋体" w:cs="Times New Roman"/>
                <w:b/>
                <w:bCs/>
                <w:color w:val="auto"/>
                <w:sz w:val="21"/>
                <w:szCs w:val="21"/>
              </w:rPr>
              <w:t>浓度mg/</w:t>
            </w:r>
            <w:r>
              <w:rPr>
                <w:rFonts w:hint="eastAsia" w:ascii="Times New Roman" w:hAnsi="Times New Roman" w:eastAsia="宋体" w:cs="Times New Roman"/>
                <w:b/>
                <w:bCs/>
                <w:color w:val="auto"/>
                <w:sz w:val="21"/>
                <w:szCs w:val="21"/>
                <w:lang w:val="en-US" w:eastAsia="zh-CN"/>
              </w:rPr>
              <w:t>L</w:t>
            </w:r>
          </w:p>
        </w:tc>
        <w:tc>
          <w:tcPr>
            <w:tcW w:w="457" w:type="pct"/>
            <w:noWrap w:val="0"/>
            <w:vAlign w:val="center"/>
          </w:tcPr>
          <w:p>
            <w:pPr>
              <w:pStyle w:val="184"/>
              <w:spacing w:line="240" w:lineRule="exact"/>
              <w:rPr>
                <w:rFonts w:ascii="Times New Roman" w:hAnsi="Times New Roman" w:eastAsia="宋体" w:cs="Times New Roman"/>
                <w:b/>
                <w:bCs/>
                <w:color w:val="auto"/>
                <w:sz w:val="21"/>
                <w:szCs w:val="21"/>
              </w:rPr>
            </w:pPr>
            <w:r>
              <w:rPr>
                <w:rFonts w:hint="eastAsia" w:ascii="Times New Roman" w:hAnsi="Times New Roman" w:eastAsia="宋体" w:cs="Times New Roman"/>
                <w:b/>
                <w:bCs/>
                <w:color w:val="auto"/>
                <w:sz w:val="21"/>
                <w:szCs w:val="21"/>
              </w:rPr>
              <w:t>排放</w:t>
            </w:r>
            <w:r>
              <w:rPr>
                <w:rFonts w:ascii="Times New Roman" w:hAnsi="Times New Roman" w:eastAsia="宋体" w:cs="Times New Roman"/>
                <w:b/>
                <w:bCs/>
                <w:color w:val="auto"/>
                <w:sz w:val="21"/>
                <w:szCs w:val="21"/>
              </w:rPr>
              <w:t>量t/a</w:t>
            </w:r>
          </w:p>
        </w:tc>
        <w:tc>
          <w:tcPr>
            <w:tcW w:w="592" w:type="pct"/>
            <w:noWrap w:val="0"/>
            <w:vAlign w:val="center"/>
          </w:tcPr>
          <w:p>
            <w:pPr>
              <w:pStyle w:val="184"/>
              <w:spacing w:line="240" w:lineRule="exact"/>
              <w:rPr>
                <w:rFonts w:ascii="Times New Roman" w:hAnsi="Times New Roman" w:eastAsia="宋体" w:cs="Times New Roman"/>
                <w:b/>
                <w:bCs/>
                <w:color w:val="auto"/>
                <w:sz w:val="21"/>
                <w:szCs w:val="21"/>
              </w:rPr>
            </w:pPr>
            <w:r>
              <w:rPr>
                <w:rFonts w:ascii="Times New Roman" w:hAnsi="Times New Roman" w:eastAsia="宋体" w:cs="Times New Roman"/>
                <w:b/>
                <w:bCs/>
                <w:color w:val="auto"/>
                <w:sz w:val="21"/>
                <w:szCs w:val="21"/>
              </w:rPr>
              <w:t>排放去向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23" w:type="dxa"/>
            <w:bottom w:w="0" w:type="dxa"/>
            <w:right w:w="28" w:type="dxa"/>
          </w:tblCellMar>
        </w:tblPrEx>
        <w:trPr>
          <w:trHeight w:val="172" w:hRule="atLeast"/>
          <w:jc w:val="center"/>
        </w:trPr>
        <w:tc>
          <w:tcPr>
            <w:tcW w:w="285" w:type="pct"/>
            <w:noWrap w:val="0"/>
            <w:vAlign w:val="center"/>
          </w:tcPr>
          <w:p>
            <w:pPr>
              <w:pStyle w:val="184"/>
              <w:spacing w:line="240" w:lineRule="exact"/>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水污染物</w:t>
            </w:r>
          </w:p>
        </w:tc>
        <w:tc>
          <w:tcPr>
            <w:tcW w:w="837" w:type="pct"/>
            <w:noWrap w:val="0"/>
            <w:vAlign w:val="center"/>
          </w:tcPr>
          <w:p>
            <w:pPr>
              <w:spacing w:line="240" w:lineRule="exact"/>
              <w:jc w:val="center"/>
              <w:rPr>
                <w:color w:val="auto"/>
                <w:sz w:val="21"/>
                <w:szCs w:val="21"/>
              </w:rPr>
            </w:pPr>
            <w:r>
              <w:rPr>
                <w:rFonts w:hint="eastAsia"/>
                <w:color w:val="auto"/>
                <w:sz w:val="21"/>
                <w:szCs w:val="21"/>
              </w:rPr>
              <w:t>清洗废水</w:t>
            </w:r>
          </w:p>
        </w:tc>
        <w:tc>
          <w:tcPr>
            <w:tcW w:w="614" w:type="pct"/>
            <w:noWrap w:val="0"/>
            <w:vAlign w:val="center"/>
          </w:tcPr>
          <w:p>
            <w:pPr>
              <w:pStyle w:val="184"/>
              <w:spacing w:line="240" w:lineRule="exact"/>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SS</w:t>
            </w:r>
          </w:p>
        </w:tc>
        <w:tc>
          <w:tcPr>
            <w:tcW w:w="657" w:type="pct"/>
            <w:noWrap w:val="0"/>
            <w:vAlign w:val="center"/>
          </w:tcPr>
          <w:p>
            <w:pPr>
              <w:pStyle w:val="184"/>
              <w:spacing w:line="240" w:lineRule="exact"/>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6003</w:t>
            </w:r>
          </w:p>
        </w:tc>
        <w:tc>
          <w:tcPr>
            <w:tcW w:w="487" w:type="pct"/>
            <w:noWrap w:val="0"/>
            <w:vAlign w:val="center"/>
          </w:tcPr>
          <w:p>
            <w:pPr>
              <w:widowControl/>
              <w:adjustRightInd w:val="0"/>
              <w:snapToGrid w:val="0"/>
              <w:jc w:val="center"/>
              <w:rPr>
                <w:rFonts w:hint="eastAsia"/>
                <w:color w:val="auto"/>
                <w:kern w:val="0"/>
                <w:sz w:val="21"/>
                <w:szCs w:val="21"/>
              </w:rPr>
            </w:pPr>
            <w:r>
              <w:rPr>
                <w:rFonts w:hint="eastAsia"/>
                <w:color w:val="auto"/>
                <w:kern w:val="0"/>
                <w:sz w:val="21"/>
                <w:szCs w:val="21"/>
              </w:rPr>
              <w:t>5</w:t>
            </w:r>
          </w:p>
        </w:tc>
        <w:tc>
          <w:tcPr>
            <w:tcW w:w="610" w:type="pct"/>
            <w:gridSpan w:val="2"/>
            <w:noWrap w:val="0"/>
            <w:vAlign w:val="center"/>
          </w:tcPr>
          <w:p>
            <w:pPr>
              <w:widowControl/>
              <w:adjustRightInd w:val="0"/>
              <w:snapToGrid w:val="0"/>
              <w:jc w:val="center"/>
              <w:rPr>
                <w:rFonts w:hint="eastAsia" w:eastAsia="宋体"/>
                <w:color w:val="auto"/>
                <w:kern w:val="0"/>
                <w:sz w:val="21"/>
                <w:szCs w:val="21"/>
                <w:lang w:eastAsia="zh-CN"/>
              </w:rPr>
            </w:pPr>
            <w:r>
              <w:rPr>
                <w:rFonts w:hint="eastAsia"/>
                <w:color w:val="auto"/>
                <w:kern w:val="0"/>
                <w:sz w:val="21"/>
                <w:szCs w:val="21"/>
              </w:rPr>
              <w:t>0.0</w:t>
            </w:r>
            <w:r>
              <w:rPr>
                <w:rFonts w:hint="eastAsia"/>
                <w:color w:val="auto"/>
                <w:kern w:val="0"/>
                <w:sz w:val="21"/>
                <w:szCs w:val="21"/>
                <w:lang w:val="en-US" w:eastAsia="zh-CN"/>
              </w:rPr>
              <w:t>3</w:t>
            </w:r>
          </w:p>
        </w:tc>
        <w:tc>
          <w:tcPr>
            <w:tcW w:w="458" w:type="pct"/>
            <w:gridSpan w:val="2"/>
            <w:noWrap w:val="0"/>
            <w:vAlign w:val="center"/>
          </w:tcPr>
          <w:p>
            <w:pPr>
              <w:widowControl/>
              <w:adjustRightInd w:val="0"/>
              <w:snapToGrid w:val="0"/>
              <w:jc w:val="center"/>
              <w:rPr>
                <w:rFonts w:hint="eastAsia"/>
                <w:color w:val="auto"/>
                <w:kern w:val="0"/>
                <w:sz w:val="21"/>
                <w:szCs w:val="21"/>
              </w:rPr>
            </w:pPr>
            <w:r>
              <w:rPr>
                <w:rFonts w:hint="eastAsia"/>
                <w:color w:val="auto"/>
                <w:kern w:val="0"/>
                <w:sz w:val="21"/>
                <w:szCs w:val="21"/>
              </w:rPr>
              <w:t>0</w:t>
            </w:r>
          </w:p>
        </w:tc>
        <w:tc>
          <w:tcPr>
            <w:tcW w:w="457" w:type="pct"/>
            <w:noWrap w:val="0"/>
            <w:vAlign w:val="center"/>
          </w:tcPr>
          <w:p>
            <w:pPr>
              <w:widowControl/>
              <w:adjustRightInd w:val="0"/>
              <w:snapToGrid w:val="0"/>
              <w:jc w:val="center"/>
              <w:rPr>
                <w:rFonts w:hint="eastAsia"/>
                <w:color w:val="auto"/>
                <w:kern w:val="0"/>
                <w:sz w:val="21"/>
                <w:szCs w:val="21"/>
              </w:rPr>
            </w:pPr>
            <w:r>
              <w:rPr>
                <w:rFonts w:hint="eastAsia"/>
                <w:color w:val="auto"/>
                <w:kern w:val="0"/>
                <w:sz w:val="21"/>
                <w:szCs w:val="21"/>
              </w:rPr>
              <w:t>0</w:t>
            </w:r>
          </w:p>
        </w:tc>
        <w:tc>
          <w:tcPr>
            <w:tcW w:w="592" w:type="pct"/>
            <w:noWrap w:val="0"/>
            <w:vAlign w:val="center"/>
          </w:tcPr>
          <w:p>
            <w:pPr>
              <w:pStyle w:val="184"/>
              <w:spacing w:line="240" w:lineRule="exact"/>
              <w:rPr>
                <w:rFonts w:hint="eastAsia" w:ascii="Times New Roman" w:hAnsi="Times New Roman" w:eastAsia="宋体" w:cs="Times New Roman"/>
                <w:color w:val="auto"/>
                <w:sz w:val="21"/>
                <w:szCs w:val="21"/>
                <w:lang w:eastAsia="zh-CN"/>
              </w:rPr>
            </w:pPr>
            <w:r>
              <w:rPr>
                <w:rFonts w:hint="default" w:eastAsia="宋体"/>
                <w:color w:val="auto"/>
                <w:kern w:val="0"/>
                <w:sz w:val="21"/>
                <w:szCs w:val="21"/>
                <w:lang w:val="en-US" w:eastAsia="zh-CN"/>
              </w:rPr>
              <w:t>直接散排，就地蒸发，不外排</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23" w:type="dxa"/>
            <w:bottom w:w="0" w:type="dxa"/>
            <w:right w:w="28" w:type="dxa"/>
          </w:tblCellMar>
        </w:tblPrEx>
        <w:trPr>
          <w:trHeight w:val="346" w:hRule="atLeast"/>
          <w:jc w:val="center"/>
        </w:trPr>
        <w:tc>
          <w:tcPr>
            <w:tcW w:w="285" w:type="pct"/>
            <w:noWrap w:val="0"/>
            <w:vAlign w:val="center"/>
          </w:tcPr>
          <w:p>
            <w:pPr>
              <w:pStyle w:val="184"/>
              <w:spacing w:line="276" w:lineRule="auto"/>
              <w:rPr>
                <w:rFonts w:ascii="Times New Roman" w:hAnsi="Times New Roman" w:eastAsia="宋体" w:cs="Times New Roman"/>
                <w:color w:val="auto"/>
                <w:spacing w:val="-20"/>
                <w:sz w:val="21"/>
                <w:szCs w:val="21"/>
              </w:rPr>
            </w:pPr>
            <w:r>
              <w:rPr>
                <w:rFonts w:ascii="Times New Roman" w:hAnsi="Times New Roman" w:eastAsia="宋体" w:cs="Times New Roman"/>
                <w:b/>
                <w:bCs/>
                <w:color w:val="auto"/>
                <w:sz w:val="21"/>
                <w:szCs w:val="21"/>
              </w:rPr>
              <w:t>种类</w:t>
            </w:r>
          </w:p>
        </w:tc>
        <w:tc>
          <w:tcPr>
            <w:tcW w:w="837" w:type="pct"/>
            <w:noWrap w:val="0"/>
            <w:vAlign w:val="center"/>
          </w:tcPr>
          <w:p>
            <w:pPr>
              <w:pStyle w:val="184"/>
              <w:spacing w:line="276" w:lineRule="auto"/>
              <w:rPr>
                <w:rFonts w:ascii="Times New Roman" w:hAnsi="Times New Roman" w:eastAsia="宋体" w:cs="Times New Roman"/>
                <w:b/>
                <w:bCs/>
                <w:color w:val="auto"/>
                <w:spacing w:val="-20"/>
                <w:sz w:val="21"/>
                <w:szCs w:val="21"/>
              </w:rPr>
            </w:pPr>
            <w:r>
              <w:rPr>
                <w:rFonts w:ascii="Times New Roman" w:hAnsi="Times New Roman" w:eastAsia="宋体" w:cs="Times New Roman"/>
                <w:b/>
                <w:bCs/>
                <w:color w:val="auto"/>
                <w:spacing w:val="-20"/>
                <w:sz w:val="21"/>
                <w:szCs w:val="21"/>
              </w:rPr>
              <w:t>类别</w:t>
            </w:r>
          </w:p>
        </w:tc>
        <w:tc>
          <w:tcPr>
            <w:tcW w:w="614" w:type="pct"/>
            <w:noWrap w:val="0"/>
            <w:vAlign w:val="center"/>
          </w:tcPr>
          <w:p>
            <w:pPr>
              <w:spacing w:line="276" w:lineRule="auto"/>
              <w:jc w:val="center"/>
              <w:rPr>
                <w:b/>
                <w:bCs/>
                <w:color w:val="auto"/>
                <w:sz w:val="21"/>
                <w:szCs w:val="21"/>
              </w:rPr>
            </w:pPr>
            <w:r>
              <w:rPr>
                <w:b/>
                <w:bCs/>
                <w:color w:val="auto"/>
                <w:sz w:val="21"/>
                <w:szCs w:val="21"/>
              </w:rPr>
              <w:t>污染物名称</w:t>
            </w:r>
          </w:p>
        </w:tc>
        <w:tc>
          <w:tcPr>
            <w:tcW w:w="657" w:type="pct"/>
            <w:noWrap w:val="0"/>
            <w:vAlign w:val="center"/>
          </w:tcPr>
          <w:p>
            <w:pPr>
              <w:spacing w:line="276" w:lineRule="auto"/>
              <w:jc w:val="center"/>
              <w:rPr>
                <w:b/>
                <w:bCs/>
                <w:color w:val="auto"/>
                <w:sz w:val="21"/>
                <w:szCs w:val="21"/>
              </w:rPr>
            </w:pPr>
            <w:r>
              <w:rPr>
                <w:b/>
                <w:bCs/>
                <w:color w:val="auto"/>
                <w:sz w:val="21"/>
                <w:szCs w:val="21"/>
              </w:rPr>
              <w:t>产生量t/a</w:t>
            </w:r>
          </w:p>
        </w:tc>
        <w:tc>
          <w:tcPr>
            <w:tcW w:w="487" w:type="pct"/>
            <w:noWrap w:val="0"/>
            <w:vAlign w:val="center"/>
          </w:tcPr>
          <w:p>
            <w:pPr>
              <w:spacing w:line="276" w:lineRule="auto"/>
              <w:jc w:val="center"/>
              <w:rPr>
                <w:b/>
                <w:bCs/>
                <w:color w:val="auto"/>
                <w:sz w:val="21"/>
                <w:szCs w:val="21"/>
              </w:rPr>
            </w:pPr>
            <w:r>
              <w:rPr>
                <w:b/>
                <w:bCs/>
                <w:color w:val="auto"/>
                <w:sz w:val="21"/>
                <w:szCs w:val="21"/>
              </w:rPr>
              <w:t>处理处置量t/a</w:t>
            </w:r>
          </w:p>
        </w:tc>
        <w:tc>
          <w:tcPr>
            <w:tcW w:w="542" w:type="pct"/>
            <w:noWrap w:val="0"/>
            <w:vAlign w:val="center"/>
          </w:tcPr>
          <w:p>
            <w:pPr>
              <w:spacing w:line="276" w:lineRule="auto"/>
              <w:jc w:val="center"/>
              <w:rPr>
                <w:b/>
                <w:bCs/>
                <w:color w:val="auto"/>
                <w:sz w:val="21"/>
                <w:szCs w:val="21"/>
              </w:rPr>
            </w:pPr>
            <w:r>
              <w:rPr>
                <w:b/>
                <w:bCs/>
                <w:color w:val="auto"/>
                <w:sz w:val="21"/>
                <w:szCs w:val="21"/>
              </w:rPr>
              <w:t>综合利用量t/a</w:t>
            </w:r>
          </w:p>
        </w:tc>
        <w:tc>
          <w:tcPr>
            <w:tcW w:w="430" w:type="pct"/>
            <w:gridSpan w:val="2"/>
            <w:noWrap w:val="0"/>
            <w:vAlign w:val="center"/>
          </w:tcPr>
          <w:p>
            <w:pPr>
              <w:spacing w:line="276" w:lineRule="auto"/>
              <w:jc w:val="center"/>
              <w:rPr>
                <w:b/>
                <w:bCs/>
                <w:color w:val="auto"/>
                <w:sz w:val="21"/>
                <w:szCs w:val="21"/>
              </w:rPr>
            </w:pPr>
            <w:r>
              <w:rPr>
                <w:b/>
                <w:bCs/>
                <w:color w:val="auto"/>
                <w:sz w:val="21"/>
                <w:szCs w:val="21"/>
              </w:rPr>
              <w:t>外排量</w:t>
            </w:r>
          </w:p>
          <w:p>
            <w:pPr>
              <w:spacing w:line="276" w:lineRule="auto"/>
              <w:jc w:val="center"/>
              <w:rPr>
                <w:b/>
                <w:bCs/>
                <w:color w:val="auto"/>
                <w:sz w:val="21"/>
                <w:szCs w:val="21"/>
              </w:rPr>
            </w:pPr>
            <w:r>
              <w:rPr>
                <w:b/>
                <w:bCs/>
                <w:color w:val="auto"/>
                <w:sz w:val="21"/>
                <w:szCs w:val="21"/>
              </w:rPr>
              <w:t>t/a</w:t>
            </w:r>
          </w:p>
        </w:tc>
        <w:tc>
          <w:tcPr>
            <w:tcW w:w="1145" w:type="pct"/>
            <w:gridSpan w:val="3"/>
            <w:noWrap w:val="0"/>
            <w:vAlign w:val="center"/>
          </w:tcPr>
          <w:p>
            <w:pPr>
              <w:spacing w:line="276" w:lineRule="auto"/>
              <w:jc w:val="center"/>
              <w:rPr>
                <w:b/>
                <w:bCs/>
                <w:color w:val="auto"/>
                <w:sz w:val="21"/>
                <w:szCs w:val="21"/>
              </w:rPr>
            </w:pPr>
            <w:r>
              <w:rPr>
                <w:b/>
                <w:bCs/>
                <w:color w:val="auto"/>
                <w:sz w:val="21"/>
                <w:szCs w:val="21"/>
              </w:rPr>
              <w:t>排放去向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23" w:type="dxa"/>
            <w:bottom w:w="0" w:type="dxa"/>
            <w:right w:w="28" w:type="dxa"/>
          </w:tblCellMar>
        </w:tblPrEx>
        <w:trPr>
          <w:trHeight w:val="158" w:hRule="atLeast"/>
          <w:jc w:val="center"/>
        </w:trPr>
        <w:tc>
          <w:tcPr>
            <w:tcW w:w="285" w:type="pct"/>
            <w:vMerge w:val="restart"/>
            <w:noWrap w:val="0"/>
            <w:vAlign w:val="center"/>
          </w:tcPr>
          <w:p>
            <w:pPr>
              <w:pStyle w:val="184"/>
              <w:spacing w:line="276" w:lineRule="auto"/>
              <w:rPr>
                <w:rFonts w:ascii="Times New Roman" w:hAnsi="Times New Roman" w:eastAsia="宋体" w:cs="Times New Roman"/>
                <w:color w:val="auto"/>
                <w:spacing w:val="-20"/>
                <w:sz w:val="21"/>
                <w:szCs w:val="21"/>
              </w:rPr>
            </w:pPr>
            <w:r>
              <w:rPr>
                <w:rFonts w:ascii="Times New Roman" w:hAnsi="Times New Roman" w:eastAsia="宋体" w:cs="Times New Roman"/>
                <w:color w:val="auto"/>
                <w:spacing w:val="-20"/>
                <w:sz w:val="21"/>
                <w:szCs w:val="21"/>
              </w:rPr>
              <w:t>固废</w:t>
            </w:r>
          </w:p>
        </w:tc>
        <w:tc>
          <w:tcPr>
            <w:tcW w:w="837" w:type="pct"/>
            <w:noWrap w:val="0"/>
            <w:vAlign w:val="center"/>
          </w:tcPr>
          <w:p>
            <w:pPr>
              <w:spacing w:line="276" w:lineRule="auto"/>
              <w:jc w:val="center"/>
              <w:rPr>
                <w:color w:val="auto"/>
                <w:sz w:val="21"/>
                <w:szCs w:val="21"/>
              </w:rPr>
            </w:pPr>
            <w:r>
              <w:rPr>
                <w:color w:val="auto"/>
                <w:sz w:val="21"/>
                <w:szCs w:val="21"/>
              </w:rPr>
              <w:t>一般工业废物</w:t>
            </w:r>
          </w:p>
        </w:tc>
        <w:tc>
          <w:tcPr>
            <w:tcW w:w="614" w:type="pct"/>
            <w:noWrap w:val="0"/>
            <w:vAlign w:val="center"/>
          </w:tcPr>
          <w:p>
            <w:pPr>
              <w:spacing w:line="276" w:lineRule="auto"/>
              <w:jc w:val="center"/>
              <w:rPr>
                <w:rFonts w:hint="default" w:eastAsia="宋体"/>
                <w:color w:val="auto"/>
                <w:sz w:val="21"/>
                <w:szCs w:val="21"/>
                <w:lang w:val="en-US" w:eastAsia="zh-CN"/>
              </w:rPr>
            </w:pPr>
            <w:r>
              <w:rPr>
                <w:rFonts w:hint="eastAsia"/>
                <w:color w:val="auto"/>
                <w:sz w:val="21"/>
                <w:szCs w:val="21"/>
              </w:rPr>
              <w:t>废旧太阳能电池板</w:t>
            </w:r>
          </w:p>
        </w:tc>
        <w:tc>
          <w:tcPr>
            <w:tcW w:w="657" w:type="pct"/>
            <w:noWrap w:val="0"/>
            <w:vAlign w:val="center"/>
          </w:tcPr>
          <w:p>
            <w:pPr>
              <w:spacing w:line="276" w:lineRule="auto"/>
              <w:jc w:val="center"/>
              <w:rPr>
                <w:color w:val="auto"/>
                <w:sz w:val="21"/>
                <w:szCs w:val="21"/>
              </w:rPr>
            </w:pPr>
            <w:r>
              <w:rPr>
                <w:rFonts w:hint="eastAsia"/>
                <w:color w:val="auto"/>
                <w:sz w:val="21"/>
                <w:szCs w:val="21"/>
                <w:lang w:val="en-US" w:eastAsia="zh-CN"/>
              </w:rPr>
              <w:t>161</w:t>
            </w:r>
            <w:r>
              <w:rPr>
                <w:rFonts w:hint="eastAsia"/>
                <w:color w:val="auto"/>
                <w:sz w:val="21"/>
                <w:szCs w:val="21"/>
              </w:rPr>
              <w:t>块/a</w:t>
            </w:r>
          </w:p>
        </w:tc>
        <w:tc>
          <w:tcPr>
            <w:tcW w:w="487" w:type="pct"/>
            <w:noWrap w:val="0"/>
            <w:vAlign w:val="center"/>
          </w:tcPr>
          <w:p>
            <w:pPr>
              <w:spacing w:line="276" w:lineRule="auto"/>
              <w:jc w:val="center"/>
              <w:rPr>
                <w:color w:val="auto"/>
                <w:sz w:val="21"/>
                <w:szCs w:val="21"/>
              </w:rPr>
            </w:pPr>
            <w:r>
              <w:rPr>
                <w:rFonts w:hint="eastAsia"/>
                <w:color w:val="auto"/>
                <w:sz w:val="21"/>
                <w:szCs w:val="21"/>
                <w:lang w:val="en-US" w:eastAsia="zh-CN"/>
              </w:rPr>
              <w:t>161</w:t>
            </w:r>
            <w:r>
              <w:rPr>
                <w:rFonts w:hint="eastAsia"/>
                <w:color w:val="auto"/>
                <w:sz w:val="21"/>
                <w:szCs w:val="21"/>
              </w:rPr>
              <w:t>块/a</w:t>
            </w:r>
          </w:p>
        </w:tc>
        <w:tc>
          <w:tcPr>
            <w:tcW w:w="542" w:type="pct"/>
            <w:noWrap w:val="0"/>
            <w:vAlign w:val="center"/>
          </w:tcPr>
          <w:p>
            <w:pPr>
              <w:spacing w:line="276" w:lineRule="auto"/>
              <w:jc w:val="center"/>
              <w:rPr>
                <w:color w:val="auto"/>
                <w:sz w:val="21"/>
                <w:szCs w:val="21"/>
              </w:rPr>
            </w:pPr>
            <w:r>
              <w:rPr>
                <w:color w:val="auto"/>
                <w:sz w:val="21"/>
                <w:szCs w:val="21"/>
              </w:rPr>
              <w:t>0</w:t>
            </w:r>
          </w:p>
        </w:tc>
        <w:tc>
          <w:tcPr>
            <w:tcW w:w="430" w:type="pct"/>
            <w:gridSpan w:val="2"/>
            <w:noWrap w:val="0"/>
            <w:vAlign w:val="center"/>
          </w:tcPr>
          <w:p>
            <w:pPr>
              <w:spacing w:line="276" w:lineRule="auto"/>
              <w:jc w:val="center"/>
              <w:rPr>
                <w:color w:val="auto"/>
                <w:sz w:val="21"/>
                <w:szCs w:val="21"/>
              </w:rPr>
            </w:pPr>
            <w:r>
              <w:rPr>
                <w:color w:val="auto"/>
                <w:sz w:val="21"/>
                <w:szCs w:val="21"/>
              </w:rPr>
              <w:t>0</w:t>
            </w:r>
          </w:p>
        </w:tc>
        <w:tc>
          <w:tcPr>
            <w:tcW w:w="1145" w:type="pct"/>
            <w:gridSpan w:val="3"/>
            <w:noWrap w:val="0"/>
            <w:vAlign w:val="center"/>
          </w:tcPr>
          <w:p>
            <w:pPr>
              <w:spacing w:line="276" w:lineRule="auto"/>
              <w:jc w:val="center"/>
              <w:rPr>
                <w:color w:val="auto"/>
                <w:sz w:val="21"/>
                <w:szCs w:val="21"/>
              </w:rPr>
            </w:pPr>
            <w:r>
              <w:rPr>
                <w:rFonts w:hint="eastAsia"/>
                <w:color w:val="auto"/>
                <w:sz w:val="21"/>
                <w:szCs w:val="21"/>
              </w:rPr>
              <w:t>厂家回收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23" w:type="dxa"/>
            <w:bottom w:w="0" w:type="dxa"/>
            <w:right w:w="28" w:type="dxa"/>
          </w:tblCellMar>
        </w:tblPrEx>
        <w:trPr>
          <w:trHeight w:val="616" w:hRule="atLeast"/>
          <w:jc w:val="center"/>
        </w:trPr>
        <w:tc>
          <w:tcPr>
            <w:tcW w:w="285" w:type="pct"/>
            <w:vMerge w:val="continue"/>
            <w:noWrap w:val="0"/>
            <w:vAlign w:val="center"/>
          </w:tcPr>
          <w:p>
            <w:pPr>
              <w:pStyle w:val="184"/>
              <w:spacing w:line="276" w:lineRule="auto"/>
              <w:rPr>
                <w:rFonts w:ascii="Times New Roman" w:hAnsi="Times New Roman" w:eastAsia="宋体" w:cs="Times New Roman"/>
                <w:color w:val="auto"/>
                <w:spacing w:val="-20"/>
                <w:sz w:val="21"/>
                <w:szCs w:val="21"/>
              </w:rPr>
            </w:pPr>
          </w:p>
        </w:tc>
        <w:tc>
          <w:tcPr>
            <w:tcW w:w="837" w:type="pct"/>
            <w:vMerge w:val="restart"/>
            <w:noWrap w:val="0"/>
            <w:vAlign w:val="center"/>
          </w:tcPr>
          <w:p>
            <w:pPr>
              <w:spacing w:line="276" w:lineRule="auto"/>
              <w:jc w:val="center"/>
              <w:rPr>
                <w:rFonts w:hint="eastAsia" w:eastAsia="宋体"/>
                <w:color w:val="auto"/>
                <w:sz w:val="21"/>
                <w:szCs w:val="21"/>
                <w:lang w:val="en-US" w:eastAsia="zh-CN"/>
              </w:rPr>
            </w:pPr>
            <w:r>
              <w:rPr>
                <w:rFonts w:hint="eastAsia"/>
                <w:color w:val="auto"/>
                <w:sz w:val="21"/>
                <w:szCs w:val="21"/>
                <w:lang w:val="en-US" w:eastAsia="zh-CN"/>
              </w:rPr>
              <w:t>危险废物</w:t>
            </w:r>
          </w:p>
        </w:tc>
        <w:tc>
          <w:tcPr>
            <w:tcW w:w="614" w:type="pct"/>
            <w:noWrap w:val="0"/>
            <w:vAlign w:val="center"/>
          </w:tcPr>
          <w:p>
            <w:pPr>
              <w:spacing w:line="240" w:lineRule="exact"/>
              <w:jc w:val="center"/>
              <w:rPr>
                <w:rFonts w:hint="eastAsia"/>
                <w:color w:val="auto"/>
                <w:sz w:val="21"/>
                <w:szCs w:val="21"/>
              </w:rPr>
            </w:pPr>
            <w:r>
              <w:rPr>
                <w:rFonts w:hint="eastAsia"/>
                <w:color w:val="auto"/>
                <w:sz w:val="21"/>
                <w:szCs w:val="21"/>
                <w:lang w:val="en-US" w:eastAsia="zh-CN"/>
              </w:rPr>
              <w:t>废变压器油</w:t>
            </w:r>
          </w:p>
        </w:tc>
        <w:tc>
          <w:tcPr>
            <w:tcW w:w="657" w:type="pct"/>
            <w:noWrap w:val="0"/>
            <w:vAlign w:val="center"/>
          </w:tcPr>
          <w:p>
            <w:pPr>
              <w:spacing w:line="240" w:lineRule="exact"/>
              <w:jc w:val="center"/>
              <w:rPr>
                <w:rFonts w:hint="eastAsia"/>
                <w:color w:val="auto"/>
                <w:sz w:val="21"/>
                <w:szCs w:val="21"/>
              </w:rPr>
            </w:pPr>
            <w:r>
              <w:rPr>
                <w:rFonts w:hint="eastAsia"/>
                <w:color w:val="auto"/>
                <w:sz w:val="21"/>
                <w:szCs w:val="21"/>
                <w:lang w:val="en-US" w:eastAsia="zh-CN"/>
              </w:rPr>
              <w:t>15t/10年</w:t>
            </w:r>
          </w:p>
        </w:tc>
        <w:tc>
          <w:tcPr>
            <w:tcW w:w="487" w:type="pct"/>
            <w:noWrap w:val="0"/>
            <w:vAlign w:val="center"/>
          </w:tcPr>
          <w:p>
            <w:pPr>
              <w:spacing w:line="240" w:lineRule="exact"/>
              <w:jc w:val="center"/>
              <w:rPr>
                <w:rFonts w:hint="eastAsia"/>
                <w:color w:val="auto"/>
                <w:sz w:val="21"/>
                <w:szCs w:val="21"/>
              </w:rPr>
            </w:pPr>
            <w:r>
              <w:rPr>
                <w:rFonts w:hint="eastAsia"/>
                <w:color w:val="auto"/>
                <w:sz w:val="21"/>
                <w:szCs w:val="21"/>
                <w:lang w:val="en-US" w:eastAsia="zh-CN"/>
              </w:rPr>
              <w:t>15t/10年</w:t>
            </w:r>
          </w:p>
        </w:tc>
        <w:tc>
          <w:tcPr>
            <w:tcW w:w="542" w:type="pct"/>
            <w:noWrap w:val="0"/>
            <w:vAlign w:val="center"/>
          </w:tcPr>
          <w:p>
            <w:pPr>
              <w:spacing w:line="276" w:lineRule="auto"/>
              <w:jc w:val="center"/>
              <w:rPr>
                <w:color w:val="auto"/>
                <w:sz w:val="21"/>
                <w:szCs w:val="21"/>
              </w:rPr>
            </w:pPr>
            <w:r>
              <w:rPr>
                <w:color w:val="auto"/>
                <w:sz w:val="21"/>
                <w:szCs w:val="21"/>
              </w:rPr>
              <w:t>0</w:t>
            </w:r>
          </w:p>
        </w:tc>
        <w:tc>
          <w:tcPr>
            <w:tcW w:w="430" w:type="pct"/>
            <w:gridSpan w:val="2"/>
            <w:noWrap w:val="0"/>
            <w:vAlign w:val="center"/>
          </w:tcPr>
          <w:p>
            <w:pPr>
              <w:spacing w:line="276" w:lineRule="auto"/>
              <w:jc w:val="center"/>
              <w:rPr>
                <w:color w:val="auto"/>
                <w:sz w:val="21"/>
                <w:szCs w:val="21"/>
              </w:rPr>
            </w:pPr>
            <w:r>
              <w:rPr>
                <w:color w:val="auto"/>
                <w:sz w:val="21"/>
                <w:szCs w:val="21"/>
              </w:rPr>
              <w:t>0</w:t>
            </w:r>
          </w:p>
        </w:tc>
        <w:tc>
          <w:tcPr>
            <w:tcW w:w="1145" w:type="pct"/>
            <w:gridSpan w:val="3"/>
            <w:vMerge w:val="restart"/>
            <w:noWrap w:val="0"/>
            <w:vAlign w:val="center"/>
          </w:tcPr>
          <w:p>
            <w:pPr>
              <w:spacing w:line="276" w:lineRule="auto"/>
              <w:jc w:val="center"/>
              <w:rPr>
                <w:rFonts w:hint="eastAsia"/>
                <w:color w:val="auto"/>
                <w:sz w:val="21"/>
                <w:szCs w:val="21"/>
              </w:rPr>
            </w:pPr>
            <w:r>
              <w:rPr>
                <w:rFonts w:hint="default" w:ascii="Times New Roman" w:hAnsi="Times New Roman" w:eastAsia="宋体" w:cs="Times New Roman"/>
                <w:color w:val="auto"/>
                <w:sz w:val="21"/>
                <w:szCs w:val="21"/>
              </w:rPr>
              <w:t>按照《危险废物转移联单管理办法》委托有危险废物处置资质的单位回收运输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23" w:type="dxa"/>
            <w:bottom w:w="0" w:type="dxa"/>
            <w:right w:w="28" w:type="dxa"/>
          </w:tblCellMar>
        </w:tblPrEx>
        <w:trPr>
          <w:trHeight w:val="158" w:hRule="atLeast"/>
          <w:jc w:val="center"/>
        </w:trPr>
        <w:tc>
          <w:tcPr>
            <w:tcW w:w="285" w:type="pct"/>
            <w:vMerge w:val="continue"/>
            <w:noWrap w:val="0"/>
            <w:vAlign w:val="center"/>
          </w:tcPr>
          <w:p>
            <w:pPr>
              <w:pStyle w:val="184"/>
              <w:spacing w:line="276" w:lineRule="auto"/>
              <w:rPr>
                <w:rFonts w:ascii="Times New Roman" w:hAnsi="Times New Roman" w:eastAsia="宋体" w:cs="Times New Roman"/>
                <w:color w:val="auto"/>
                <w:spacing w:val="-20"/>
                <w:sz w:val="21"/>
                <w:szCs w:val="21"/>
              </w:rPr>
            </w:pPr>
          </w:p>
        </w:tc>
        <w:tc>
          <w:tcPr>
            <w:tcW w:w="837" w:type="pct"/>
            <w:vMerge w:val="continue"/>
            <w:noWrap w:val="0"/>
            <w:vAlign w:val="center"/>
          </w:tcPr>
          <w:p>
            <w:pPr>
              <w:spacing w:line="276" w:lineRule="auto"/>
              <w:jc w:val="center"/>
              <w:rPr>
                <w:color w:val="auto"/>
                <w:sz w:val="21"/>
                <w:szCs w:val="21"/>
              </w:rPr>
            </w:pPr>
          </w:p>
        </w:tc>
        <w:tc>
          <w:tcPr>
            <w:tcW w:w="614" w:type="pct"/>
            <w:noWrap w:val="0"/>
            <w:vAlign w:val="center"/>
          </w:tcPr>
          <w:p>
            <w:pPr>
              <w:spacing w:line="240" w:lineRule="exact"/>
              <w:jc w:val="center"/>
              <w:rPr>
                <w:rFonts w:hint="eastAsia"/>
                <w:color w:val="auto"/>
                <w:sz w:val="21"/>
                <w:szCs w:val="21"/>
              </w:rPr>
            </w:pPr>
            <w:r>
              <w:rPr>
                <w:rFonts w:hint="eastAsia"/>
                <w:color w:val="auto"/>
                <w:sz w:val="21"/>
                <w:szCs w:val="21"/>
                <w:lang w:val="en-US" w:eastAsia="zh-CN"/>
              </w:rPr>
              <w:t>废铅酸蓄电池</w:t>
            </w:r>
          </w:p>
        </w:tc>
        <w:tc>
          <w:tcPr>
            <w:tcW w:w="657" w:type="pct"/>
            <w:noWrap w:val="0"/>
            <w:vAlign w:val="center"/>
          </w:tcPr>
          <w:p>
            <w:pPr>
              <w:spacing w:line="240" w:lineRule="exact"/>
              <w:jc w:val="center"/>
              <w:rPr>
                <w:rFonts w:hint="eastAsia"/>
                <w:color w:val="auto"/>
                <w:sz w:val="21"/>
                <w:szCs w:val="21"/>
              </w:rPr>
            </w:pPr>
            <w:r>
              <w:rPr>
                <w:rFonts w:hint="eastAsia" w:cs="Times New Roman"/>
                <w:color w:val="auto"/>
                <w:kern w:val="0"/>
                <w:sz w:val="21"/>
                <w:szCs w:val="21"/>
                <w:highlight w:val="none"/>
                <w:lang w:val="en-US" w:eastAsia="zh-CN"/>
              </w:rPr>
              <w:t>0.5</w:t>
            </w:r>
            <w:r>
              <w:rPr>
                <w:rFonts w:hint="default" w:ascii="Times New Roman" w:hAnsi="Times New Roman" w:eastAsia="宋体" w:cs="Times New Roman"/>
                <w:color w:val="auto"/>
                <w:kern w:val="0"/>
                <w:sz w:val="21"/>
                <w:szCs w:val="21"/>
                <w:highlight w:val="none"/>
              </w:rPr>
              <w:t>t/a</w:t>
            </w:r>
          </w:p>
        </w:tc>
        <w:tc>
          <w:tcPr>
            <w:tcW w:w="487" w:type="pct"/>
            <w:noWrap w:val="0"/>
            <w:vAlign w:val="center"/>
          </w:tcPr>
          <w:p>
            <w:pPr>
              <w:spacing w:line="240" w:lineRule="exact"/>
              <w:jc w:val="center"/>
              <w:rPr>
                <w:rFonts w:hint="eastAsia"/>
                <w:color w:val="auto"/>
                <w:sz w:val="21"/>
                <w:szCs w:val="21"/>
              </w:rPr>
            </w:pPr>
            <w:r>
              <w:rPr>
                <w:rFonts w:hint="eastAsia" w:cs="Times New Roman"/>
                <w:color w:val="auto"/>
                <w:kern w:val="0"/>
                <w:sz w:val="21"/>
                <w:szCs w:val="21"/>
                <w:highlight w:val="none"/>
                <w:lang w:val="en-US" w:eastAsia="zh-CN"/>
              </w:rPr>
              <w:t>0.5</w:t>
            </w:r>
            <w:r>
              <w:rPr>
                <w:rFonts w:hint="default" w:ascii="Times New Roman" w:hAnsi="Times New Roman" w:eastAsia="宋体" w:cs="Times New Roman"/>
                <w:color w:val="auto"/>
                <w:kern w:val="0"/>
                <w:sz w:val="21"/>
                <w:szCs w:val="21"/>
                <w:highlight w:val="none"/>
              </w:rPr>
              <w:t>t/a</w:t>
            </w:r>
          </w:p>
        </w:tc>
        <w:tc>
          <w:tcPr>
            <w:tcW w:w="542" w:type="pct"/>
            <w:noWrap w:val="0"/>
            <w:vAlign w:val="center"/>
          </w:tcPr>
          <w:p>
            <w:pPr>
              <w:spacing w:line="276" w:lineRule="auto"/>
              <w:jc w:val="center"/>
              <w:rPr>
                <w:color w:val="auto"/>
                <w:sz w:val="21"/>
                <w:szCs w:val="21"/>
              </w:rPr>
            </w:pPr>
            <w:r>
              <w:rPr>
                <w:color w:val="auto"/>
                <w:sz w:val="21"/>
                <w:szCs w:val="21"/>
              </w:rPr>
              <w:t>0</w:t>
            </w:r>
          </w:p>
        </w:tc>
        <w:tc>
          <w:tcPr>
            <w:tcW w:w="430" w:type="pct"/>
            <w:gridSpan w:val="2"/>
            <w:noWrap w:val="0"/>
            <w:vAlign w:val="center"/>
          </w:tcPr>
          <w:p>
            <w:pPr>
              <w:spacing w:line="276" w:lineRule="auto"/>
              <w:jc w:val="center"/>
              <w:rPr>
                <w:color w:val="auto"/>
                <w:sz w:val="21"/>
                <w:szCs w:val="21"/>
              </w:rPr>
            </w:pPr>
            <w:r>
              <w:rPr>
                <w:color w:val="auto"/>
                <w:sz w:val="21"/>
                <w:szCs w:val="21"/>
              </w:rPr>
              <w:t>0</w:t>
            </w:r>
          </w:p>
        </w:tc>
        <w:tc>
          <w:tcPr>
            <w:tcW w:w="1145" w:type="pct"/>
            <w:gridSpan w:val="3"/>
            <w:vMerge w:val="continue"/>
            <w:noWrap w:val="0"/>
            <w:vAlign w:val="center"/>
          </w:tcPr>
          <w:p>
            <w:pPr>
              <w:spacing w:line="276" w:lineRule="auto"/>
              <w:jc w:val="center"/>
              <w:rPr>
                <w:rFonts w:hint="eastAsia"/>
                <w:color w:val="auto"/>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23" w:type="dxa"/>
            <w:bottom w:w="0" w:type="dxa"/>
            <w:right w:w="28" w:type="dxa"/>
          </w:tblCellMar>
        </w:tblPrEx>
        <w:trPr>
          <w:trHeight w:val="204" w:hRule="atLeast"/>
          <w:jc w:val="center"/>
        </w:trPr>
        <w:tc>
          <w:tcPr>
            <w:tcW w:w="285" w:type="pct"/>
            <w:noWrap w:val="0"/>
            <w:vAlign w:val="center"/>
          </w:tcPr>
          <w:p>
            <w:pPr>
              <w:pStyle w:val="184"/>
              <w:spacing w:line="276" w:lineRule="auto"/>
              <w:rPr>
                <w:rFonts w:ascii="Times New Roman" w:hAnsi="Times New Roman" w:eastAsia="宋体" w:cs="Times New Roman"/>
                <w:color w:val="auto"/>
                <w:spacing w:val="-20"/>
                <w:sz w:val="21"/>
                <w:szCs w:val="21"/>
              </w:rPr>
            </w:pPr>
            <w:r>
              <w:rPr>
                <w:rFonts w:hint="eastAsia" w:ascii="Times New Roman" w:hAnsi="Times New Roman" w:eastAsia="宋体" w:cs="Times New Roman"/>
                <w:color w:val="auto"/>
                <w:spacing w:val="-20"/>
                <w:sz w:val="21"/>
                <w:szCs w:val="21"/>
              </w:rPr>
              <w:t>光污染</w:t>
            </w:r>
          </w:p>
        </w:tc>
        <w:tc>
          <w:tcPr>
            <w:tcW w:w="837" w:type="pct"/>
            <w:noWrap w:val="0"/>
            <w:vAlign w:val="center"/>
          </w:tcPr>
          <w:p>
            <w:pPr>
              <w:spacing w:line="276" w:lineRule="auto"/>
              <w:jc w:val="center"/>
              <w:rPr>
                <w:rFonts w:hint="eastAsia"/>
                <w:color w:val="auto"/>
                <w:sz w:val="21"/>
                <w:szCs w:val="21"/>
              </w:rPr>
            </w:pPr>
            <w:r>
              <w:rPr>
                <w:rFonts w:hint="eastAsia"/>
                <w:color w:val="auto"/>
                <w:sz w:val="21"/>
                <w:szCs w:val="21"/>
              </w:rPr>
              <w:t>光伏组件</w:t>
            </w:r>
          </w:p>
          <w:p>
            <w:pPr>
              <w:spacing w:line="276" w:lineRule="auto"/>
              <w:jc w:val="center"/>
              <w:rPr>
                <w:rFonts w:hint="eastAsia"/>
                <w:color w:val="auto"/>
                <w:sz w:val="21"/>
                <w:szCs w:val="21"/>
              </w:rPr>
            </w:pPr>
            <w:r>
              <w:rPr>
                <w:rFonts w:hint="eastAsia"/>
                <w:color w:val="auto"/>
                <w:sz w:val="21"/>
                <w:szCs w:val="21"/>
              </w:rPr>
              <w:t>表面反射光</w:t>
            </w:r>
          </w:p>
        </w:tc>
        <w:tc>
          <w:tcPr>
            <w:tcW w:w="3876" w:type="pct"/>
            <w:gridSpan w:val="9"/>
            <w:noWrap w:val="0"/>
            <w:vAlign w:val="center"/>
          </w:tcPr>
          <w:p>
            <w:pPr>
              <w:spacing w:line="276" w:lineRule="auto"/>
              <w:jc w:val="center"/>
              <w:rPr>
                <w:rFonts w:hint="eastAsia"/>
                <w:color w:val="auto"/>
                <w:sz w:val="21"/>
                <w:szCs w:val="21"/>
              </w:rPr>
            </w:pPr>
            <w:r>
              <w:rPr>
                <w:rFonts w:hint="eastAsia"/>
                <w:color w:val="auto"/>
                <w:sz w:val="21"/>
                <w:szCs w:val="21"/>
              </w:rPr>
              <w:t>本项目采用的光伏组件表面发射比仅为0.11-0.15，符合《玻璃幕墙光学性能》（GB/T18091-2000）的要求，不会对环境造成明显光污染干扰。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23" w:type="dxa"/>
            <w:bottom w:w="0" w:type="dxa"/>
            <w:right w:w="28" w:type="dxa"/>
          </w:tblCellMar>
        </w:tblPrEx>
        <w:trPr>
          <w:trHeight w:val="1038" w:hRule="atLeast"/>
          <w:jc w:val="center"/>
        </w:trPr>
        <w:tc>
          <w:tcPr>
            <w:tcW w:w="285" w:type="pct"/>
            <w:noWrap w:val="0"/>
            <w:vAlign w:val="center"/>
          </w:tcPr>
          <w:p>
            <w:pPr>
              <w:pStyle w:val="184"/>
              <w:spacing w:line="240" w:lineRule="exact"/>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电磁辐射电离辐射</w:t>
            </w:r>
          </w:p>
        </w:tc>
        <w:tc>
          <w:tcPr>
            <w:tcW w:w="837" w:type="pct"/>
            <w:noWrap w:val="0"/>
            <w:vAlign w:val="center"/>
          </w:tcPr>
          <w:p>
            <w:pPr>
              <w:pStyle w:val="184"/>
              <w:spacing w:line="36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3876" w:type="pct"/>
            <w:gridSpan w:val="9"/>
            <w:noWrap w:val="0"/>
            <w:vAlign w:val="center"/>
          </w:tcPr>
          <w:p>
            <w:pPr>
              <w:pStyle w:val="184"/>
              <w:spacing w:line="36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23" w:type="dxa"/>
            <w:bottom w:w="0" w:type="dxa"/>
            <w:right w:w="28" w:type="dxa"/>
          </w:tblCellMar>
        </w:tblPrEx>
        <w:trPr>
          <w:trHeight w:val="758" w:hRule="atLeast"/>
          <w:jc w:val="center"/>
        </w:trPr>
        <w:tc>
          <w:tcPr>
            <w:tcW w:w="285" w:type="pct"/>
            <w:noWrap w:val="0"/>
            <w:vAlign w:val="center"/>
          </w:tcPr>
          <w:p>
            <w:pPr>
              <w:pStyle w:val="184"/>
              <w:spacing w:line="240" w:lineRule="exact"/>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噪声</w:t>
            </w:r>
          </w:p>
        </w:tc>
        <w:tc>
          <w:tcPr>
            <w:tcW w:w="4714" w:type="pct"/>
            <w:gridSpan w:val="10"/>
            <w:noWrap w:val="0"/>
            <w:vAlign w:val="center"/>
          </w:tcPr>
          <w:p>
            <w:pPr>
              <w:pStyle w:val="184"/>
              <w:spacing w:line="360" w:lineRule="auto"/>
              <w:ind w:firstLine="315" w:firstLineChars="150"/>
              <w:jc w:val="left"/>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光伏阵列运行时无明显噪声，不会对当地环境产生明显影响。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23" w:type="dxa"/>
            <w:bottom w:w="0" w:type="dxa"/>
            <w:right w:w="28" w:type="dxa"/>
          </w:tblCellMar>
        </w:tblPrEx>
        <w:trPr>
          <w:trHeight w:val="547" w:hRule="atLeast"/>
          <w:jc w:val="center"/>
        </w:trPr>
        <w:tc>
          <w:tcPr>
            <w:tcW w:w="5000" w:type="pct"/>
            <w:gridSpan w:val="11"/>
            <w:noWrap w:val="0"/>
            <w:vAlign w:val="center"/>
          </w:tcPr>
          <w:p>
            <w:pPr>
              <w:pStyle w:val="184"/>
              <w:spacing w:line="240" w:lineRule="exact"/>
              <w:jc w:val="both"/>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主要生态影响（不够时可另附页）</w:t>
            </w:r>
          </w:p>
          <w:p>
            <w:pPr>
              <w:pStyle w:val="15"/>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316" w:firstLineChars="150"/>
              <w:textAlignment w:val="auto"/>
              <w:rPr>
                <w:rFonts w:ascii="Times New Roman" w:hAnsi="Times New Roman"/>
                <w:b/>
                <w:color w:val="auto"/>
                <w:sz w:val="21"/>
                <w:szCs w:val="21"/>
              </w:rPr>
            </w:pPr>
            <w:r>
              <w:rPr>
                <w:rFonts w:ascii="Times New Roman" w:hAnsi="Times New Roman"/>
                <w:b/>
                <w:color w:val="auto"/>
                <w:sz w:val="21"/>
                <w:szCs w:val="21"/>
              </w:rPr>
              <w:t>1、施工期生态影响分析</w:t>
            </w:r>
          </w:p>
          <w:p>
            <w:pPr>
              <w:pStyle w:val="15"/>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ascii="Times New Roman" w:hAnsi="Times New Roman"/>
                <w:color w:val="auto"/>
                <w:sz w:val="21"/>
                <w:szCs w:val="21"/>
              </w:rPr>
            </w:pPr>
            <w:r>
              <w:rPr>
                <w:rFonts w:hint="eastAsia" w:hAnsi="宋体" w:cs="宋体"/>
                <w:color w:val="auto"/>
                <w:sz w:val="21"/>
                <w:szCs w:val="21"/>
              </w:rPr>
              <w:t>①</w:t>
            </w:r>
            <w:r>
              <w:rPr>
                <w:rFonts w:ascii="Times New Roman" w:hAnsi="Times New Roman"/>
                <w:color w:val="auto"/>
                <w:sz w:val="21"/>
                <w:szCs w:val="21"/>
              </w:rPr>
              <w:t xml:space="preserve"> 土地利用的影响</w:t>
            </w:r>
          </w:p>
          <w:p>
            <w:pPr>
              <w:pStyle w:val="15"/>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ascii="Times New Roman" w:hAnsi="Times New Roman"/>
                <w:color w:val="auto"/>
                <w:sz w:val="21"/>
                <w:szCs w:val="21"/>
              </w:rPr>
            </w:pPr>
            <w:r>
              <w:rPr>
                <w:rFonts w:ascii="Times New Roman" w:hAnsi="Times New Roman"/>
                <w:color w:val="auto"/>
                <w:sz w:val="21"/>
                <w:szCs w:val="21"/>
              </w:rPr>
              <w:t>工程建设</w:t>
            </w:r>
            <w:r>
              <w:rPr>
                <w:rFonts w:hint="eastAsia" w:ascii="Times New Roman" w:hAnsi="Times New Roman"/>
                <w:color w:val="auto"/>
                <w:sz w:val="21"/>
                <w:szCs w:val="21"/>
                <w:lang w:eastAsia="zh-CN"/>
              </w:rPr>
              <w:t>过程中</w:t>
            </w:r>
            <w:r>
              <w:rPr>
                <w:rFonts w:ascii="Times New Roman" w:hAnsi="Times New Roman"/>
                <w:color w:val="auto"/>
                <w:sz w:val="21"/>
                <w:szCs w:val="21"/>
              </w:rPr>
              <w:t>临时占用一定面积的土地，使建设区范围内各种土地现状面积发生变化，导致区域自然生态体系生产力和稳定状况发生改变，对建设区生态完整性产生一定影响。临时占地区对土地和植被的影响是短期的，施工结束采取植被恢复措施后可恢复原有土地功能。</w:t>
            </w:r>
          </w:p>
          <w:p>
            <w:pPr>
              <w:pStyle w:val="15"/>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ascii="Times New Roman" w:hAnsi="Times New Roman"/>
                <w:color w:val="auto"/>
                <w:sz w:val="21"/>
                <w:szCs w:val="21"/>
              </w:rPr>
            </w:pPr>
            <w:r>
              <w:rPr>
                <w:rFonts w:hint="eastAsia" w:hAnsi="宋体" w:cs="宋体"/>
                <w:color w:val="auto"/>
                <w:sz w:val="21"/>
                <w:szCs w:val="21"/>
              </w:rPr>
              <w:t>②</w:t>
            </w:r>
            <w:r>
              <w:rPr>
                <w:rFonts w:ascii="Times New Roman" w:hAnsi="Times New Roman"/>
                <w:color w:val="auto"/>
                <w:sz w:val="21"/>
                <w:szCs w:val="21"/>
              </w:rPr>
              <w:t xml:space="preserve"> 对植被的影响</w:t>
            </w:r>
          </w:p>
          <w:p>
            <w:pPr>
              <w:pStyle w:val="15"/>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ascii="Times New Roman" w:hAnsi="Times New Roman"/>
                <w:color w:val="auto"/>
                <w:sz w:val="21"/>
                <w:szCs w:val="21"/>
              </w:rPr>
            </w:pPr>
            <w:r>
              <w:rPr>
                <w:rFonts w:ascii="Times New Roman" w:hAnsi="Times New Roman"/>
                <w:color w:val="auto"/>
                <w:sz w:val="21"/>
                <w:szCs w:val="21"/>
              </w:rPr>
              <w:t>施工期工程临时占地区内植被将被不可避免地受到扰动和破坏。</w:t>
            </w:r>
          </w:p>
          <w:p>
            <w:pPr>
              <w:pStyle w:val="15"/>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ascii="Times New Roman" w:hAnsi="Times New Roman"/>
                <w:color w:val="auto"/>
                <w:sz w:val="21"/>
                <w:szCs w:val="21"/>
              </w:rPr>
            </w:pPr>
            <w:r>
              <w:rPr>
                <w:rFonts w:hint="eastAsia" w:hAnsi="宋体" w:cs="宋体"/>
                <w:color w:val="auto"/>
                <w:sz w:val="21"/>
                <w:szCs w:val="21"/>
              </w:rPr>
              <w:t>③</w:t>
            </w:r>
            <w:r>
              <w:rPr>
                <w:rFonts w:ascii="Times New Roman" w:hAnsi="Times New Roman"/>
                <w:color w:val="auto"/>
                <w:sz w:val="21"/>
                <w:szCs w:val="21"/>
              </w:rPr>
              <w:t xml:space="preserve"> 对动物及其栖息地的影响</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color w:val="auto"/>
                <w:sz w:val="21"/>
                <w:szCs w:val="21"/>
              </w:rPr>
            </w:pPr>
            <w:r>
              <w:rPr>
                <w:color w:val="auto"/>
                <w:sz w:val="21"/>
                <w:szCs w:val="21"/>
              </w:rPr>
              <w:t>工程施工活动将干扰鸟类等动物的原有生活环境，使</w:t>
            </w:r>
            <w:r>
              <w:rPr>
                <w:rFonts w:hint="eastAsia"/>
                <w:color w:val="auto"/>
                <w:sz w:val="21"/>
                <w:szCs w:val="21"/>
              </w:rPr>
              <w:t>场区</w:t>
            </w:r>
            <w:r>
              <w:rPr>
                <w:color w:val="auto"/>
                <w:sz w:val="21"/>
                <w:szCs w:val="21"/>
              </w:rPr>
              <w:t>范围内的鸟类等动物在此觅食、筑巢和繁殖受到影响，但由于光伏</w:t>
            </w:r>
            <w:r>
              <w:rPr>
                <w:rFonts w:hint="eastAsia"/>
                <w:color w:val="auto"/>
                <w:sz w:val="21"/>
                <w:szCs w:val="21"/>
              </w:rPr>
              <w:t>阵列</w:t>
            </w:r>
            <w:r>
              <w:rPr>
                <w:color w:val="auto"/>
                <w:sz w:val="21"/>
                <w:szCs w:val="21"/>
              </w:rPr>
              <w:t>施工期较短，因此施工期间对动物的影响不大，更不会造成物种数量的下降。</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color w:val="auto"/>
                <w:sz w:val="21"/>
                <w:szCs w:val="21"/>
              </w:rPr>
            </w:pPr>
            <w:r>
              <w:rPr>
                <w:rFonts w:hint="eastAsia" w:ascii="宋体" w:hAnsi="宋体" w:cs="宋体"/>
                <w:color w:val="auto"/>
                <w:sz w:val="21"/>
                <w:szCs w:val="21"/>
              </w:rPr>
              <w:t>④</w:t>
            </w:r>
            <w:r>
              <w:rPr>
                <w:color w:val="auto"/>
                <w:sz w:val="21"/>
                <w:szCs w:val="21"/>
              </w:rPr>
              <w:t xml:space="preserve"> 景观影响</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color w:val="auto"/>
                <w:sz w:val="21"/>
                <w:szCs w:val="21"/>
              </w:rPr>
            </w:pPr>
            <w:r>
              <w:rPr>
                <w:color w:val="auto"/>
                <w:sz w:val="21"/>
                <w:szCs w:val="21"/>
              </w:rPr>
              <w:t>工程施工期各类施工活动对建设区景观生态造成短期影响。</w:t>
            </w:r>
          </w:p>
          <w:p>
            <w:pPr>
              <w:pStyle w:val="15"/>
              <w:keepNext w:val="0"/>
              <w:keepLines w:val="0"/>
              <w:pageBreakBefore w:val="0"/>
              <w:widowControl w:val="0"/>
              <w:kinsoku/>
              <w:wordWrap/>
              <w:overflowPunct/>
              <w:topLinePunct w:val="0"/>
              <w:autoSpaceDE/>
              <w:autoSpaceDN/>
              <w:bidi w:val="0"/>
              <w:adjustRightInd w:val="0"/>
              <w:snapToGrid w:val="0"/>
              <w:spacing w:line="360" w:lineRule="auto"/>
              <w:ind w:firstLine="316" w:firstLineChars="150"/>
              <w:textAlignment w:val="auto"/>
              <w:rPr>
                <w:rFonts w:ascii="Times New Roman" w:hAnsi="Times New Roman"/>
                <w:b/>
                <w:color w:val="auto"/>
                <w:sz w:val="21"/>
                <w:szCs w:val="21"/>
              </w:rPr>
            </w:pPr>
            <w:r>
              <w:rPr>
                <w:rFonts w:ascii="Times New Roman" w:hAnsi="Times New Roman"/>
                <w:b/>
                <w:color w:val="auto"/>
                <w:sz w:val="21"/>
                <w:szCs w:val="21"/>
              </w:rPr>
              <w:t>2、营运期生态影响分析</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color w:val="auto"/>
                <w:sz w:val="21"/>
                <w:szCs w:val="21"/>
              </w:rPr>
            </w:pPr>
            <w:r>
              <w:rPr>
                <w:rFonts w:hint="eastAsia" w:ascii="宋体" w:hAnsi="宋体" w:cs="宋体"/>
                <w:color w:val="auto"/>
                <w:sz w:val="21"/>
                <w:szCs w:val="21"/>
              </w:rPr>
              <w:t>①</w:t>
            </w:r>
            <w:r>
              <w:rPr>
                <w:color w:val="auto"/>
                <w:sz w:val="21"/>
                <w:szCs w:val="21"/>
              </w:rPr>
              <w:t xml:space="preserve"> 土地利用影响</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color w:val="auto"/>
                <w:sz w:val="21"/>
                <w:szCs w:val="21"/>
              </w:rPr>
            </w:pPr>
            <w:r>
              <w:rPr>
                <w:color w:val="auto"/>
                <w:sz w:val="21"/>
                <w:szCs w:val="21"/>
              </w:rPr>
              <w:t>本工程</w:t>
            </w:r>
            <w:r>
              <w:rPr>
                <w:rFonts w:hint="eastAsia"/>
                <w:color w:val="auto"/>
                <w:sz w:val="21"/>
                <w:szCs w:val="21"/>
              </w:rPr>
              <w:t>将原</w:t>
            </w:r>
            <w:r>
              <w:rPr>
                <w:rFonts w:hint="eastAsia"/>
                <w:color w:val="auto"/>
                <w:sz w:val="21"/>
                <w:szCs w:val="21"/>
                <w:lang w:val="en-US" w:eastAsia="zh-CN"/>
              </w:rPr>
              <w:t>灰场变为</w:t>
            </w:r>
            <w:r>
              <w:rPr>
                <w:rFonts w:hint="eastAsia"/>
                <w:color w:val="auto"/>
                <w:sz w:val="21"/>
                <w:szCs w:val="21"/>
              </w:rPr>
              <w:t>光伏方阵场</w:t>
            </w:r>
            <w:r>
              <w:rPr>
                <w:rFonts w:hint="eastAsia"/>
                <w:color w:val="auto"/>
                <w:sz w:val="21"/>
                <w:szCs w:val="21"/>
                <w:lang w:val="en-US" w:eastAsia="zh-CN"/>
              </w:rPr>
              <w:t>地</w:t>
            </w:r>
            <w:r>
              <w:rPr>
                <w:rFonts w:hint="eastAsia"/>
                <w:color w:val="auto"/>
                <w:sz w:val="21"/>
                <w:szCs w:val="21"/>
              </w:rPr>
              <w:t>，</w:t>
            </w:r>
            <w:r>
              <w:rPr>
                <w:color w:val="auto"/>
                <w:sz w:val="21"/>
                <w:szCs w:val="21"/>
              </w:rPr>
              <w:t>对当地土地利用结构影响较小。</w:t>
            </w:r>
          </w:p>
          <w:p>
            <w:pPr>
              <w:pStyle w:val="15"/>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ascii="Times New Roman" w:hAnsi="Times New Roman"/>
                <w:color w:val="auto"/>
                <w:sz w:val="21"/>
                <w:szCs w:val="21"/>
              </w:rPr>
            </w:pPr>
            <w:r>
              <w:rPr>
                <w:rFonts w:hint="eastAsia" w:hAnsi="宋体" w:cs="宋体"/>
                <w:color w:val="auto"/>
                <w:sz w:val="21"/>
                <w:szCs w:val="21"/>
              </w:rPr>
              <w:t>②</w:t>
            </w:r>
            <w:r>
              <w:rPr>
                <w:rFonts w:ascii="Times New Roman" w:hAnsi="Times New Roman"/>
                <w:color w:val="auto"/>
                <w:sz w:val="21"/>
                <w:szCs w:val="21"/>
              </w:rPr>
              <w:t xml:space="preserve"> 对植被的影响</w:t>
            </w:r>
          </w:p>
          <w:p>
            <w:pPr>
              <w:pStyle w:val="15"/>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ascii="Times New Roman" w:hAnsi="Times New Roman"/>
                <w:color w:val="auto"/>
                <w:sz w:val="21"/>
                <w:szCs w:val="21"/>
              </w:rPr>
            </w:pPr>
            <w:r>
              <w:rPr>
                <w:rFonts w:ascii="Times New Roman" w:hAnsi="Times New Roman"/>
                <w:color w:val="auto"/>
                <w:sz w:val="21"/>
                <w:szCs w:val="21"/>
              </w:rPr>
              <w:t>施工结束采取植被恢复措施，建设区植被将得到一定程度地恢复。</w:t>
            </w:r>
          </w:p>
          <w:p>
            <w:pPr>
              <w:pStyle w:val="15"/>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ascii="Times New Roman" w:hAnsi="Times New Roman"/>
                <w:color w:val="auto"/>
                <w:sz w:val="21"/>
                <w:szCs w:val="21"/>
              </w:rPr>
            </w:pPr>
            <w:r>
              <w:rPr>
                <w:rFonts w:hint="eastAsia" w:hAnsi="宋体" w:cs="宋体"/>
                <w:color w:val="auto"/>
                <w:sz w:val="21"/>
                <w:szCs w:val="21"/>
              </w:rPr>
              <w:t>③</w:t>
            </w:r>
            <w:r>
              <w:rPr>
                <w:rFonts w:ascii="Times New Roman" w:hAnsi="Times New Roman"/>
                <w:color w:val="auto"/>
                <w:sz w:val="21"/>
                <w:szCs w:val="21"/>
              </w:rPr>
              <w:t xml:space="preserve"> 对动物及其栖息地的影响</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color w:val="auto"/>
                <w:sz w:val="21"/>
                <w:szCs w:val="21"/>
              </w:rPr>
            </w:pPr>
            <w:r>
              <w:rPr>
                <w:rFonts w:hint="eastAsia"/>
                <w:color w:val="auto"/>
                <w:sz w:val="21"/>
                <w:szCs w:val="21"/>
              </w:rPr>
              <w:t>光伏阵列</w:t>
            </w:r>
            <w:r>
              <w:rPr>
                <w:color w:val="auto"/>
                <w:sz w:val="21"/>
                <w:szCs w:val="21"/>
              </w:rPr>
              <w:t>不会对</w:t>
            </w:r>
            <w:r>
              <w:rPr>
                <w:rFonts w:hint="eastAsia"/>
                <w:color w:val="auto"/>
                <w:sz w:val="21"/>
                <w:szCs w:val="21"/>
                <w:lang w:val="en-US" w:eastAsia="zh-CN"/>
              </w:rPr>
              <w:t>灰场范围</w:t>
            </w:r>
            <w:r>
              <w:rPr>
                <w:rFonts w:hint="eastAsia"/>
                <w:color w:val="auto"/>
                <w:sz w:val="21"/>
                <w:szCs w:val="21"/>
              </w:rPr>
              <w:t>外的</w:t>
            </w:r>
            <w:r>
              <w:rPr>
                <w:color w:val="auto"/>
                <w:sz w:val="21"/>
                <w:szCs w:val="21"/>
              </w:rPr>
              <w:t>动物活动造成影响。</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color w:val="auto"/>
                <w:sz w:val="21"/>
                <w:szCs w:val="21"/>
              </w:rPr>
            </w:pPr>
            <w:r>
              <w:rPr>
                <w:rFonts w:hint="eastAsia" w:ascii="宋体" w:hAnsi="宋体" w:cs="宋体"/>
                <w:color w:val="auto"/>
                <w:sz w:val="21"/>
                <w:szCs w:val="21"/>
              </w:rPr>
              <w:t>④</w:t>
            </w:r>
            <w:r>
              <w:rPr>
                <w:color w:val="auto"/>
                <w:sz w:val="21"/>
                <w:szCs w:val="21"/>
              </w:rPr>
              <w:t xml:space="preserve"> 景观影响</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color w:val="auto"/>
                <w:sz w:val="21"/>
                <w:szCs w:val="21"/>
              </w:rPr>
            </w:pPr>
            <w:r>
              <w:rPr>
                <w:color w:val="auto"/>
                <w:sz w:val="21"/>
                <w:szCs w:val="21"/>
              </w:rPr>
              <w:t>工程对建设区自然景观优势度产生一定影响，但对区域景观不会造成大的影响。</w:t>
            </w:r>
          </w:p>
          <w:p>
            <w:pPr>
              <w:pStyle w:val="184"/>
              <w:spacing w:line="240" w:lineRule="exact"/>
              <w:rPr>
                <w:rFonts w:ascii="Times New Roman" w:hAnsi="Times New Roman" w:eastAsia="宋体" w:cs="Times New Roman"/>
                <w:color w:val="auto"/>
                <w:sz w:val="21"/>
                <w:szCs w:val="21"/>
              </w:rPr>
            </w:pPr>
          </w:p>
          <w:p>
            <w:pPr>
              <w:pStyle w:val="184"/>
              <w:spacing w:line="240" w:lineRule="exact"/>
              <w:rPr>
                <w:rFonts w:ascii="Times New Roman" w:hAnsi="Times New Roman" w:eastAsia="宋体" w:cs="Times New Roman"/>
                <w:color w:val="auto"/>
                <w:sz w:val="21"/>
                <w:szCs w:val="21"/>
              </w:rPr>
            </w:pPr>
          </w:p>
          <w:p>
            <w:pPr>
              <w:pStyle w:val="184"/>
              <w:spacing w:line="240" w:lineRule="exact"/>
              <w:rPr>
                <w:rFonts w:ascii="Times New Roman" w:hAnsi="Times New Roman" w:eastAsia="宋体" w:cs="Times New Roman"/>
                <w:color w:val="auto"/>
                <w:sz w:val="21"/>
                <w:szCs w:val="21"/>
              </w:rPr>
            </w:pPr>
          </w:p>
          <w:p>
            <w:pPr>
              <w:pStyle w:val="184"/>
              <w:spacing w:line="240" w:lineRule="exact"/>
              <w:rPr>
                <w:rFonts w:ascii="Times New Roman" w:hAnsi="Times New Roman" w:eastAsia="宋体" w:cs="Times New Roman"/>
                <w:color w:val="auto"/>
                <w:sz w:val="21"/>
                <w:szCs w:val="21"/>
              </w:rPr>
            </w:pPr>
          </w:p>
          <w:p>
            <w:pPr>
              <w:pStyle w:val="184"/>
              <w:spacing w:line="240" w:lineRule="exact"/>
              <w:rPr>
                <w:rFonts w:ascii="Times New Roman" w:hAnsi="Times New Roman" w:eastAsia="宋体" w:cs="Times New Roman"/>
                <w:color w:val="auto"/>
                <w:sz w:val="21"/>
                <w:szCs w:val="21"/>
              </w:rPr>
            </w:pPr>
          </w:p>
          <w:p>
            <w:pPr>
              <w:pStyle w:val="184"/>
              <w:spacing w:line="240" w:lineRule="exact"/>
              <w:rPr>
                <w:rFonts w:ascii="Times New Roman" w:hAnsi="Times New Roman" w:eastAsia="宋体" w:cs="Times New Roman"/>
                <w:color w:val="auto"/>
                <w:sz w:val="21"/>
                <w:szCs w:val="21"/>
              </w:rPr>
            </w:pPr>
          </w:p>
          <w:p>
            <w:pPr>
              <w:pStyle w:val="184"/>
              <w:spacing w:line="240" w:lineRule="exact"/>
              <w:rPr>
                <w:rFonts w:ascii="Times New Roman" w:hAnsi="Times New Roman" w:eastAsia="宋体" w:cs="Times New Roman"/>
                <w:color w:val="auto"/>
                <w:sz w:val="21"/>
                <w:szCs w:val="21"/>
              </w:rPr>
            </w:pPr>
          </w:p>
          <w:p>
            <w:pPr>
              <w:pStyle w:val="184"/>
              <w:spacing w:line="240" w:lineRule="exact"/>
              <w:rPr>
                <w:rFonts w:ascii="Times New Roman" w:hAnsi="Times New Roman" w:eastAsia="宋体" w:cs="Times New Roman"/>
                <w:color w:val="auto"/>
                <w:sz w:val="21"/>
                <w:szCs w:val="21"/>
              </w:rPr>
            </w:pPr>
          </w:p>
          <w:p>
            <w:pPr>
              <w:pStyle w:val="184"/>
              <w:spacing w:line="240" w:lineRule="exact"/>
              <w:rPr>
                <w:rFonts w:ascii="Times New Roman" w:hAnsi="Times New Roman" w:eastAsia="宋体" w:cs="Times New Roman"/>
                <w:color w:val="auto"/>
                <w:sz w:val="21"/>
                <w:szCs w:val="21"/>
              </w:rPr>
            </w:pPr>
          </w:p>
          <w:p>
            <w:pPr>
              <w:pStyle w:val="184"/>
              <w:spacing w:line="240" w:lineRule="exact"/>
              <w:rPr>
                <w:rFonts w:ascii="Times New Roman" w:hAnsi="Times New Roman" w:eastAsia="宋体" w:cs="Times New Roman"/>
                <w:color w:val="auto"/>
                <w:sz w:val="21"/>
                <w:szCs w:val="21"/>
              </w:rPr>
            </w:pPr>
          </w:p>
          <w:p>
            <w:pPr>
              <w:pStyle w:val="184"/>
              <w:spacing w:line="240" w:lineRule="exact"/>
              <w:rPr>
                <w:rFonts w:ascii="Times New Roman" w:hAnsi="Times New Roman" w:eastAsia="宋体" w:cs="Times New Roman"/>
                <w:color w:val="auto"/>
                <w:sz w:val="21"/>
                <w:szCs w:val="21"/>
              </w:rPr>
            </w:pPr>
          </w:p>
          <w:p>
            <w:pPr>
              <w:pStyle w:val="184"/>
              <w:spacing w:line="240" w:lineRule="exact"/>
              <w:rPr>
                <w:rFonts w:ascii="Times New Roman" w:hAnsi="Times New Roman" w:eastAsia="宋体" w:cs="Times New Roman"/>
                <w:color w:val="auto"/>
                <w:sz w:val="21"/>
                <w:szCs w:val="21"/>
              </w:rPr>
            </w:pPr>
          </w:p>
          <w:p>
            <w:pPr>
              <w:pStyle w:val="184"/>
              <w:spacing w:line="240" w:lineRule="exact"/>
              <w:rPr>
                <w:rFonts w:ascii="Times New Roman" w:hAnsi="Times New Roman" w:eastAsia="宋体" w:cs="Times New Roman"/>
                <w:color w:val="auto"/>
                <w:sz w:val="21"/>
                <w:szCs w:val="21"/>
              </w:rPr>
            </w:pPr>
          </w:p>
          <w:p>
            <w:pPr>
              <w:pStyle w:val="184"/>
              <w:spacing w:line="240" w:lineRule="exact"/>
              <w:rPr>
                <w:rFonts w:ascii="Times New Roman" w:hAnsi="Times New Roman" w:eastAsia="宋体" w:cs="Times New Roman"/>
                <w:color w:val="auto"/>
                <w:sz w:val="21"/>
                <w:szCs w:val="21"/>
              </w:rPr>
            </w:pPr>
          </w:p>
          <w:p>
            <w:pPr>
              <w:pStyle w:val="184"/>
              <w:spacing w:line="240" w:lineRule="exact"/>
              <w:rPr>
                <w:rFonts w:ascii="Times New Roman" w:hAnsi="Times New Roman" w:eastAsia="宋体" w:cs="Times New Roman"/>
                <w:color w:val="auto"/>
                <w:sz w:val="21"/>
                <w:szCs w:val="21"/>
              </w:rPr>
            </w:pPr>
          </w:p>
          <w:p>
            <w:pPr>
              <w:pStyle w:val="184"/>
              <w:spacing w:line="240" w:lineRule="exact"/>
              <w:rPr>
                <w:rFonts w:ascii="Times New Roman" w:hAnsi="Times New Roman" w:eastAsia="宋体" w:cs="Times New Roman"/>
                <w:color w:val="auto"/>
                <w:sz w:val="21"/>
                <w:szCs w:val="21"/>
              </w:rPr>
            </w:pPr>
          </w:p>
          <w:p>
            <w:pPr>
              <w:pStyle w:val="184"/>
              <w:spacing w:line="240" w:lineRule="exact"/>
              <w:rPr>
                <w:rFonts w:ascii="Times New Roman" w:hAnsi="Times New Roman" w:eastAsia="宋体" w:cs="Times New Roman"/>
                <w:color w:val="auto"/>
                <w:sz w:val="21"/>
                <w:szCs w:val="21"/>
              </w:rPr>
            </w:pPr>
          </w:p>
          <w:p>
            <w:pPr>
              <w:pStyle w:val="184"/>
              <w:spacing w:line="240" w:lineRule="exact"/>
              <w:rPr>
                <w:rFonts w:ascii="Times New Roman" w:hAnsi="Times New Roman" w:eastAsia="宋体" w:cs="Times New Roman"/>
                <w:color w:val="auto"/>
                <w:sz w:val="21"/>
                <w:szCs w:val="21"/>
              </w:rPr>
            </w:pPr>
          </w:p>
          <w:p>
            <w:pPr>
              <w:pStyle w:val="184"/>
              <w:spacing w:line="240" w:lineRule="exact"/>
              <w:rPr>
                <w:rFonts w:ascii="Times New Roman" w:hAnsi="Times New Roman" w:eastAsia="宋体" w:cs="Times New Roman"/>
                <w:color w:val="auto"/>
                <w:sz w:val="21"/>
                <w:szCs w:val="21"/>
              </w:rPr>
            </w:pPr>
          </w:p>
          <w:p>
            <w:pPr>
              <w:pStyle w:val="184"/>
              <w:spacing w:line="240" w:lineRule="exact"/>
              <w:rPr>
                <w:rFonts w:ascii="Times New Roman" w:hAnsi="Times New Roman" w:eastAsia="宋体" w:cs="Times New Roman"/>
                <w:color w:val="auto"/>
                <w:sz w:val="21"/>
                <w:szCs w:val="21"/>
              </w:rPr>
            </w:pPr>
          </w:p>
          <w:p>
            <w:pPr>
              <w:pStyle w:val="184"/>
              <w:spacing w:line="240" w:lineRule="exact"/>
              <w:rPr>
                <w:rFonts w:ascii="Times New Roman" w:hAnsi="Times New Roman" w:eastAsia="宋体" w:cs="Times New Roman"/>
                <w:color w:val="auto"/>
                <w:sz w:val="21"/>
                <w:szCs w:val="21"/>
              </w:rPr>
            </w:pPr>
          </w:p>
          <w:p>
            <w:pPr>
              <w:pStyle w:val="184"/>
              <w:spacing w:line="240" w:lineRule="exact"/>
              <w:rPr>
                <w:rFonts w:ascii="Times New Roman" w:hAnsi="Times New Roman" w:eastAsia="宋体" w:cs="Times New Roman"/>
                <w:color w:val="auto"/>
                <w:sz w:val="21"/>
                <w:szCs w:val="21"/>
              </w:rPr>
            </w:pPr>
          </w:p>
          <w:p>
            <w:pPr>
              <w:pStyle w:val="184"/>
              <w:spacing w:line="240" w:lineRule="exact"/>
              <w:rPr>
                <w:rFonts w:ascii="Times New Roman" w:hAnsi="Times New Roman" w:eastAsia="宋体" w:cs="Times New Roman"/>
                <w:color w:val="auto"/>
                <w:sz w:val="21"/>
                <w:szCs w:val="21"/>
              </w:rPr>
            </w:pPr>
          </w:p>
          <w:p>
            <w:pPr>
              <w:pStyle w:val="184"/>
              <w:spacing w:line="240" w:lineRule="exact"/>
              <w:rPr>
                <w:rFonts w:ascii="Times New Roman" w:hAnsi="Times New Roman" w:eastAsia="宋体" w:cs="Times New Roman"/>
                <w:color w:val="auto"/>
                <w:sz w:val="21"/>
                <w:szCs w:val="21"/>
              </w:rPr>
            </w:pPr>
          </w:p>
          <w:p>
            <w:pPr>
              <w:pStyle w:val="184"/>
              <w:spacing w:line="240" w:lineRule="exact"/>
              <w:rPr>
                <w:rFonts w:ascii="Times New Roman" w:hAnsi="Times New Roman" w:eastAsia="宋体" w:cs="Times New Roman"/>
                <w:color w:val="auto"/>
                <w:sz w:val="21"/>
                <w:szCs w:val="21"/>
              </w:rPr>
            </w:pPr>
          </w:p>
          <w:p>
            <w:pPr>
              <w:pStyle w:val="184"/>
              <w:spacing w:line="240" w:lineRule="exact"/>
              <w:rPr>
                <w:rFonts w:ascii="Times New Roman" w:hAnsi="Times New Roman" w:eastAsia="宋体" w:cs="Times New Roman"/>
                <w:color w:val="auto"/>
                <w:sz w:val="21"/>
                <w:szCs w:val="21"/>
              </w:rPr>
            </w:pPr>
          </w:p>
          <w:p>
            <w:pPr>
              <w:pStyle w:val="184"/>
              <w:spacing w:line="240" w:lineRule="exact"/>
              <w:rPr>
                <w:rFonts w:ascii="Times New Roman" w:hAnsi="Times New Roman" w:eastAsia="宋体" w:cs="Times New Roman"/>
                <w:color w:val="auto"/>
                <w:sz w:val="21"/>
                <w:szCs w:val="21"/>
              </w:rPr>
            </w:pPr>
          </w:p>
          <w:p>
            <w:pPr>
              <w:pStyle w:val="184"/>
              <w:spacing w:line="240" w:lineRule="exact"/>
              <w:rPr>
                <w:rFonts w:ascii="Times New Roman" w:hAnsi="Times New Roman" w:eastAsia="宋体" w:cs="Times New Roman"/>
                <w:color w:val="auto"/>
                <w:sz w:val="21"/>
                <w:szCs w:val="21"/>
              </w:rPr>
            </w:pPr>
          </w:p>
          <w:p>
            <w:pPr>
              <w:pStyle w:val="184"/>
              <w:spacing w:line="240" w:lineRule="exact"/>
              <w:rPr>
                <w:rFonts w:ascii="Times New Roman" w:hAnsi="Times New Roman" w:eastAsia="宋体" w:cs="Times New Roman"/>
                <w:color w:val="auto"/>
                <w:sz w:val="21"/>
                <w:szCs w:val="21"/>
              </w:rPr>
            </w:pPr>
          </w:p>
          <w:p>
            <w:pPr>
              <w:pStyle w:val="184"/>
              <w:spacing w:line="240" w:lineRule="exact"/>
              <w:rPr>
                <w:rFonts w:ascii="Times New Roman" w:hAnsi="Times New Roman" w:eastAsia="宋体" w:cs="Times New Roman"/>
                <w:color w:val="auto"/>
                <w:sz w:val="21"/>
                <w:szCs w:val="21"/>
              </w:rPr>
            </w:pPr>
          </w:p>
          <w:p>
            <w:pPr>
              <w:pStyle w:val="184"/>
              <w:spacing w:line="240" w:lineRule="exact"/>
              <w:rPr>
                <w:rFonts w:ascii="Times New Roman" w:hAnsi="Times New Roman" w:eastAsia="宋体" w:cs="Times New Roman"/>
                <w:color w:val="auto"/>
                <w:sz w:val="21"/>
                <w:szCs w:val="21"/>
              </w:rPr>
            </w:pPr>
          </w:p>
          <w:p>
            <w:pPr>
              <w:pStyle w:val="184"/>
              <w:spacing w:line="240" w:lineRule="exact"/>
              <w:rPr>
                <w:rFonts w:ascii="Times New Roman" w:hAnsi="Times New Roman" w:eastAsia="宋体" w:cs="Times New Roman"/>
                <w:color w:val="auto"/>
                <w:sz w:val="21"/>
                <w:szCs w:val="21"/>
              </w:rPr>
            </w:pPr>
          </w:p>
          <w:p>
            <w:pPr>
              <w:pStyle w:val="184"/>
              <w:spacing w:line="240" w:lineRule="exact"/>
              <w:rPr>
                <w:rFonts w:ascii="Times New Roman" w:hAnsi="Times New Roman" w:eastAsia="宋体" w:cs="Times New Roman"/>
                <w:color w:val="auto"/>
                <w:sz w:val="21"/>
                <w:szCs w:val="21"/>
              </w:rPr>
            </w:pPr>
          </w:p>
          <w:p>
            <w:pPr>
              <w:pStyle w:val="184"/>
              <w:spacing w:line="240" w:lineRule="exact"/>
              <w:rPr>
                <w:rFonts w:ascii="Times New Roman" w:hAnsi="Times New Roman" w:eastAsia="宋体" w:cs="Times New Roman"/>
                <w:color w:val="auto"/>
                <w:sz w:val="21"/>
                <w:szCs w:val="21"/>
              </w:rPr>
            </w:pPr>
          </w:p>
          <w:p>
            <w:pPr>
              <w:pStyle w:val="184"/>
              <w:spacing w:line="240" w:lineRule="exact"/>
              <w:rPr>
                <w:rFonts w:ascii="Times New Roman" w:hAnsi="Times New Roman" w:eastAsia="宋体" w:cs="Times New Roman"/>
                <w:color w:val="auto"/>
                <w:sz w:val="21"/>
                <w:szCs w:val="21"/>
              </w:rPr>
            </w:pPr>
          </w:p>
          <w:p>
            <w:pPr>
              <w:pStyle w:val="184"/>
              <w:spacing w:line="240" w:lineRule="exact"/>
              <w:rPr>
                <w:rFonts w:ascii="Times New Roman" w:hAnsi="Times New Roman" w:eastAsia="宋体" w:cs="Times New Roman"/>
                <w:color w:val="auto"/>
                <w:sz w:val="21"/>
                <w:szCs w:val="21"/>
              </w:rPr>
            </w:pPr>
          </w:p>
          <w:p>
            <w:pPr>
              <w:pStyle w:val="184"/>
              <w:spacing w:line="240" w:lineRule="exact"/>
              <w:rPr>
                <w:rFonts w:ascii="Times New Roman" w:hAnsi="Times New Roman" w:eastAsia="宋体" w:cs="Times New Roman"/>
                <w:color w:val="auto"/>
                <w:sz w:val="21"/>
                <w:szCs w:val="21"/>
              </w:rPr>
            </w:pPr>
          </w:p>
          <w:p>
            <w:pPr>
              <w:pStyle w:val="184"/>
              <w:spacing w:line="240" w:lineRule="exact"/>
              <w:rPr>
                <w:rFonts w:ascii="Times New Roman" w:hAnsi="Times New Roman" w:eastAsia="宋体" w:cs="Times New Roman"/>
                <w:color w:val="auto"/>
                <w:sz w:val="21"/>
                <w:szCs w:val="21"/>
              </w:rPr>
            </w:pPr>
          </w:p>
          <w:p>
            <w:pPr>
              <w:pStyle w:val="184"/>
              <w:spacing w:line="240" w:lineRule="exact"/>
              <w:rPr>
                <w:rFonts w:ascii="Times New Roman" w:hAnsi="Times New Roman" w:eastAsia="宋体" w:cs="Times New Roman"/>
                <w:color w:val="auto"/>
                <w:sz w:val="21"/>
                <w:szCs w:val="21"/>
              </w:rPr>
            </w:pPr>
          </w:p>
          <w:p>
            <w:pPr>
              <w:pStyle w:val="184"/>
              <w:spacing w:line="240" w:lineRule="exact"/>
              <w:rPr>
                <w:rFonts w:ascii="Times New Roman" w:hAnsi="Times New Roman" w:eastAsia="宋体" w:cs="Times New Roman"/>
                <w:color w:val="auto"/>
                <w:sz w:val="21"/>
                <w:szCs w:val="21"/>
              </w:rPr>
            </w:pPr>
          </w:p>
          <w:p>
            <w:pPr>
              <w:pStyle w:val="184"/>
              <w:spacing w:line="240" w:lineRule="exact"/>
              <w:rPr>
                <w:rFonts w:ascii="Times New Roman" w:hAnsi="Times New Roman" w:eastAsia="宋体" w:cs="Times New Roman"/>
                <w:color w:val="auto"/>
                <w:sz w:val="21"/>
                <w:szCs w:val="21"/>
              </w:rPr>
            </w:pPr>
          </w:p>
          <w:p>
            <w:pPr>
              <w:pStyle w:val="184"/>
              <w:spacing w:line="240" w:lineRule="exact"/>
              <w:rPr>
                <w:rFonts w:ascii="Times New Roman" w:hAnsi="Times New Roman" w:eastAsia="宋体" w:cs="Times New Roman"/>
                <w:color w:val="auto"/>
                <w:sz w:val="21"/>
                <w:szCs w:val="21"/>
              </w:rPr>
            </w:pPr>
          </w:p>
          <w:p>
            <w:pPr>
              <w:pStyle w:val="184"/>
              <w:spacing w:line="240" w:lineRule="exact"/>
              <w:rPr>
                <w:rFonts w:ascii="Times New Roman" w:hAnsi="Times New Roman" w:eastAsia="宋体" w:cs="Times New Roman"/>
                <w:color w:val="auto"/>
                <w:sz w:val="21"/>
                <w:szCs w:val="21"/>
              </w:rPr>
            </w:pPr>
          </w:p>
          <w:p>
            <w:pPr>
              <w:pStyle w:val="184"/>
              <w:spacing w:line="240" w:lineRule="exact"/>
              <w:rPr>
                <w:rFonts w:ascii="Times New Roman" w:hAnsi="Times New Roman" w:eastAsia="宋体" w:cs="Times New Roman"/>
                <w:color w:val="auto"/>
                <w:sz w:val="21"/>
                <w:szCs w:val="21"/>
              </w:rPr>
            </w:pPr>
          </w:p>
          <w:p>
            <w:pPr>
              <w:pStyle w:val="184"/>
              <w:spacing w:line="240" w:lineRule="exact"/>
              <w:rPr>
                <w:rFonts w:hint="eastAsia" w:ascii="Times New Roman" w:hAnsi="Times New Roman" w:eastAsia="宋体" w:cs="Times New Roman"/>
                <w:color w:val="auto"/>
                <w:sz w:val="21"/>
                <w:szCs w:val="21"/>
              </w:rPr>
            </w:pPr>
          </w:p>
          <w:p>
            <w:pPr>
              <w:pStyle w:val="184"/>
              <w:spacing w:line="240" w:lineRule="exact"/>
              <w:rPr>
                <w:rFonts w:ascii="Times New Roman" w:hAnsi="Times New Roman" w:eastAsia="宋体" w:cs="Times New Roman"/>
                <w:color w:val="auto"/>
                <w:sz w:val="21"/>
                <w:szCs w:val="21"/>
              </w:rPr>
            </w:pPr>
          </w:p>
        </w:tc>
      </w:tr>
    </w:tbl>
    <w:p>
      <w:pPr>
        <w:numPr>
          <w:ilvl w:val="0"/>
          <w:numId w:val="8"/>
        </w:numPr>
        <w:spacing w:line="360" w:lineRule="auto"/>
        <w:outlineLvl w:val="0"/>
        <w:rPr>
          <w:rStyle w:val="171"/>
          <w:rFonts w:hint="eastAsia"/>
          <w:color w:val="auto"/>
          <w:lang w:val="en-US" w:eastAsia="zh-CN"/>
        </w:rPr>
      </w:pPr>
      <w:r>
        <w:rPr>
          <w:b/>
          <w:color w:val="auto"/>
          <w:sz w:val="30"/>
          <w:highlight w:val="yellow"/>
        </w:rPr>
        <w:br w:type="page"/>
      </w:r>
      <w:bookmarkStart w:id="24" w:name="_Toc957"/>
      <w:r>
        <w:rPr>
          <w:rStyle w:val="171"/>
          <w:rFonts w:hint="eastAsia"/>
          <w:color w:val="auto"/>
          <w:lang w:val="en-US" w:eastAsia="zh-CN"/>
        </w:rPr>
        <w:t>环境影响分析</w:t>
      </w:r>
      <w:bookmarkEnd w:id="24"/>
    </w:p>
    <w:tbl>
      <w:tblPr>
        <w:tblStyle w:val="30"/>
        <w:tblW w:w="9071"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907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2620" w:hRule="atLeast"/>
        </w:trPr>
        <w:tc>
          <w:tcPr>
            <w:tcW w:w="5000" w:type="pct"/>
            <w:noWrap w:val="0"/>
            <w:vAlign w:val="top"/>
          </w:tcPr>
          <w:p>
            <w:pPr>
              <w:keepNext w:val="0"/>
              <w:keepLines w:val="0"/>
              <w:pageBreakBefore w:val="0"/>
              <w:kinsoku/>
              <w:wordWrap/>
              <w:overflowPunct/>
              <w:topLinePunct w:val="0"/>
              <w:bidi w:val="0"/>
              <w:spacing w:line="360" w:lineRule="auto"/>
              <w:ind w:left="0" w:right="0" w:rightChars="0" w:firstLine="482" w:firstLineChars="200"/>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lang w:val="en-US" w:eastAsia="zh-CN"/>
              </w:rPr>
              <w:t>一、</w:t>
            </w:r>
            <w:r>
              <w:rPr>
                <w:rFonts w:hint="default" w:ascii="Times New Roman" w:hAnsi="Times New Roman" w:eastAsia="宋体" w:cs="Times New Roman"/>
                <w:b/>
                <w:bCs/>
                <w:color w:val="auto"/>
                <w:sz w:val="24"/>
                <w:szCs w:val="24"/>
              </w:rPr>
              <w:t>施工期环境影响简要分析</w:t>
            </w:r>
          </w:p>
          <w:p>
            <w:pPr>
              <w:keepNext w:val="0"/>
              <w:keepLines w:val="0"/>
              <w:pageBreakBefore w:val="0"/>
              <w:kinsoku/>
              <w:wordWrap/>
              <w:overflowPunct/>
              <w:topLinePunct w:val="0"/>
              <w:bidi w:val="0"/>
              <w:spacing w:line="360" w:lineRule="auto"/>
              <w:ind w:left="0" w:right="0" w:rightChars="0"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 xml:space="preserve">1、大气环境影响分析 </w:t>
            </w:r>
          </w:p>
          <w:p>
            <w:pPr>
              <w:keepNext w:val="0"/>
              <w:keepLines w:val="0"/>
              <w:pageBreakBefore w:val="0"/>
              <w:kinsoku/>
              <w:wordWrap/>
              <w:overflowPunct/>
              <w:topLinePunct w:val="0"/>
              <w:bidi w:val="0"/>
              <w:adjustRightInd w:val="0"/>
              <w:snapToGrid w:val="0"/>
              <w:spacing w:line="360" w:lineRule="auto"/>
              <w:ind w:left="0" w:right="0" w:rightChars="0"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本项目在施工期的主要环境空气污染物为扬尘，为了最大限度减少扬尘污染，施工单位应加强管理，文明施工，并采取一定的抑尘措施，具体如下：</w:t>
            </w:r>
          </w:p>
          <w:p>
            <w:pPr>
              <w:pStyle w:val="157"/>
              <w:keepNext w:val="0"/>
              <w:keepLines w:val="0"/>
              <w:pageBreakBefore w:val="0"/>
              <w:kinsoku/>
              <w:wordWrap/>
              <w:overflowPunct/>
              <w:topLinePunct w:val="0"/>
              <w:bidi w:val="0"/>
              <w:spacing w:line="360" w:lineRule="auto"/>
              <w:ind w:left="0" w:right="0" w:rightChars="0"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（1）建设工地施工现场沿工程四周连续围挡设置率达100%。</w:t>
            </w:r>
          </w:p>
          <w:p>
            <w:pPr>
              <w:pStyle w:val="157"/>
              <w:keepNext w:val="0"/>
              <w:keepLines w:val="0"/>
              <w:pageBreakBefore w:val="0"/>
              <w:kinsoku/>
              <w:wordWrap/>
              <w:overflowPunct/>
              <w:topLinePunct w:val="0"/>
              <w:bidi w:val="0"/>
              <w:spacing w:line="360" w:lineRule="auto"/>
              <w:ind w:left="0" w:right="0" w:rightChars="0"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（2）施工现场主要道路硬化率100%。</w:t>
            </w:r>
          </w:p>
          <w:p>
            <w:pPr>
              <w:pStyle w:val="157"/>
              <w:keepNext w:val="0"/>
              <w:keepLines w:val="0"/>
              <w:pageBreakBefore w:val="0"/>
              <w:kinsoku/>
              <w:wordWrap/>
              <w:overflowPunct/>
              <w:topLinePunct w:val="0"/>
              <w:bidi w:val="0"/>
              <w:spacing w:line="360" w:lineRule="auto"/>
              <w:ind w:left="0" w:right="0" w:rightChars="0"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（3）房屋建筑工程外脚手架密目式安全网安装率达100%。</w:t>
            </w:r>
          </w:p>
          <w:p>
            <w:pPr>
              <w:pStyle w:val="157"/>
              <w:keepNext w:val="0"/>
              <w:keepLines w:val="0"/>
              <w:pageBreakBefore w:val="0"/>
              <w:kinsoku/>
              <w:wordWrap/>
              <w:overflowPunct/>
              <w:topLinePunct w:val="0"/>
              <w:bidi w:val="0"/>
              <w:spacing w:line="360" w:lineRule="auto"/>
              <w:ind w:left="0" w:right="0" w:rightChars="0"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（4）易产生扬尘的建筑材料应入库、入池，遮盖率达100%;</w:t>
            </w:r>
          </w:p>
          <w:p>
            <w:pPr>
              <w:pStyle w:val="157"/>
              <w:keepNext w:val="0"/>
              <w:keepLines w:val="0"/>
              <w:pageBreakBefore w:val="0"/>
              <w:kinsoku/>
              <w:wordWrap/>
              <w:overflowPunct/>
              <w:topLinePunct w:val="0"/>
              <w:bidi w:val="0"/>
              <w:spacing w:line="360" w:lineRule="auto"/>
              <w:ind w:left="0" w:right="0" w:rightChars="0"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（5）道路、土方开挖等作业洒水压尘措施落实率达100%。</w:t>
            </w:r>
          </w:p>
          <w:p>
            <w:pPr>
              <w:pStyle w:val="157"/>
              <w:keepNext w:val="0"/>
              <w:keepLines w:val="0"/>
              <w:pageBreakBefore w:val="0"/>
              <w:kinsoku/>
              <w:wordWrap/>
              <w:overflowPunct/>
              <w:topLinePunct w:val="0"/>
              <w:bidi w:val="0"/>
              <w:spacing w:line="360" w:lineRule="auto"/>
              <w:ind w:left="0" w:right="0" w:rightChars="0"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（6）固化、覆盖、绿化等措施落实率达100%。</w:t>
            </w:r>
          </w:p>
          <w:p>
            <w:pPr>
              <w:pStyle w:val="157"/>
              <w:keepNext w:val="0"/>
              <w:keepLines w:val="0"/>
              <w:pageBreakBefore w:val="0"/>
              <w:kinsoku/>
              <w:wordWrap/>
              <w:overflowPunct/>
              <w:topLinePunct w:val="0"/>
              <w:bidi w:val="0"/>
              <w:spacing w:line="360" w:lineRule="auto"/>
              <w:ind w:left="0" w:right="0" w:rightChars="0"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（7）施工现场出场车辆冲洗设施及冲洗制度落实率达100%。</w:t>
            </w:r>
          </w:p>
          <w:p>
            <w:pPr>
              <w:pStyle w:val="157"/>
              <w:keepNext w:val="0"/>
              <w:keepLines w:val="0"/>
              <w:pageBreakBefore w:val="0"/>
              <w:kinsoku/>
              <w:wordWrap/>
              <w:overflowPunct/>
              <w:topLinePunct w:val="0"/>
              <w:bidi w:val="0"/>
              <w:spacing w:line="360" w:lineRule="auto"/>
              <w:ind w:left="0" w:right="0" w:rightChars="0"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（8）建筑渣土运输车辆密闭率达100%。</w:t>
            </w:r>
          </w:p>
          <w:p>
            <w:pPr>
              <w:pStyle w:val="157"/>
              <w:keepNext w:val="0"/>
              <w:keepLines w:val="0"/>
              <w:pageBreakBefore w:val="0"/>
              <w:kinsoku/>
              <w:wordWrap/>
              <w:overflowPunct/>
              <w:topLinePunct w:val="0"/>
              <w:bidi w:val="0"/>
              <w:spacing w:line="360" w:lineRule="auto"/>
              <w:ind w:left="0" w:right="0" w:rightChars="0"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（9）施工现场五图一牌等标牌设置率达100%。</w:t>
            </w:r>
          </w:p>
          <w:p>
            <w:pPr>
              <w:pStyle w:val="157"/>
              <w:keepNext w:val="0"/>
              <w:keepLines w:val="0"/>
              <w:pageBreakBefore w:val="0"/>
              <w:kinsoku/>
              <w:wordWrap/>
              <w:overflowPunct/>
              <w:topLinePunct w:val="0"/>
              <w:bidi w:val="0"/>
              <w:spacing w:line="360" w:lineRule="auto"/>
              <w:ind w:left="0" w:right="0" w:rightChars="0"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（10）施工现场使用商品混凝土率达100%。</w:t>
            </w:r>
          </w:p>
          <w:p>
            <w:pPr>
              <w:keepNext w:val="0"/>
              <w:keepLines w:val="0"/>
              <w:pageBreakBefore w:val="0"/>
              <w:kinsoku/>
              <w:wordWrap/>
              <w:overflowPunct/>
              <w:topLinePunct w:val="0"/>
              <w:bidi w:val="0"/>
              <w:spacing w:line="360" w:lineRule="auto"/>
              <w:ind w:left="0" w:right="0" w:rightChars="0" w:firstLine="480" w:firstLineChars="20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（11）合理安排施工进度和施工方式，集中进行场地平整、光伏组件基础安装等土石方工程，以减少土石方的临时堆放产生的扬尘。</w:t>
            </w:r>
          </w:p>
          <w:p>
            <w:pPr>
              <w:keepNext w:val="0"/>
              <w:keepLines w:val="0"/>
              <w:pageBreakBefore w:val="0"/>
              <w:kinsoku/>
              <w:wordWrap/>
              <w:overflowPunct/>
              <w:topLinePunct w:val="0"/>
              <w:bidi w:val="0"/>
              <w:adjustRightInd w:val="0"/>
              <w:snapToGrid w:val="0"/>
              <w:spacing w:line="360" w:lineRule="auto"/>
              <w:ind w:left="0" w:right="0" w:rightChars="0"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通过采取上述措施，可以有效抑制施工区扬尘的产生和溢散，保证施工场界外粉尘无组织排放监控浓度小于1.0mg/m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 xml:space="preserve">。 </w:t>
            </w:r>
          </w:p>
          <w:p>
            <w:pPr>
              <w:keepNext w:val="0"/>
              <w:keepLines w:val="0"/>
              <w:pageBreakBefore w:val="0"/>
              <w:widowControl w:val="0"/>
              <w:kinsoku/>
              <w:wordWrap/>
              <w:overflowPunct/>
              <w:topLinePunct w:val="0"/>
              <w:autoSpaceDE/>
              <w:autoSpaceDN/>
              <w:bidi w:val="0"/>
              <w:adjustRightInd w:val="0"/>
              <w:snapToGrid w:val="0"/>
              <w:spacing w:line="360" w:lineRule="auto"/>
              <w:ind w:left="0" w:right="0" w:rightChars="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 xml:space="preserve">2、水环境影响分析 </w:t>
            </w:r>
          </w:p>
          <w:p>
            <w:pPr>
              <w:keepNext w:val="0"/>
              <w:keepLines w:val="0"/>
              <w:pageBreakBefore w:val="0"/>
              <w:kinsoku/>
              <w:wordWrap/>
              <w:overflowPunct/>
              <w:topLinePunct w:val="0"/>
              <w:bidi w:val="0"/>
              <w:snapToGrid w:val="0"/>
              <w:spacing w:line="360" w:lineRule="auto"/>
              <w:ind w:left="0" w:right="0" w:rightChars="0"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施工期间，冲洗施工机械和运输车辆产生的含油废水，施工人员产生的生活污水以及含有油污和悬浮物的工地排水都将对附近河段的水质产生一定影响，特别是 SS、石油类和 COD 浓度有所增加。必须经过加强管理来控制污染物的排放量，生产废水经隔油沉淀池处理后回用，</w:t>
            </w:r>
            <w:r>
              <w:rPr>
                <w:rFonts w:hint="default" w:ascii="Times New Roman" w:hAnsi="Times New Roman" w:eastAsia="宋体" w:cs="Times New Roman"/>
                <w:color w:val="auto"/>
                <w:kern w:val="0"/>
                <w:sz w:val="24"/>
                <w:szCs w:val="24"/>
              </w:rPr>
              <w:t>施工期设简易旱厕，要求旱厕池采用混凝土砌筑，防止污水下渗影响地下水，</w:t>
            </w:r>
            <w:r>
              <w:rPr>
                <w:rFonts w:hint="default" w:ascii="Times New Roman" w:hAnsi="Times New Roman" w:eastAsia="宋体" w:cs="Times New Roman"/>
                <w:color w:val="auto"/>
                <w:sz w:val="24"/>
                <w:szCs w:val="24"/>
              </w:rPr>
              <w:t>施工结束后对旱厕拆除、填埋、平整土地</w:t>
            </w:r>
            <w:r>
              <w:rPr>
                <w:rFonts w:hint="default" w:ascii="Times New Roman" w:hAnsi="Times New Roman" w:eastAsia="宋体" w:cs="Times New Roman"/>
                <w:color w:val="auto"/>
                <w:kern w:val="0"/>
                <w:sz w:val="24"/>
                <w:szCs w:val="24"/>
              </w:rPr>
              <w:t>。施工期生活污水主要为洗漱用水，</w:t>
            </w:r>
            <w:r>
              <w:rPr>
                <w:rFonts w:hint="default" w:ascii="Times New Roman" w:hAnsi="Times New Roman" w:eastAsia="宋体" w:cs="Times New Roman"/>
                <w:color w:val="auto"/>
                <w:sz w:val="24"/>
                <w:szCs w:val="24"/>
              </w:rPr>
              <w:t>排入提前建设的集水池（前设隔油池），</w:t>
            </w:r>
            <w:r>
              <w:rPr>
                <w:rFonts w:hint="default" w:ascii="Times New Roman" w:hAnsi="Times New Roman" w:eastAsia="宋体" w:cs="Times New Roman"/>
                <w:color w:val="auto"/>
                <w:kern w:val="0"/>
                <w:sz w:val="24"/>
                <w:szCs w:val="24"/>
              </w:rPr>
              <w:t>经处理后用作施工区或道路降尘用水，实施水资源综合利用。</w:t>
            </w:r>
            <w:r>
              <w:rPr>
                <w:rFonts w:hint="default" w:ascii="Times New Roman" w:hAnsi="Times New Roman" w:eastAsia="宋体" w:cs="Times New Roman"/>
                <w:color w:val="auto"/>
                <w:sz w:val="24"/>
                <w:szCs w:val="24"/>
              </w:rPr>
              <w:t>所以施工污、废水对环境影响很小。</w:t>
            </w:r>
          </w:p>
          <w:p>
            <w:pPr>
              <w:keepNext w:val="0"/>
              <w:keepLines w:val="0"/>
              <w:pageBreakBefore w:val="0"/>
              <w:kinsoku/>
              <w:wordWrap/>
              <w:overflowPunct/>
              <w:topLinePunct w:val="0"/>
              <w:bidi w:val="0"/>
              <w:spacing w:line="360" w:lineRule="auto"/>
              <w:ind w:left="0" w:right="0" w:rightChars="0"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 xml:space="preserve">3、噪声污染影响分析 </w:t>
            </w:r>
          </w:p>
          <w:p>
            <w:pPr>
              <w:keepNext w:val="0"/>
              <w:keepLines w:val="0"/>
              <w:pageBreakBefore w:val="0"/>
              <w:kinsoku/>
              <w:wordWrap/>
              <w:overflowPunct/>
              <w:topLinePunct w:val="0"/>
              <w:bidi w:val="0"/>
              <w:spacing w:line="360" w:lineRule="auto"/>
              <w:ind w:left="0" w:right="0" w:rightChars="0"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施工期间，各种施工机械都将产生不同程度的噪声污染，对周围环境造成一定的影响，主要噪声为打桩</w:t>
            </w:r>
            <w:r>
              <w:rPr>
                <w:rFonts w:hint="default" w:ascii="Times New Roman" w:hAnsi="Times New Roman" w:eastAsia="宋体" w:cs="Times New Roman"/>
                <w:color w:val="auto"/>
                <w:sz w:val="24"/>
                <w:szCs w:val="24"/>
                <w:lang w:val="en-US" w:eastAsia="zh-CN"/>
              </w:rPr>
              <w:t>机</w:t>
            </w:r>
            <w:r>
              <w:rPr>
                <w:rFonts w:hint="default" w:ascii="Times New Roman" w:hAnsi="Times New Roman" w:eastAsia="宋体" w:cs="Times New Roman"/>
                <w:color w:val="auto"/>
                <w:sz w:val="24"/>
                <w:szCs w:val="24"/>
              </w:rPr>
              <w:t>等</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但这些噪声在空间传播过程中自然衰减较快。但是须按照《建筑施工场界环境噪声排放标准》（GB12523-2011）的要求。</w:t>
            </w:r>
          </w:p>
          <w:p>
            <w:pPr>
              <w:keepNext w:val="0"/>
              <w:keepLines w:val="0"/>
              <w:pageBreakBefore w:val="0"/>
              <w:kinsoku/>
              <w:wordWrap/>
              <w:overflowPunct/>
              <w:topLinePunct w:val="0"/>
              <w:bidi w:val="0"/>
              <w:adjustRightInd w:val="0"/>
              <w:snapToGrid w:val="0"/>
              <w:spacing w:line="360" w:lineRule="auto"/>
              <w:ind w:left="0" w:right="0" w:rightChars="0"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在施工过程中应规范各种机械设备的操作，并尽可能选用低噪声设备，加强设备的维护和保养，并为施工人员配置耳塞，以避免噪声影响。具体措施如下。</w:t>
            </w:r>
          </w:p>
          <w:p>
            <w:pPr>
              <w:keepNext w:val="0"/>
              <w:keepLines w:val="0"/>
              <w:pageBreakBefore w:val="0"/>
              <w:kinsoku/>
              <w:wordWrap/>
              <w:overflowPunct/>
              <w:topLinePunct w:val="0"/>
              <w:autoSpaceDE w:val="0"/>
              <w:autoSpaceDN w:val="0"/>
              <w:bidi w:val="0"/>
              <w:adjustRightInd w:val="0"/>
              <w:snapToGrid w:val="0"/>
              <w:spacing w:line="360" w:lineRule="auto"/>
              <w:ind w:left="0" w:right="0" w:rightChars="0" w:firstLine="480" w:firstLineChars="200"/>
              <w:textAlignment w:val="baseline"/>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（1）建设招标单位将投标方的低噪声、低振动施工设备和相应技术作为中标的重要内容考虑，将施工过程使用的各类机械及噪声限值列入招标文件中；</w:t>
            </w:r>
          </w:p>
          <w:p>
            <w:pPr>
              <w:keepNext w:val="0"/>
              <w:keepLines w:val="0"/>
              <w:pageBreakBefore w:val="0"/>
              <w:kinsoku/>
              <w:wordWrap/>
              <w:overflowPunct/>
              <w:topLinePunct w:val="0"/>
              <w:autoSpaceDE w:val="0"/>
              <w:autoSpaceDN w:val="0"/>
              <w:bidi w:val="0"/>
              <w:adjustRightInd w:val="0"/>
              <w:snapToGrid w:val="0"/>
              <w:spacing w:line="360" w:lineRule="auto"/>
              <w:ind w:left="0" w:right="0" w:rightChars="0" w:firstLine="480" w:firstLineChars="200"/>
              <w:textAlignment w:val="baseline"/>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（2）施工单位应设专人对施工设备进行定期保养和维护，并负责对现场工作人员进行培训，以使每个员工严格按操作规范使用各类机械，减少由于施工机械维护及使用不当而产生的噪声；</w:t>
            </w:r>
          </w:p>
          <w:p>
            <w:pPr>
              <w:keepNext w:val="0"/>
              <w:keepLines w:val="0"/>
              <w:pageBreakBefore w:val="0"/>
              <w:kinsoku/>
              <w:wordWrap/>
              <w:overflowPunct/>
              <w:topLinePunct w:val="0"/>
              <w:bidi w:val="0"/>
              <w:adjustRightInd w:val="0"/>
              <w:snapToGrid w:val="0"/>
              <w:spacing w:line="360" w:lineRule="auto"/>
              <w:ind w:left="0" w:right="0" w:rightChars="0" w:firstLine="480" w:firstLineChars="200"/>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（3）严格施工现场管理，降低人为噪声；</w:t>
            </w:r>
          </w:p>
          <w:p>
            <w:pPr>
              <w:pStyle w:val="186"/>
              <w:keepNext w:val="0"/>
              <w:keepLines w:val="0"/>
              <w:pageBreakBefore w:val="0"/>
              <w:kinsoku/>
              <w:wordWrap/>
              <w:overflowPunct/>
              <w:topLinePunct w:val="0"/>
              <w:bidi w:val="0"/>
              <w:adjustRightInd w:val="0"/>
              <w:snapToGrid w:val="0"/>
              <w:spacing w:line="360" w:lineRule="auto"/>
              <w:ind w:left="0" w:right="0" w:rightChars="0"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（4）合理安排施工作业时间，不在夜间进行高噪声施工作业；夜间如确实因工程或施工工艺需要连续操作的高噪声，则应征得环保部门的同意，并进行公示。</w:t>
            </w:r>
          </w:p>
          <w:p>
            <w:pPr>
              <w:keepNext w:val="0"/>
              <w:keepLines w:val="0"/>
              <w:pageBreakBefore w:val="0"/>
              <w:widowControl w:val="0"/>
              <w:kinsoku/>
              <w:wordWrap/>
              <w:overflowPunct/>
              <w:topLinePunct w:val="0"/>
              <w:autoSpaceDE/>
              <w:autoSpaceDN/>
              <w:bidi w:val="0"/>
              <w:adjustRightInd w:val="0"/>
              <w:snapToGrid w:val="0"/>
              <w:spacing w:line="360" w:lineRule="auto"/>
              <w:ind w:left="0" w:right="0" w:rightChars="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 xml:space="preserve">4、固体废物影响分析 </w:t>
            </w:r>
          </w:p>
          <w:p>
            <w:pPr>
              <w:keepNext w:val="0"/>
              <w:keepLines w:val="0"/>
              <w:pageBreakBefore w:val="0"/>
              <w:kinsoku/>
              <w:wordWrap/>
              <w:overflowPunct/>
              <w:topLinePunct w:val="0"/>
              <w:bidi w:val="0"/>
              <w:adjustRightInd w:val="0"/>
              <w:snapToGrid w:val="0"/>
              <w:spacing w:line="360" w:lineRule="auto"/>
              <w:ind w:left="0" w:right="0" w:rightChars="0"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施工期产生的固体废物主要为建筑垃圾、电子组件的废包装袋和生活垃圾。</w:t>
            </w:r>
          </w:p>
          <w:p>
            <w:pPr>
              <w:keepNext w:val="0"/>
              <w:keepLines w:val="0"/>
              <w:pageBreakBefore w:val="0"/>
              <w:kinsoku/>
              <w:wordWrap/>
              <w:overflowPunct/>
              <w:topLinePunct w:val="0"/>
              <w:bidi w:val="0"/>
              <w:adjustRightInd w:val="0"/>
              <w:snapToGrid w:val="0"/>
              <w:spacing w:line="360" w:lineRule="auto"/>
              <w:ind w:left="0" w:right="0" w:rightChars="0"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建筑垃圾是一种临时性的短期行为，至工程建成而告终。因此只要加强固体废弃物管理，及时、安全处理施工垃圾，就不会对环境产生污染。建筑垃圾可尽量就地消化利用，主要回用于场地固化以及场内道路铺设，剩余部分用汽车运走。</w:t>
            </w:r>
          </w:p>
          <w:p>
            <w:pPr>
              <w:keepNext w:val="0"/>
              <w:keepLines w:val="0"/>
              <w:pageBreakBefore w:val="0"/>
              <w:kinsoku/>
              <w:wordWrap/>
              <w:overflowPunct/>
              <w:topLinePunct w:val="0"/>
              <w:bidi w:val="0"/>
              <w:adjustRightInd w:val="0"/>
              <w:snapToGrid w:val="0"/>
              <w:spacing w:line="360" w:lineRule="auto"/>
              <w:ind w:left="0" w:right="0" w:rightChars="0"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施工期施工人员多而且较为集中，这些生活垃圾主要为废旧塑料袋、剩饭菜、废包装材料、烂水果、果皮、果核等，若随丢随扔，对环境可产生一定的污染，对公共卫生及公众健康会带来不利影响。因此，应在施工生活区设垃圾桶，垃圾应及时收集并</w:t>
            </w:r>
            <w:r>
              <w:rPr>
                <w:rFonts w:hint="default" w:ascii="Times New Roman" w:hAnsi="Times New Roman" w:eastAsia="宋体" w:cs="Times New Roman"/>
                <w:snapToGrid w:val="0"/>
                <w:color w:val="auto"/>
                <w:sz w:val="24"/>
                <w:szCs w:val="24"/>
              </w:rPr>
              <w:t>由地方环卫部门外运至指定地点统一处理</w:t>
            </w:r>
            <w:r>
              <w:rPr>
                <w:rFonts w:hint="default" w:ascii="Times New Roman" w:hAnsi="Times New Roman" w:eastAsia="宋体" w:cs="Times New Roman"/>
                <w:color w:val="auto"/>
                <w:sz w:val="24"/>
                <w:szCs w:val="24"/>
              </w:rPr>
              <w:t>。</w:t>
            </w:r>
          </w:p>
          <w:p>
            <w:pPr>
              <w:keepNext w:val="0"/>
              <w:keepLines w:val="0"/>
              <w:pageBreakBefore w:val="0"/>
              <w:kinsoku/>
              <w:wordWrap/>
              <w:overflowPunct/>
              <w:topLinePunct w:val="0"/>
              <w:bidi w:val="0"/>
              <w:adjustRightInd w:val="0"/>
              <w:snapToGrid w:val="0"/>
              <w:spacing w:line="360" w:lineRule="auto"/>
              <w:ind w:left="0" w:right="0" w:rightChars="0"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同时，电器设备及光伏组件安装阶段会产生大量包装材料，多为纸盒、塑料包装等，应于每个分区施工时设置专用地点集中进行临时堆放，在光伏分区施工完成后集中收集，临时堆放时必须对塑料包装等易被风刮走的废包装材料进行按压，集中收集时应进行分类回收，保留其中的可以利用的部分，多余或不可以再次利用的垃圾应与生活垃圾一同</w:t>
            </w:r>
            <w:r>
              <w:rPr>
                <w:rFonts w:hint="default" w:ascii="Times New Roman" w:hAnsi="Times New Roman" w:eastAsia="宋体" w:cs="Times New Roman"/>
                <w:snapToGrid w:val="0"/>
                <w:color w:val="auto"/>
                <w:sz w:val="24"/>
                <w:szCs w:val="24"/>
              </w:rPr>
              <w:t>由地方环卫部门外运至指定地点统一处理</w:t>
            </w:r>
            <w:r>
              <w:rPr>
                <w:rFonts w:hint="default" w:ascii="Times New Roman" w:hAnsi="Times New Roman" w:eastAsia="宋体" w:cs="Times New Roman"/>
                <w:color w:val="auto"/>
                <w:sz w:val="24"/>
                <w:szCs w:val="24"/>
              </w:rPr>
              <w:t>。</w:t>
            </w:r>
          </w:p>
          <w:p>
            <w:pPr>
              <w:keepNext w:val="0"/>
              <w:keepLines w:val="0"/>
              <w:pageBreakBefore w:val="0"/>
              <w:kinsoku/>
              <w:wordWrap/>
              <w:overflowPunct/>
              <w:topLinePunct w:val="0"/>
              <w:bidi w:val="0"/>
              <w:adjustRightInd w:val="0"/>
              <w:snapToGrid w:val="0"/>
              <w:spacing w:line="360" w:lineRule="auto"/>
              <w:ind w:left="0" w:right="0" w:rightChars="0"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5、生态环境影响</w:t>
            </w:r>
          </w:p>
          <w:p>
            <w:pPr>
              <w:keepNext w:val="0"/>
              <w:keepLines w:val="0"/>
              <w:pageBreakBefore w:val="0"/>
              <w:kinsoku/>
              <w:wordWrap/>
              <w:overflowPunct/>
              <w:topLinePunct w:val="0"/>
              <w:bidi w:val="0"/>
              <w:adjustRightInd w:val="0"/>
              <w:snapToGrid w:val="0"/>
              <w:spacing w:line="360" w:lineRule="auto"/>
              <w:ind w:left="0" w:right="0" w:rightChars="0" w:firstLine="480" w:firstLineChars="200"/>
              <w:rPr>
                <w:rFonts w:hint="default" w:ascii="Times New Roman" w:hAnsi="Times New Roman" w:eastAsia="宋体" w:cs="Times New Roman"/>
                <w:b/>
                <w:bCs/>
                <w:color w:val="auto"/>
                <w:sz w:val="24"/>
                <w:szCs w:val="24"/>
              </w:rPr>
            </w:pPr>
            <w:r>
              <w:rPr>
                <w:rFonts w:hint="default" w:ascii="Times New Roman" w:hAnsi="Times New Roman" w:eastAsia="宋体" w:cs="Times New Roman"/>
                <w:color w:val="auto"/>
                <w:sz w:val="24"/>
                <w:szCs w:val="24"/>
              </w:rPr>
              <w:t>本工程永久占地面积约</w:t>
            </w:r>
            <w:r>
              <w:rPr>
                <w:rFonts w:hint="default" w:ascii="Times New Roman" w:hAnsi="Times New Roman" w:eastAsia="宋体" w:cs="Times New Roman"/>
                <w:color w:val="auto"/>
                <w:sz w:val="24"/>
                <w:szCs w:val="24"/>
                <w:lang w:val="en-US" w:eastAsia="zh-CN"/>
              </w:rPr>
              <w:t>326900</w:t>
            </w:r>
            <w:r>
              <w:rPr>
                <w:rFonts w:hint="default" w:ascii="Times New Roman" w:hAnsi="Times New Roman" w:eastAsia="宋体" w:cs="Times New Roman"/>
                <w:color w:val="auto"/>
                <w:sz w:val="24"/>
                <w:szCs w:val="24"/>
              </w:rPr>
              <w:t xml:space="preserve"> m</w:t>
            </w:r>
            <w:r>
              <w:rPr>
                <w:rFonts w:hint="default" w:ascii="Times New Roman" w:hAnsi="Times New Roman" w:eastAsia="宋体" w:cs="Times New Roman"/>
                <w:color w:val="auto"/>
                <w:sz w:val="24"/>
                <w:szCs w:val="24"/>
                <w:vertAlign w:val="superscript"/>
              </w:rPr>
              <w:t>2</w:t>
            </w:r>
            <w:r>
              <w:rPr>
                <w:rFonts w:hint="default" w:ascii="Times New Roman" w:hAnsi="Times New Roman" w:eastAsia="宋体" w:cs="Times New Roman"/>
                <w:color w:val="auto"/>
                <w:sz w:val="24"/>
                <w:szCs w:val="24"/>
              </w:rPr>
              <w:t>、临时占地面积约</w:t>
            </w:r>
            <w:r>
              <w:rPr>
                <w:rFonts w:hint="default" w:ascii="Times New Roman" w:hAnsi="Times New Roman" w:eastAsia="宋体" w:cs="Times New Roman"/>
                <w:color w:val="auto"/>
                <w:sz w:val="24"/>
                <w:szCs w:val="24"/>
                <w:lang w:val="en-US" w:eastAsia="zh-CN"/>
              </w:rPr>
              <w:t>50</w:t>
            </w:r>
            <w:r>
              <w:rPr>
                <w:rFonts w:hint="default" w:ascii="Times New Roman" w:hAnsi="Times New Roman" w:eastAsia="宋体" w:cs="Times New Roman"/>
                <w:color w:val="auto"/>
                <w:sz w:val="24"/>
                <w:szCs w:val="24"/>
              </w:rPr>
              <w:t>00m</w:t>
            </w:r>
            <w:r>
              <w:rPr>
                <w:rFonts w:hint="default" w:ascii="Times New Roman" w:hAnsi="Times New Roman" w:eastAsia="宋体" w:cs="Times New Roman"/>
                <w:color w:val="auto"/>
                <w:sz w:val="24"/>
                <w:szCs w:val="24"/>
                <w:vertAlign w:val="superscript"/>
              </w:rPr>
              <w:t>2</w:t>
            </w:r>
            <w:r>
              <w:rPr>
                <w:rFonts w:hint="default" w:ascii="Times New Roman" w:hAnsi="Times New Roman" w:eastAsia="宋体" w:cs="Times New Roman"/>
                <w:color w:val="auto"/>
                <w:sz w:val="24"/>
                <w:szCs w:val="24"/>
              </w:rPr>
              <w:t>。临时性占地均在永久占地范围内，不需要额外占用土地。</w:t>
            </w:r>
            <w:r>
              <w:rPr>
                <w:rFonts w:hint="default" w:ascii="Times New Roman" w:hAnsi="Times New Roman" w:eastAsia="宋体" w:cs="Times New Roman"/>
                <w:color w:val="auto"/>
                <w:sz w:val="24"/>
                <w:szCs w:val="24"/>
                <w:lang w:val="zh-CN"/>
              </w:rPr>
              <w:t>施工过程和人为活动对项目区原生的生态结构、土壤构成、动物的生活习性都有不同程度的影响。</w:t>
            </w:r>
          </w:p>
          <w:p>
            <w:pPr>
              <w:keepNext w:val="0"/>
              <w:keepLines w:val="0"/>
              <w:pageBreakBefore w:val="0"/>
              <w:kinsoku/>
              <w:wordWrap/>
              <w:overflowPunct/>
              <w:topLinePunct w:val="0"/>
              <w:bidi w:val="0"/>
              <w:snapToGrid w:val="0"/>
              <w:spacing w:line="360" w:lineRule="auto"/>
              <w:ind w:left="0" w:right="0" w:rightChars="0" w:firstLine="480" w:firstLineChars="200"/>
              <w:rPr>
                <w:rFonts w:hint="default" w:ascii="Times New Roman" w:hAnsi="Times New Roman" w:eastAsia="宋体" w:cs="Times New Roman"/>
                <w:b/>
                <w:color w:val="auto"/>
                <w:sz w:val="24"/>
                <w:szCs w:val="24"/>
              </w:rPr>
            </w:pPr>
            <w:r>
              <w:rPr>
                <w:rFonts w:hint="default" w:ascii="Times New Roman" w:hAnsi="Times New Roman" w:eastAsia="宋体" w:cs="Times New Roman"/>
                <w:color w:val="auto"/>
                <w:sz w:val="24"/>
                <w:szCs w:val="24"/>
                <w:lang w:val="zh-CN"/>
              </w:rPr>
              <w:t>（1）植物资源</w:t>
            </w:r>
          </w:p>
          <w:p>
            <w:pPr>
              <w:keepNext w:val="0"/>
              <w:keepLines w:val="0"/>
              <w:pageBreakBefore w:val="0"/>
              <w:kinsoku/>
              <w:wordWrap/>
              <w:overflowPunct/>
              <w:topLinePunct w:val="0"/>
              <w:bidi w:val="0"/>
              <w:adjustRightInd w:val="0"/>
              <w:snapToGrid w:val="0"/>
              <w:spacing w:line="360" w:lineRule="auto"/>
              <w:ind w:left="0" w:right="0" w:rightChars="0" w:firstLine="480" w:firstLineChars="200"/>
              <w:jc w:val="left"/>
              <w:rPr>
                <w:rFonts w:hint="default" w:ascii="Times New Roman" w:hAnsi="Times New Roman" w:eastAsia="宋体" w:cs="Times New Roman"/>
                <w:color w:val="auto"/>
                <w:spacing w:val="-2"/>
                <w:sz w:val="24"/>
                <w:szCs w:val="24"/>
              </w:rPr>
            </w:pPr>
            <w:r>
              <w:rPr>
                <w:rFonts w:hint="default" w:ascii="Times New Roman" w:hAnsi="Times New Roman" w:eastAsia="宋体" w:cs="Times New Roman"/>
                <w:color w:val="auto"/>
                <w:sz w:val="24"/>
                <w:szCs w:val="24"/>
              </w:rPr>
              <w:t>本工程施工期间建设活动中的地表开挖，车辆行驶，建筑材料堆放等活动破坏原地表结构，占地范围内的植被造成</w:t>
            </w:r>
            <w:r>
              <w:rPr>
                <w:rFonts w:hint="default" w:ascii="Times New Roman" w:hAnsi="Times New Roman" w:eastAsia="宋体" w:cs="Times New Roman"/>
                <w:color w:val="auto"/>
                <w:sz w:val="24"/>
                <w:szCs w:val="24"/>
                <w:lang w:val="en-US" w:eastAsia="zh-CN"/>
              </w:rPr>
              <w:t>一定程度</w:t>
            </w:r>
            <w:r>
              <w:rPr>
                <w:rFonts w:hint="default" w:ascii="Times New Roman" w:hAnsi="Times New Roman" w:eastAsia="宋体" w:cs="Times New Roman"/>
                <w:color w:val="auto"/>
                <w:sz w:val="24"/>
                <w:szCs w:val="24"/>
              </w:rPr>
              <w:t>破坏。尽管工程建设会使原有植被遭到局部损失，由于占地面积有限，不会使评价区植物群落的种类组成发生变化，也不会造成某一植物种的消失。</w:t>
            </w:r>
            <w:r>
              <w:rPr>
                <w:rFonts w:hint="default" w:ascii="Times New Roman" w:hAnsi="Times New Roman" w:eastAsia="宋体" w:cs="Times New Roman"/>
                <w:color w:val="auto"/>
                <w:spacing w:val="-2"/>
                <w:sz w:val="24"/>
                <w:szCs w:val="24"/>
              </w:rPr>
              <w:t>占地的生物损失可在施工期结束后3～5年内恢复，对局部自然环境影响甚微。</w:t>
            </w:r>
          </w:p>
          <w:p>
            <w:pPr>
              <w:keepNext w:val="0"/>
              <w:keepLines w:val="0"/>
              <w:pageBreakBefore w:val="0"/>
              <w:kinsoku/>
              <w:wordWrap/>
              <w:overflowPunct/>
              <w:topLinePunct w:val="0"/>
              <w:bidi w:val="0"/>
              <w:adjustRightInd w:val="0"/>
              <w:snapToGrid w:val="0"/>
              <w:spacing w:line="360" w:lineRule="auto"/>
              <w:ind w:left="0" w:right="0" w:rightChars="0" w:firstLine="472" w:firstLineChars="200"/>
              <w:jc w:val="left"/>
              <w:rPr>
                <w:rFonts w:hint="default" w:ascii="Times New Roman" w:hAnsi="Times New Roman" w:eastAsia="宋体" w:cs="Times New Roman"/>
                <w:color w:val="auto"/>
                <w:spacing w:val="-2"/>
                <w:sz w:val="24"/>
                <w:szCs w:val="24"/>
              </w:rPr>
            </w:pPr>
            <w:r>
              <w:rPr>
                <w:rFonts w:hint="default" w:ascii="Times New Roman" w:hAnsi="Times New Roman" w:eastAsia="宋体" w:cs="Times New Roman"/>
                <w:color w:val="auto"/>
                <w:spacing w:val="-2"/>
                <w:sz w:val="24"/>
                <w:szCs w:val="24"/>
              </w:rPr>
              <w:t>拟采取以下措施减轻本工程施工期对周围的植物资源的影响：</w:t>
            </w:r>
          </w:p>
          <w:p>
            <w:pPr>
              <w:keepNext w:val="0"/>
              <w:keepLines w:val="0"/>
              <w:pageBreakBefore w:val="0"/>
              <w:kinsoku/>
              <w:wordWrap/>
              <w:overflowPunct/>
              <w:topLinePunct w:val="0"/>
              <w:bidi w:val="0"/>
              <w:spacing w:line="360" w:lineRule="auto"/>
              <w:ind w:left="0" w:right="0" w:rightChars="0"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1）建立健全环境管理规章制度，提高施工人员的环保意识。施工优先采用环保型设备，进行“绿色”施工。</w:t>
            </w:r>
          </w:p>
          <w:p>
            <w:pPr>
              <w:keepNext w:val="0"/>
              <w:keepLines w:val="0"/>
              <w:pageBreakBefore w:val="0"/>
              <w:kinsoku/>
              <w:wordWrap/>
              <w:overflowPunct/>
              <w:topLinePunct w:val="0"/>
              <w:bidi w:val="0"/>
              <w:adjustRightInd w:val="0"/>
              <w:snapToGrid w:val="0"/>
              <w:spacing w:line="360" w:lineRule="auto"/>
              <w:ind w:left="0" w:right="0" w:rightChars="0" w:firstLine="480" w:firstLineChars="20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2）施工期间，应划定施工区域界限，严格控制施工人员和施工机械的活动范围；施工活动严格控制在</w:t>
            </w:r>
            <w:r>
              <w:rPr>
                <w:rFonts w:hint="eastAsia" w:cs="Times New Roman"/>
                <w:color w:val="auto"/>
                <w:sz w:val="24"/>
                <w:szCs w:val="24"/>
                <w:lang w:val="en-US" w:eastAsia="zh-CN"/>
              </w:rPr>
              <w:t>场地</w:t>
            </w:r>
            <w:r>
              <w:rPr>
                <w:rFonts w:hint="default" w:ascii="Times New Roman" w:hAnsi="Times New Roman" w:eastAsia="宋体" w:cs="Times New Roman"/>
                <w:color w:val="auto"/>
                <w:sz w:val="24"/>
                <w:szCs w:val="24"/>
              </w:rPr>
              <w:t>范围内，</w:t>
            </w:r>
            <w:r>
              <w:rPr>
                <w:rFonts w:hint="default" w:ascii="Times New Roman" w:hAnsi="Times New Roman" w:eastAsia="宋体" w:cs="Times New Roman"/>
                <w:color w:val="auto"/>
                <w:spacing w:val="-2"/>
                <w:sz w:val="24"/>
                <w:szCs w:val="24"/>
              </w:rPr>
              <w:t>不得占用</w:t>
            </w:r>
            <w:r>
              <w:rPr>
                <w:rFonts w:hint="default" w:ascii="Times New Roman" w:hAnsi="Times New Roman" w:eastAsia="宋体" w:cs="Times New Roman"/>
                <w:color w:val="auto"/>
                <w:sz w:val="24"/>
                <w:szCs w:val="24"/>
              </w:rPr>
              <w:t>周边林地及耕地；</w:t>
            </w:r>
          </w:p>
          <w:p>
            <w:pPr>
              <w:keepNext w:val="0"/>
              <w:keepLines w:val="0"/>
              <w:pageBreakBefore w:val="0"/>
              <w:kinsoku/>
              <w:wordWrap/>
              <w:overflowPunct/>
              <w:topLinePunct w:val="0"/>
              <w:bidi w:val="0"/>
              <w:spacing w:line="360" w:lineRule="auto"/>
              <w:ind w:left="0" w:right="0" w:rightChars="0"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3）合理安排施工时间及工序，基础及缆沟开挖应避开大风天气及雨季，并尽快进行土方回填，弃土及时处置，将土壤受风蚀、水蚀的影响降至最低程度；电池组件及电气设备必须严格按设计规划指定位置来放置，各施工机械和设备不得随意堆放，以便能有效地控制占地面积，更好地保护原地貌。</w:t>
            </w:r>
          </w:p>
          <w:p>
            <w:pPr>
              <w:keepNext w:val="0"/>
              <w:keepLines w:val="0"/>
              <w:pageBreakBefore w:val="0"/>
              <w:kinsoku/>
              <w:wordWrap/>
              <w:overflowPunct/>
              <w:topLinePunct w:val="0"/>
              <w:bidi w:val="0"/>
              <w:spacing w:line="360" w:lineRule="auto"/>
              <w:ind w:left="0" w:right="0" w:rightChars="0"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4）尽量减少大型机械施工，基坑开挖后，并及时回填，表层进行碾压，缩短裸露时间，减少扬尘发生；电缆沟施工后应及时回填，并恢复原有地貌。</w:t>
            </w:r>
          </w:p>
          <w:p>
            <w:pPr>
              <w:keepNext w:val="0"/>
              <w:keepLines w:val="0"/>
              <w:pageBreakBefore w:val="0"/>
              <w:kinsoku/>
              <w:wordWrap/>
              <w:overflowPunct/>
              <w:topLinePunct w:val="0"/>
              <w:bidi w:val="0"/>
              <w:spacing w:line="360" w:lineRule="auto"/>
              <w:ind w:left="0" w:right="0" w:rightChars="0"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5）本工程尽量利用原有道</w:t>
            </w:r>
            <w:r>
              <w:rPr>
                <w:rFonts w:hint="eastAsia" w:cs="Times New Roman"/>
                <w:color w:val="auto"/>
                <w:sz w:val="24"/>
                <w:szCs w:val="24"/>
                <w:lang w:val="en-US" w:eastAsia="zh-CN"/>
              </w:rPr>
              <w:t>路</w:t>
            </w:r>
            <w:r>
              <w:rPr>
                <w:rFonts w:hint="default" w:ascii="Times New Roman" w:hAnsi="Times New Roman" w:eastAsia="宋体" w:cs="Times New Roman"/>
                <w:color w:val="auto"/>
                <w:sz w:val="24"/>
                <w:szCs w:val="24"/>
              </w:rPr>
              <w:t>，光伏组件采用非机动车装载设施沿现有村道进行场内转运，尽量减少对场内生态环境的破坏。</w:t>
            </w:r>
          </w:p>
          <w:p>
            <w:pPr>
              <w:keepNext w:val="0"/>
              <w:keepLines w:val="0"/>
              <w:pageBreakBefore w:val="0"/>
              <w:kinsoku/>
              <w:wordWrap/>
              <w:overflowPunct/>
              <w:topLinePunct w:val="0"/>
              <w:bidi w:val="0"/>
              <w:spacing w:line="360" w:lineRule="auto"/>
              <w:ind w:left="0" w:right="0" w:rightChars="0"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6）安装过程以人工为主，无需使用大中型机械设备。安装过程施工人员踩踏可造成对局部植被的破坏，施工结束后可播撒草籽进行植被恢复。</w:t>
            </w:r>
          </w:p>
          <w:p>
            <w:pPr>
              <w:keepNext w:val="0"/>
              <w:keepLines w:val="0"/>
              <w:pageBreakBefore w:val="0"/>
              <w:kinsoku/>
              <w:wordWrap/>
              <w:overflowPunct/>
              <w:topLinePunct w:val="0"/>
              <w:bidi w:val="0"/>
              <w:spacing w:line="360" w:lineRule="auto"/>
              <w:ind w:left="0" w:right="0" w:rightChars="0"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7）光伏组件基础、箱变基础、电缆直埋等工程的施工方式应遵循：</w:t>
            </w:r>
          </w:p>
          <w:p>
            <w:pPr>
              <w:keepNext w:val="0"/>
              <w:keepLines w:val="0"/>
              <w:pageBreakBefore w:val="0"/>
              <w:kinsoku/>
              <w:wordWrap/>
              <w:overflowPunct/>
              <w:topLinePunct w:val="0"/>
              <w:bidi w:val="0"/>
              <w:spacing w:line="360" w:lineRule="auto"/>
              <w:ind w:left="0" w:right="0" w:rightChars="0"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首先，光伏组件基础、箱变基础的基础型式采用占地少、开挖量少的符合环保要求的桩基础型式；其次，光伏组件基础和箱变基础开挖后的部分土壤用于道路建设，部分土壤回填，为便于后期植被恢复，待施工结束后，将熟土摊铺在地表扰动面，植被自然恢复。电缆直埋工程将开挖土壤全部回填，为便于后期植被恢复，评价要求电缆直埋工程中开挖的土壤分层堆放，待施工结束后，全部分层回填，确保原有土层分布，植被自然恢复。</w:t>
            </w:r>
          </w:p>
          <w:p>
            <w:pPr>
              <w:keepNext w:val="0"/>
              <w:keepLines w:val="0"/>
              <w:pageBreakBefore w:val="0"/>
              <w:kinsoku/>
              <w:wordWrap/>
              <w:overflowPunct/>
              <w:topLinePunct w:val="0"/>
              <w:bidi w:val="0"/>
              <w:adjustRightInd w:val="0"/>
              <w:snapToGrid w:val="0"/>
              <w:spacing w:line="360" w:lineRule="auto"/>
              <w:ind w:left="0" w:right="0" w:rightChars="0"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8）施工结束后要将施工临时占地进行恢复。临时道路表面的砂石可用于永久道路的加固，以防止雨水对永久道路的侵蚀；然后在恢复道路表面施工前回填原有地表土壤，作为恢复植被用土，恢复原有植被，恢复后植被覆盖度应不小于原生的植被覆盖度。</w:t>
            </w:r>
          </w:p>
          <w:p>
            <w:pPr>
              <w:keepNext w:val="0"/>
              <w:keepLines w:val="0"/>
              <w:pageBreakBefore w:val="0"/>
              <w:kinsoku/>
              <w:wordWrap/>
              <w:overflowPunct/>
              <w:topLinePunct w:val="0"/>
              <w:bidi w:val="0"/>
              <w:snapToGrid w:val="0"/>
              <w:spacing w:line="360" w:lineRule="auto"/>
              <w:ind w:left="0" w:right="0" w:rightChars="0" w:firstLine="480" w:firstLineChars="200"/>
              <w:rPr>
                <w:rFonts w:hint="default" w:ascii="Times New Roman" w:hAnsi="Times New Roman" w:eastAsia="宋体" w:cs="Times New Roman"/>
                <w:color w:val="auto"/>
                <w:sz w:val="24"/>
                <w:szCs w:val="24"/>
                <w:lang w:val="zh-CN"/>
              </w:rPr>
            </w:pPr>
            <w:r>
              <w:rPr>
                <w:rFonts w:hint="default" w:ascii="Times New Roman" w:hAnsi="Times New Roman" w:eastAsia="宋体" w:cs="Times New Roman"/>
                <w:color w:val="auto"/>
                <w:sz w:val="24"/>
                <w:szCs w:val="24"/>
                <w:lang w:val="zh-CN"/>
              </w:rPr>
              <w:t>（2）动物资源</w:t>
            </w:r>
          </w:p>
          <w:p>
            <w:pPr>
              <w:keepNext w:val="0"/>
              <w:keepLines w:val="0"/>
              <w:pageBreakBefore w:val="0"/>
              <w:kinsoku/>
              <w:wordWrap/>
              <w:overflowPunct/>
              <w:topLinePunct w:val="0"/>
              <w:bidi w:val="0"/>
              <w:snapToGrid w:val="0"/>
              <w:spacing w:line="360" w:lineRule="auto"/>
              <w:ind w:left="0" w:right="0" w:rightChars="0" w:firstLine="480" w:firstLineChars="200"/>
              <w:rPr>
                <w:rFonts w:hint="default" w:ascii="Times New Roman" w:hAnsi="Times New Roman" w:eastAsia="宋体" w:cs="Times New Roman"/>
                <w:color w:val="auto"/>
                <w:sz w:val="24"/>
                <w:szCs w:val="24"/>
                <w:lang w:val="zh-CN"/>
              </w:rPr>
            </w:pPr>
            <w:r>
              <w:rPr>
                <w:rFonts w:hint="default" w:ascii="Times New Roman" w:hAnsi="Times New Roman" w:eastAsia="宋体" w:cs="Times New Roman"/>
                <w:color w:val="auto"/>
                <w:sz w:val="24"/>
                <w:szCs w:val="24"/>
                <w:lang w:val="zh-CN"/>
              </w:rPr>
              <w:t>拟建场区</w:t>
            </w:r>
            <w:r>
              <w:rPr>
                <w:rFonts w:hint="default" w:ascii="Times New Roman" w:hAnsi="Times New Roman" w:eastAsia="宋体" w:cs="Times New Roman"/>
                <w:color w:val="auto"/>
                <w:sz w:val="24"/>
                <w:szCs w:val="24"/>
                <w:lang w:val="en-US" w:eastAsia="zh-CN"/>
              </w:rPr>
              <w:t>为灰场</w:t>
            </w:r>
            <w:r>
              <w:rPr>
                <w:rFonts w:hint="default" w:ascii="Times New Roman" w:hAnsi="Times New Roman" w:eastAsia="宋体" w:cs="Times New Roman"/>
                <w:color w:val="auto"/>
                <w:sz w:val="24"/>
                <w:szCs w:val="24"/>
                <w:lang w:val="zh-CN"/>
              </w:rPr>
              <w:t>，野生动物种类很少，现有的野生动物多为一些常见的鸟类及啮齿类等。</w:t>
            </w:r>
            <w:r>
              <w:rPr>
                <w:rFonts w:hint="default" w:ascii="Times New Roman" w:hAnsi="Times New Roman" w:eastAsia="宋体" w:cs="Times New Roman"/>
                <w:color w:val="auto"/>
                <w:sz w:val="24"/>
                <w:szCs w:val="24"/>
              </w:rPr>
              <w:t>施工各种工程机械运行和运输车辆产生的噪声、振动、以及人员活动会使工程区野生动物回避，对在其影响范围内营巢的啮齿动物的交配、繁殖及觅食、育幼等日常活动造成干扰。夜间施工和工程人员生活照明则可能对一些夜行性食肉动物造成影响。此外，由于可能存在部分施工人员缺乏野生动物保护意识，哄赶、捕捉、伤害野生动物，或处于好奇追赶和接近动物，对其造成心理和身体上的损害。</w:t>
            </w:r>
          </w:p>
          <w:p>
            <w:pPr>
              <w:keepNext w:val="0"/>
              <w:keepLines w:val="0"/>
              <w:pageBreakBefore w:val="0"/>
              <w:kinsoku/>
              <w:wordWrap/>
              <w:overflowPunct/>
              <w:topLinePunct w:val="0"/>
              <w:bidi w:val="0"/>
              <w:adjustRightInd w:val="0"/>
              <w:snapToGrid w:val="0"/>
              <w:spacing w:line="360" w:lineRule="auto"/>
              <w:ind w:left="0" w:right="0" w:rightChars="0" w:firstLine="480" w:firstLineChars="200"/>
              <w:rPr>
                <w:rFonts w:hint="default" w:ascii="Times New Roman" w:hAnsi="Times New Roman" w:eastAsia="宋体" w:cs="Times New Roman"/>
                <w:color w:val="auto"/>
                <w:sz w:val="24"/>
                <w:szCs w:val="24"/>
                <w:lang w:val="zh-CN"/>
              </w:rPr>
            </w:pPr>
            <w:r>
              <w:rPr>
                <w:rFonts w:hint="default" w:ascii="Times New Roman" w:hAnsi="Times New Roman" w:eastAsia="宋体" w:cs="Times New Roman"/>
                <w:color w:val="auto"/>
                <w:sz w:val="24"/>
                <w:szCs w:val="24"/>
                <w:lang w:val="zh-CN"/>
              </w:rPr>
              <w:t>（3）土壤影响</w:t>
            </w:r>
          </w:p>
          <w:p>
            <w:pPr>
              <w:keepNext w:val="0"/>
              <w:keepLines w:val="0"/>
              <w:pageBreakBefore w:val="0"/>
              <w:kinsoku/>
              <w:wordWrap/>
              <w:overflowPunct/>
              <w:topLinePunct w:val="0"/>
              <w:bidi w:val="0"/>
              <w:adjustRightInd w:val="0"/>
              <w:snapToGrid w:val="0"/>
              <w:spacing w:line="360" w:lineRule="auto"/>
              <w:ind w:left="0" w:right="0" w:rightChars="0" w:firstLine="480" w:firstLineChars="200"/>
              <w:rPr>
                <w:rFonts w:hint="default" w:ascii="Times New Roman" w:hAnsi="Times New Roman" w:eastAsia="宋体" w:cs="Times New Roman"/>
                <w:color w:val="auto"/>
                <w:sz w:val="24"/>
                <w:szCs w:val="24"/>
                <w:lang w:val="zh-CN"/>
              </w:rPr>
            </w:pPr>
            <w:r>
              <w:rPr>
                <w:rFonts w:hint="default" w:ascii="Times New Roman" w:hAnsi="Times New Roman" w:eastAsia="宋体" w:cs="Times New Roman"/>
                <w:color w:val="auto"/>
                <w:sz w:val="24"/>
                <w:szCs w:val="24"/>
                <w:lang w:val="zh-CN"/>
              </w:rPr>
              <w:t>施工期对土壤的影响主要表现在施工人员的践踏和施工机械的碾压，将改变土壤的坚实度、通透性，对土壤的机械物理性质有所影响。</w:t>
            </w:r>
          </w:p>
          <w:p>
            <w:pPr>
              <w:keepNext w:val="0"/>
              <w:keepLines w:val="0"/>
              <w:pageBreakBefore w:val="0"/>
              <w:kinsoku/>
              <w:wordWrap/>
              <w:overflowPunct/>
              <w:topLinePunct w:val="0"/>
              <w:bidi w:val="0"/>
              <w:adjustRightInd w:val="0"/>
              <w:snapToGrid w:val="0"/>
              <w:spacing w:line="360" w:lineRule="auto"/>
              <w:ind w:left="0" w:right="0" w:rightChars="0"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为保护生态环境，减少施工占地对生态的破坏，施工期间应采取以下生态保护和恢复措施：</w:t>
            </w:r>
          </w:p>
          <w:p>
            <w:pPr>
              <w:pStyle w:val="187"/>
              <w:keepNext w:val="0"/>
              <w:keepLines w:val="0"/>
              <w:pageBreakBefore w:val="0"/>
              <w:kinsoku/>
              <w:wordWrap/>
              <w:overflowPunct/>
              <w:topLinePunct w:val="0"/>
              <w:bidi w:val="0"/>
              <w:adjustRightInd w:val="0"/>
              <w:snapToGrid w:val="0"/>
              <w:spacing w:line="360" w:lineRule="auto"/>
              <w:ind w:left="0" w:right="0" w:rightChars="0" w:firstLine="480" w:firstLineChars="200"/>
              <w:rPr>
                <w:rFonts w:hint="default" w:ascii="Times New Roman" w:hAnsi="Times New Roman" w:eastAsia="宋体" w:cs="Times New Roman"/>
                <w:color w:val="auto"/>
                <w:sz w:val="24"/>
                <w:szCs w:val="24"/>
                <w:lang w:val="zh-CN"/>
              </w:rPr>
            </w:pPr>
            <w:r>
              <w:rPr>
                <w:rFonts w:hint="default" w:ascii="Times New Roman" w:hAnsi="Times New Roman" w:eastAsia="宋体" w:cs="Times New Roman"/>
                <w:color w:val="auto"/>
                <w:sz w:val="24"/>
                <w:szCs w:val="24"/>
                <w:lang w:val="zh-CN"/>
              </w:rPr>
              <w:t>1）对现场作业人员实行严格的管理，将施工作业机械和人员活动范围严格限制在作业带范围内，即道路施工作业宽度控制在4.0m，场内道路采用碎石铺路，尽量减少施工破坏面；</w:t>
            </w:r>
          </w:p>
          <w:p>
            <w:pPr>
              <w:keepNext w:val="0"/>
              <w:keepLines w:val="0"/>
              <w:pageBreakBefore w:val="0"/>
              <w:kinsoku/>
              <w:wordWrap/>
              <w:overflowPunct/>
              <w:topLinePunct w:val="0"/>
              <w:bidi w:val="0"/>
              <w:adjustRightInd w:val="0"/>
              <w:snapToGrid w:val="0"/>
              <w:spacing w:line="360" w:lineRule="auto"/>
              <w:ind w:left="0" w:right="0" w:rightChars="0" w:firstLine="480" w:firstLineChars="200"/>
              <w:rPr>
                <w:rFonts w:hint="default" w:ascii="Times New Roman" w:hAnsi="Times New Roman" w:eastAsia="宋体" w:cs="Times New Roman"/>
                <w:color w:val="auto"/>
                <w:sz w:val="24"/>
                <w:szCs w:val="24"/>
                <w:lang w:val="zh-CN"/>
              </w:rPr>
            </w:pPr>
            <w:r>
              <w:rPr>
                <w:rFonts w:hint="default" w:ascii="Times New Roman" w:hAnsi="Times New Roman" w:eastAsia="宋体" w:cs="Times New Roman"/>
                <w:color w:val="auto"/>
                <w:sz w:val="24"/>
                <w:szCs w:val="24"/>
                <w:lang w:val="zh-CN"/>
              </w:rPr>
              <w:t>2）尽量减少大型机械施工，光伏组件基础开挖后，尽快浇筑混凝土，并及时回填，对其表层进行碾压，缩短裸露时间，减少扬尘产生；</w:t>
            </w:r>
          </w:p>
          <w:p>
            <w:pPr>
              <w:pStyle w:val="187"/>
              <w:keepNext w:val="0"/>
              <w:keepLines w:val="0"/>
              <w:pageBreakBefore w:val="0"/>
              <w:kinsoku/>
              <w:wordWrap/>
              <w:overflowPunct/>
              <w:topLinePunct w:val="0"/>
              <w:bidi w:val="0"/>
              <w:adjustRightInd w:val="0"/>
              <w:snapToGrid w:val="0"/>
              <w:spacing w:line="360" w:lineRule="auto"/>
              <w:ind w:left="0" w:right="0" w:rightChars="0" w:firstLine="480" w:firstLineChars="200"/>
              <w:rPr>
                <w:rFonts w:hint="default" w:ascii="Times New Roman" w:hAnsi="Times New Roman" w:eastAsia="宋体" w:cs="Times New Roman"/>
                <w:color w:val="auto"/>
                <w:sz w:val="24"/>
                <w:szCs w:val="24"/>
                <w:lang w:val="zh-CN"/>
              </w:rPr>
            </w:pPr>
            <w:r>
              <w:rPr>
                <w:rFonts w:hint="default" w:ascii="Times New Roman" w:hAnsi="Times New Roman" w:eastAsia="宋体" w:cs="Times New Roman"/>
                <w:color w:val="auto"/>
                <w:sz w:val="24"/>
                <w:szCs w:val="24"/>
                <w:lang w:val="zh-CN"/>
              </w:rPr>
              <w:t>3）在施工中要合理组织材料的拉运，对沙石等应合理安排施工进度，及时调入现场，并尽快施工，避免砂石料的堆放造成沙土飞扬，影响区域环境质量；</w:t>
            </w:r>
          </w:p>
          <w:p>
            <w:pPr>
              <w:keepNext w:val="0"/>
              <w:keepLines w:val="0"/>
              <w:pageBreakBefore w:val="0"/>
              <w:kinsoku/>
              <w:wordWrap/>
              <w:overflowPunct/>
              <w:topLinePunct w:val="0"/>
              <w:bidi w:val="0"/>
              <w:adjustRightInd w:val="0"/>
              <w:snapToGrid w:val="0"/>
              <w:spacing w:line="360" w:lineRule="auto"/>
              <w:ind w:left="0" w:right="0" w:rightChars="0" w:firstLine="480" w:firstLineChars="200"/>
              <w:rPr>
                <w:rFonts w:hint="default" w:ascii="Times New Roman" w:hAnsi="Times New Roman" w:eastAsia="宋体" w:cs="Times New Roman"/>
                <w:color w:val="auto"/>
                <w:sz w:val="24"/>
                <w:szCs w:val="24"/>
                <w:lang w:val="zh-CN"/>
              </w:rPr>
            </w:pPr>
            <w:r>
              <w:rPr>
                <w:rFonts w:hint="default" w:ascii="Times New Roman" w:hAnsi="Times New Roman" w:eastAsia="宋体" w:cs="Times New Roman"/>
                <w:color w:val="auto"/>
                <w:sz w:val="24"/>
                <w:szCs w:val="24"/>
                <w:lang w:val="zh-CN"/>
              </w:rPr>
              <w:t>4）在场内运输道路及检修道路修筑中，应尽量使用光伏组件及建筑物基础施工中的弃土，以避免各分散施工场地的弃土随意堆放；</w:t>
            </w:r>
          </w:p>
          <w:p>
            <w:pPr>
              <w:keepNext w:val="0"/>
              <w:keepLines w:val="0"/>
              <w:pageBreakBefore w:val="0"/>
              <w:widowControl/>
              <w:kinsoku/>
              <w:wordWrap/>
              <w:overflowPunct/>
              <w:topLinePunct w:val="0"/>
              <w:bidi w:val="0"/>
              <w:adjustRightInd w:val="0"/>
              <w:snapToGrid w:val="0"/>
              <w:spacing w:line="360" w:lineRule="auto"/>
              <w:ind w:left="0" w:right="0" w:rightChars="0" w:firstLine="480" w:firstLineChars="200"/>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sz w:val="24"/>
                <w:szCs w:val="24"/>
                <w:lang w:val="zh-CN"/>
              </w:rPr>
              <w:t>5）</w:t>
            </w:r>
            <w:r>
              <w:rPr>
                <w:rFonts w:hint="default" w:ascii="Times New Roman" w:hAnsi="Times New Roman" w:eastAsia="宋体" w:cs="Times New Roman"/>
                <w:color w:val="auto"/>
                <w:kern w:val="0"/>
                <w:sz w:val="24"/>
                <w:szCs w:val="24"/>
              </w:rPr>
              <w:t>施工期对施工道路及光伏组件基础施工表层土进行剥离，并堆放在场地一侧，周边设临时拦挡，并采用防尘网苫盖，施工完毕后，将表土回覆；</w:t>
            </w:r>
          </w:p>
          <w:p>
            <w:pPr>
              <w:keepNext w:val="0"/>
              <w:keepLines w:val="0"/>
              <w:pageBreakBefore w:val="0"/>
              <w:kinsoku/>
              <w:wordWrap/>
              <w:overflowPunct/>
              <w:topLinePunct w:val="0"/>
              <w:bidi w:val="0"/>
              <w:adjustRightInd w:val="0"/>
              <w:snapToGrid w:val="0"/>
              <w:spacing w:line="360" w:lineRule="auto"/>
              <w:ind w:left="0" w:right="0" w:rightChars="0" w:firstLine="480" w:firstLineChars="200"/>
              <w:rPr>
                <w:rFonts w:hint="default" w:ascii="Times New Roman" w:hAnsi="Times New Roman" w:eastAsia="宋体" w:cs="Times New Roman"/>
                <w:color w:val="auto"/>
                <w:sz w:val="24"/>
                <w:szCs w:val="24"/>
                <w:lang w:val="zh-CN"/>
              </w:rPr>
            </w:pPr>
            <w:r>
              <w:rPr>
                <w:rFonts w:hint="default" w:ascii="Times New Roman" w:hAnsi="Times New Roman" w:eastAsia="宋体" w:cs="Times New Roman"/>
                <w:color w:val="auto"/>
                <w:sz w:val="24"/>
                <w:szCs w:val="24"/>
                <w:lang w:val="zh-CN"/>
              </w:rPr>
              <w:t>6）施工作业结束后，及时平整各类施工迹地，恢复原有地貌，并采取水土保持措施，防治新增水土流失。</w:t>
            </w:r>
          </w:p>
          <w:p>
            <w:pPr>
              <w:keepNext w:val="0"/>
              <w:keepLines w:val="0"/>
              <w:pageBreakBefore w:val="0"/>
              <w:kinsoku/>
              <w:wordWrap/>
              <w:overflowPunct/>
              <w:topLinePunct w:val="0"/>
              <w:bidi w:val="0"/>
              <w:adjustRightInd w:val="0"/>
              <w:snapToGrid w:val="0"/>
              <w:spacing w:line="360" w:lineRule="auto"/>
              <w:ind w:left="0" w:right="0" w:rightChars="0"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（4）道路建设对生态环境的影响</w:t>
            </w:r>
          </w:p>
          <w:p>
            <w:pPr>
              <w:keepNext w:val="0"/>
              <w:keepLines w:val="0"/>
              <w:pageBreakBefore w:val="0"/>
              <w:kinsoku/>
              <w:wordWrap/>
              <w:overflowPunct/>
              <w:topLinePunct w:val="0"/>
              <w:bidi w:val="0"/>
              <w:adjustRightInd w:val="0"/>
              <w:snapToGrid w:val="0"/>
              <w:spacing w:line="360" w:lineRule="auto"/>
              <w:ind w:left="0" w:right="0" w:rightChars="0" w:firstLine="480" w:firstLineChars="200"/>
              <w:rPr>
                <w:rFonts w:hint="default" w:ascii="Times New Roman" w:hAnsi="Times New Roman" w:eastAsia="宋体" w:cs="Times New Roman"/>
                <w:color w:val="auto"/>
                <w:sz w:val="24"/>
                <w:szCs w:val="24"/>
              </w:rPr>
            </w:pPr>
            <w:r>
              <w:rPr>
                <w:rFonts w:hint="eastAsia" w:cs="Times New Roman"/>
                <w:color w:val="auto"/>
                <w:sz w:val="24"/>
                <w:szCs w:val="24"/>
                <w:lang w:val="en-US" w:eastAsia="zh-CN"/>
              </w:rPr>
              <w:t>施工道路尽量与运行期场内道路重合，</w:t>
            </w:r>
            <w:r>
              <w:rPr>
                <w:rFonts w:hint="eastAsia" w:cs="Times New Roman"/>
                <w:color w:val="0000FF"/>
                <w:sz w:val="24"/>
                <w:szCs w:val="24"/>
                <w:lang w:val="en-US" w:eastAsia="zh-CN"/>
              </w:rPr>
              <w:t>采用碎石</w:t>
            </w:r>
            <w:r>
              <w:rPr>
                <w:rFonts w:hint="default" w:ascii="Times New Roman" w:hAnsi="Times New Roman" w:eastAsia="宋体" w:cs="Times New Roman"/>
                <w:color w:val="0000FF"/>
                <w:sz w:val="24"/>
                <w:szCs w:val="24"/>
                <w:lang w:val="en-US" w:eastAsia="zh-CN"/>
              </w:rPr>
              <w:t>铺路约22000</w:t>
            </w:r>
            <w:r>
              <w:rPr>
                <w:rFonts w:hint="default" w:ascii="Times New Roman" w:hAnsi="Times New Roman" w:eastAsia="宋体" w:cs="Times New Roman"/>
                <w:color w:val="0000FF"/>
                <w:sz w:val="24"/>
                <w:szCs w:val="24"/>
              </w:rPr>
              <w:t>m</w:t>
            </w:r>
            <w:r>
              <w:rPr>
                <w:rFonts w:hint="default" w:ascii="Times New Roman" w:hAnsi="Times New Roman" w:eastAsia="宋体" w:cs="Times New Roman"/>
                <w:color w:val="0000FF"/>
                <w:sz w:val="24"/>
                <w:szCs w:val="24"/>
                <w:vertAlign w:val="superscript"/>
              </w:rPr>
              <w:t>2</w:t>
            </w:r>
            <w:r>
              <w:rPr>
                <w:rFonts w:hint="eastAsia" w:cs="Times New Roman"/>
                <w:color w:val="auto"/>
                <w:sz w:val="24"/>
                <w:szCs w:val="24"/>
                <w:vertAlign w:val="baseline"/>
                <w:lang w:eastAsia="zh-CN"/>
              </w:rPr>
              <w:t>；</w:t>
            </w:r>
            <w:r>
              <w:rPr>
                <w:rFonts w:hint="default" w:ascii="Times New Roman" w:hAnsi="Times New Roman" w:eastAsia="宋体" w:cs="Times New Roman"/>
                <w:color w:val="auto"/>
                <w:sz w:val="24"/>
                <w:szCs w:val="24"/>
              </w:rPr>
              <w:t>新建开关站</w:t>
            </w:r>
            <w:r>
              <w:rPr>
                <w:rFonts w:hint="default" w:ascii="Times New Roman" w:hAnsi="Times New Roman" w:eastAsia="宋体" w:cs="Times New Roman"/>
                <w:color w:val="auto"/>
                <w:sz w:val="24"/>
                <w:szCs w:val="24"/>
                <w:lang w:val="en-US" w:eastAsia="zh-CN"/>
              </w:rPr>
              <w:t>内混凝土道路</w:t>
            </w:r>
            <w:r>
              <w:rPr>
                <w:rFonts w:hint="default" w:ascii="Times New Roman" w:hAnsi="Times New Roman" w:eastAsia="宋体" w:cs="Times New Roman"/>
                <w:color w:val="auto"/>
                <w:sz w:val="24"/>
                <w:szCs w:val="24"/>
              </w:rPr>
              <w:t>约为</w:t>
            </w:r>
            <w:r>
              <w:rPr>
                <w:rFonts w:hint="default" w:ascii="Times New Roman" w:hAnsi="Times New Roman" w:eastAsia="宋体" w:cs="Times New Roman"/>
                <w:color w:val="auto"/>
                <w:sz w:val="24"/>
                <w:szCs w:val="24"/>
                <w:lang w:val="en-US" w:eastAsia="zh-CN"/>
              </w:rPr>
              <w:t>400</w:t>
            </w:r>
            <w:r>
              <w:rPr>
                <w:rFonts w:hint="default" w:ascii="Times New Roman" w:hAnsi="Times New Roman" w:eastAsia="宋体" w:cs="Times New Roman"/>
                <w:color w:val="auto"/>
                <w:sz w:val="24"/>
                <w:szCs w:val="24"/>
              </w:rPr>
              <w:t>m</w:t>
            </w:r>
            <w:r>
              <w:rPr>
                <w:rFonts w:hint="eastAsia" w:cs="Times New Roman"/>
                <w:color w:val="auto"/>
                <w:sz w:val="24"/>
                <w:szCs w:val="24"/>
                <w:vertAlign w:val="superscript"/>
                <w:lang w:val="en-US" w:eastAsia="zh-CN"/>
              </w:rPr>
              <w:t>2</w:t>
            </w:r>
            <w:r>
              <w:rPr>
                <w:rFonts w:hint="default" w:ascii="Times New Roman" w:hAnsi="Times New Roman" w:eastAsia="宋体" w:cs="Times New Roman"/>
                <w:color w:val="auto"/>
                <w:sz w:val="24"/>
                <w:szCs w:val="24"/>
              </w:rPr>
              <w:t>，道路路基宽为4.0m，路面宽为4.0m，对原有地表植被产生的影响较小。</w:t>
            </w:r>
          </w:p>
          <w:p>
            <w:pPr>
              <w:keepNext w:val="0"/>
              <w:keepLines w:val="0"/>
              <w:pageBreakBefore w:val="0"/>
              <w:kinsoku/>
              <w:wordWrap/>
              <w:overflowPunct/>
              <w:topLinePunct w:val="0"/>
              <w:bidi w:val="0"/>
              <w:adjustRightInd w:val="0"/>
              <w:snapToGrid w:val="0"/>
              <w:spacing w:line="360" w:lineRule="auto"/>
              <w:ind w:left="0" w:right="0" w:rightChars="0"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（5）场内输电线路生态环境影响</w:t>
            </w:r>
          </w:p>
          <w:p>
            <w:pPr>
              <w:pStyle w:val="178"/>
              <w:keepNext w:val="0"/>
              <w:keepLines w:val="0"/>
              <w:pageBreakBefore w:val="0"/>
              <w:kinsoku/>
              <w:wordWrap/>
              <w:overflowPunct/>
              <w:topLinePunct w:val="0"/>
              <w:bidi w:val="0"/>
              <w:adjustRightInd w:val="0"/>
              <w:snapToGrid w:val="0"/>
              <w:spacing w:line="360" w:lineRule="auto"/>
              <w:ind w:leftChars="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本项目大部分电缆采用直埋方式进行敷设，局部设电缆沟，部分采用电缆埋管。</w:t>
            </w:r>
          </w:p>
          <w:p>
            <w:pPr>
              <w:keepNext w:val="0"/>
              <w:keepLines w:val="0"/>
              <w:pageBreakBefore w:val="0"/>
              <w:kinsoku/>
              <w:wordWrap/>
              <w:overflowPunct/>
              <w:topLinePunct w:val="0"/>
              <w:bidi w:val="0"/>
              <w:adjustRightInd w:val="0"/>
              <w:snapToGrid w:val="0"/>
              <w:spacing w:line="360" w:lineRule="auto"/>
              <w:ind w:right="0" w:rightChars="0"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对生态的环境影响主要是输电线路埋设前挖槽施工的环境影响，挖槽主要位于永久占地区域内，输电线路电缆槽盒施工完毕后进行埋设，为了后期方便维修同时输电线路大部分位于</w:t>
            </w:r>
            <w:r>
              <w:rPr>
                <w:rFonts w:hint="eastAsia" w:cs="Times New Roman"/>
                <w:color w:val="auto"/>
                <w:sz w:val="24"/>
                <w:szCs w:val="24"/>
                <w:lang w:val="en-US" w:eastAsia="zh-CN"/>
              </w:rPr>
              <w:t>场内</w:t>
            </w:r>
            <w:r>
              <w:rPr>
                <w:rFonts w:hint="default" w:ascii="Times New Roman" w:hAnsi="Times New Roman" w:eastAsia="宋体" w:cs="Times New Roman"/>
                <w:color w:val="auto"/>
                <w:sz w:val="24"/>
                <w:szCs w:val="24"/>
              </w:rPr>
              <w:t>道路两侧，受光伏组件阻挡，日照时间少，不适宜恢复植被，故报告要求电缆槽盒埋设后仅进行压实，不进行地表植被恢复。由此分析，虽然线路较长，总体来说场内输电所产生的环境影响较小。</w:t>
            </w:r>
          </w:p>
          <w:p>
            <w:pPr>
              <w:keepNext w:val="0"/>
              <w:keepLines w:val="0"/>
              <w:pageBreakBefore w:val="0"/>
              <w:kinsoku/>
              <w:wordWrap/>
              <w:overflowPunct/>
              <w:topLinePunct w:val="0"/>
              <w:bidi w:val="0"/>
              <w:adjustRightInd w:val="0"/>
              <w:snapToGrid w:val="0"/>
              <w:spacing w:line="360" w:lineRule="auto"/>
              <w:ind w:left="0" w:right="0" w:rightChars="0"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（6）光伏阵列基础施工对生态环境的影响</w:t>
            </w:r>
          </w:p>
          <w:p>
            <w:pPr>
              <w:keepNext w:val="0"/>
              <w:keepLines w:val="0"/>
              <w:pageBreakBefore w:val="0"/>
              <w:kinsoku/>
              <w:wordWrap/>
              <w:overflowPunct/>
              <w:topLinePunct w:val="0"/>
              <w:bidi w:val="0"/>
              <w:adjustRightInd w:val="0"/>
              <w:snapToGrid w:val="0"/>
              <w:spacing w:line="360" w:lineRule="auto"/>
              <w:ind w:left="0" w:right="0" w:rightChars="0"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光伏阵列基础采用混凝土条形基础，主要用于稳定光伏组件，并使光伏组件位于同一高度，保证发电量。其对生态环境的影响主要为扰动土壤和破坏植被的影响。整个光伏发电基础施工采用点状施工的方式进行，即安装光伏组件基础的地方挖掘，其他地区尽量保持原貌，从工程角度来讲，这样可以降低场地平整工程的工程量，从生态保护的角度来讲，减少土石方施工则可降低原有土壤的扰动和植被的破坏，从而降低对生态环境的影响。</w:t>
            </w:r>
          </w:p>
          <w:p>
            <w:pPr>
              <w:keepNext w:val="0"/>
              <w:keepLines w:val="0"/>
              <w:pageBreakBefore w:val="0"/>
              <w:kinsoku/>
              <w:wordWrap/>
              <w:overflowPunct/>
              <w:topLinePunct w:val="0"/>
              <w:autoSpaceDE/>
              <w:autoSpaceDN/>
              <w:bidi w:val="0"/>
              <w:adjustRightInd w:val="0"/>
              <w:snapToGrid w:val="0"/>
              <w:spacing w:line="360" w:lineRule="auto"/>
              <w:ind w:left="0" w:right="0" w:rightChars="0" w:firstLine="482" w:firstLineChars="200"/>
              <w:textAlignment w:val="auto"/>
              <w:rPr>
                <w:b/>
                <w:bCs/>
                <w:color w:val="auto"/>
                <w:sz w:val="24"/>
              </w:rPr>
            </w:pPr>
            <w:r>
              <w:rPr>
                <w:rFonts w:hint="eastAsia"/>
                <w:b/>
                <w:bCs/>
                <w:color w:val="auto"/>
                <w:sz w:val="24"/>
                <w:lang w:val="en-US" w:eastAsia="zh-CN"/>
              </w:rPr>
              <w:t>二、</w:t>
            </w:r>
            <w:r>
              <w:rPr>
                <w:b/>
                <w:bCs/>
                <w:color w:val="auto"/>
                <w:sz w:val="24"/>
              </w:rPr>
              <w:t>营运期环境影响分析</w:t>
            </w:r>
          </w:p>
          <w:p>
            <w:pPr>
              <w:keepNext w:val="0"/>
              <w:keepLines w:val="0"/>
              <w:pageBreakBefore w:val="0"/>
              <w:numPr>
                <w:ilvl w:val="0"/>
                <w:numId w:val="0"/>
              </w:numPr>
              <w:kinsoku/>
              <w:wordWrap/>
              <w:overflowPunct/>
              <w:topLinePunct w:val="0"/>
              <w:autoSpaceDE/>
              <w:autoSpaceDN/>
              <w:bidi w:val="0"/>
              <w:adjustRightInd w:val="0"/>
              <w:snapToGrid w:val="0"/>
              <w:spacing w:line="360" w:lineRule="auto"/>
              <w:ind w:leftChars="200" w:right="0" w:rightChars="0"/>
              <w:textAlignment w:val="auto"/>
              <w:rPr>
                <w:b/>
                <w:color w:val="auto"/>
                <w:sz w:val="24"/>
              </w:rPr>
            </w:pPr>
            <w:r>
              <w:rPr>
                <w:rFonts w:hint="eastAsia"/>
                <w:b/>
                <w:color w:val="auto"/>
                <w:sz w:val="24"/>
                <w:lang w:val="en-US" w:eastAsia="zh-CN"/>
              </w:rPr>
              <w:t>1、</w:t>
            </w:r>
            <w:r>
              <w:rPr>
                <w:b/>
                <w:color w:val="auto"/>
                <w:sz w:val="24"/>
              </w:rPr>
              <w:t>大气环境影响</w:t>
            </w:r>
          </w:p>
          <w:p>
            <w:pPr>
              <w:keepNext w:val="0"/>
              <w:keepLines w:val="0"/>
              <w:pageBreakBefore w:val="0"/>
              <w:kinsoku/>
              <w:wordWrap/>
              <w:overflowPunct/>
              <w:topLinePunct w:val="0"/>
              <w:autoSpaceDE/>
              <w:autoSpaceDN/>
              <w:bidi w:val="0"/>
              <w:adjustRightInd w:val="0"/>
              <w:snapToGrid w:val="0"/>
              <w:spacing w:line="360" w:lineRule="auto"/>
              <w:ind w:left="0" w:right="0" w:rightChars="0" w:firstLine="480" w:firstLineChars="200"/>
              <w:textAlignment w:val="auto"/>
              <w:rPr>
                <w:color w:val="auto"/>
                <w:sz w:val="24"/>
              </w:rPr>
            </w:pPr>
            <w:r>
              <w:rPr>
                <w:rFonts w:hint="eastAsia"/>
                <w:color w:val="auto"/>
                <w:sz w:val="24"/>
              </w:rPr>
              <w:t>本项目营运期无废气污染物产生，对周围大气环境不会造成影响。</w:t>
            </w:r>
          </w:p>
          <w:p>
            <w:pPr>
              <w:keepNext w:val="0"/>
              <w:keepLines w:val="0"/>
              <w:pageBreakBefore w:val="0"/>
              <w:numPr>
                <w:ilvl w:val="0"/>
                <w:numId w:val="0"/>
              </w:numPr>
              <w:kinsoku/>
              <w:wordWrap/>
              <w:overflowPunct/>
              <w:topLinePunct w:val="0"/>
              <w:autoSpaceDE/>
              <w:autoSpaceDN/>
              <w:bidi w:val="0"/>
              <w:adjustRightInd w:val="0"/>
              <w:snapToGrid w:val="0"/>
              <w:spacing w:line="360" w:lineRule="auto"/>
              <w:ind w:leftChars="200" w:right="0" w:rightChars="0"/>
              <w:textAlignment w:val="auto"/>
              <w:rPr>
                <w:b/>
                <w:color w:val="auto"/>
                <w:sz w:val="24"/>
              </w:rPr>
            </w:pPr>
            <w:r>
              <w:rPr>
                <w:rFonts w:hint="eastAsia"/>
                <w:b/>
                <w:color w:val="auto"/>
                <w:sz w:val="24"/>
                <w:lang w:val="en-US" w:eastAsia="zh-CN"/>
              </w:rPr>
              <w:t>2、</w:t>
            </w:r>
            <w:r>
              <w:rPr>
                <w:b/>
                <w:color w:val="auto"/>
                <w:sz w:val="24"/>
              </w:rPr>
              <w:t>水环境影响</w:t>
            </w:r>
          </w:p>
          <w:p>
            <w:pPr>
              <w:keepNext w:val="0"/>
              <w:keepLines w:val="0"/>
              <w:pageBreakBefore w:val="0"/>
              <w:kinsoku/>
              <w:wordWrap/>
              <w:overflowPunct/>
              <w:topLinePunct w:val="0"/>
              <w:autoSpaceDE/>
              <w:autoSpaceDN/>
              <w:bidi w:val="0"/>
              <w:adjustRightInd w:val="0"/>
              <w:snapToGrid w:val="0"/>
              <w:spacing w:line="360" w:lineRule="auto"/>
              <w:ind w:left="0" w:right="0" w:rightChars="0" w:firstLine="480" w:firstLineChars="200"/>
              <w:textAlignment w:val="auto"/>
              <w:rPr>
                <w:color w:val="auto"/>
                <w:sz w:val="24"/>
              </w:rPr>
            </w:pPr>
            <w:r>
              <w:rPr>
                <w:color w:val="auto"/>
                <w:sz w:val="24"/>
              </w:rPr>
              <w:t>光伏电站组件积尘会影响发电效率，</w:t>
            </w:r>
            <w:r>
              <w:rPr>
                <w:rFonts w:hint="eastAsia"/>
                <w:color w:val="auto"/>
                <w:sz w:val="24"/>
              </w:rPr>
              <w:t>因此将定期</w:t>
            </w:r>
            <w:r>
              <w:rPr>
                <w:color w:val="auto"/>
                <w:sz w:val="24"/>
              </w:rPr>
              <w:t>对光伏组件进行清洗，以保证组件的发电效率。本工程</w:t>
            </w:r>
            <w:r>
              <w:rPr>
                <w:rFonts w:hint="default" w:ascii="Times New Roman" w:hAnsi="Times New Roman" w:eastAsia="宋体" w:cs="Times New Roman"/>
                <w:color w:val="auto"/>
                <w:sz w:val="24"/>
              </w:rPr>
              <w:t>1MW组件冲洗需约</w:t>
            </w:r>
            <w:r>
              <w:rPr>
                <w:rFonts w:hint="eastAsia" w:ascii="Times New Roman" w:hAnsi="Times New Roman" w:cs="Times New Roman"/>
                <w:color w:val="auto"/>
                <w:sz w:val="24"/>
                <w:lang w:val="en-US" w:eastAsia="zh-CN"/>
              </w:rPr>
              <w:t>1</w:t>
            </w:r>
            <w:r>
              <w:rPr>
                <w:rFonts w:hint="default" w:ascii="Times New Roman" w:hAnsi="Times New Roman" w:eastAsia="宋体" w:cs="Times New Roman"/>
                <w:color w:val="auto"/>
                <w:sz w:val="24"/>
              </w:rPr>
              <w:t>5m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。按每月冲洗一次计算，33.35MW组件每年耗水6003m</w:t>
            </w:r>
            <w:r>
              <w:rPr>
                <w:rFonts w:hint="default" w:ascii="Times New Roman" w:hAnsi="Times New Roman" w:eastAsia="宋体" w:cs="Times New Roman"/>
                <w:color w:val="auto"/>
                <w:sz w:val="24"/>
                <w:vertAlign w:val="superscript"/>
              </w:rPr>
              <w:t>3</w:t>
            </w:r>
            <w:r>
              <w:rPr>
                <w:color w:val="auto"/>
                <w:sz w:val="24"/>
              </w:rPr>
              <w:t>，该部分废水除SS含量较高外，不含其它污染物，因电池组件面大、分散，不易集中收集，废水散排后就地蒸发，</w:t>
            </w:r>
            <w:r>
              <w:rPr>
                <w:rFonts w:hint="eastAsia"/>
                <w:color w:val="auto"/>
                <w:sz w:val="24"/>
                <w:lang w:val="en-US" w:eastAsia="zh-CN"/>
              </w:rPr>
              <w:t>不外排</w:t>
            </w:r>
            <w:r>
              <w:rPr>
                <w:color w:val="auto"/>
                <w:sz w:val="24"/>
              </w:rPr>
              <w:t>。</w:t>
            </w:r>
          </w:p>
          <w:p>
            <w:pPr>
              <w:keepNext w:val="0"/>
              <w:keepLines w:val="0"/>
              <w:pageBreakBefore w:val="0"/>
              <w:kinsoku/>
              <w:wordWrap/>
              <w:overflowPunct/>
              <w:topLinePunct w:val="0"/>
              <w:autoSpaceDE/>
              <w:autoSpaceDN/>
              <w:bidi w:val="0"/>
              <w:adjustRightInd w:val="0"/>
              <w:snapToGrid w:val="0"/>
              <w:spacing w:line="360" w:lineRule="auto"/>
              <w:ind w:left="0" w:right="0" w:rightChars="0" w:firstLine="480" w:firstLineChars="200"/>
              <w:textAlignment w:val="auto"/>
              <w:rPr>
                <w:rFonts w:hint="default" w:eastAsia="宋体"/>
                <w:color w:val="auto"/>
                <w:sz w:val="24"/>
                <w:lang w:val="en-US" w:eastAsia="zh-CN"/>
              </w:rPr>
            </w:pPr>
            <w:r>
              <w:rPr>
                <w:color w:val="auto"/>
                <w:sz w:val="24"/>
              </w:rPr>
              <w:t>本工程的运行</w:t>
            </w:r>
            <w:r>
              <w:rPr>
                <w:rFonts w:hint="eastAsia"/>
                <w:color w:val="auto"/>
                <w:sz w:val="24"/>
                <w:lang w:val="en-US" w:eastAsia="zh-CN"/>
              </w:rPr>
              <w:t>采用无人值守的方式</w:t>
            </w:r>
            <w:r>
              <w:rPr>
                <w:color w:val="auto"/>
                <w:sz w:val="24"/>
              </w:rPr>
              <w:t>，</w:t>
            </w:r>
            <w:r>
              <w:rPr>
                <w:rFonts w:hint="eastAsia"/>
                <w:color w:val="auto"/>
                <w:sz w:val="24"/>
                <w:lang w:val="en-US" w:eastAsia="zh-CN"/>
              </w:rPr>
              <w:t>无生活污水产生。</w:t>
            </w:r>
          </w:p>
          <w:p>
            <w:pPr>
              <w:pStyle w:val="185"/>
              <w:keepNext w:val="0"/>
              <w:keepLines w:val="0"/>
              <w:pageBreakBefore w:val="0"/>
              <w:kinsoku/>
              <w:wordWrap/>
              <w:overflowPunct/>
              <w:topLinePunct w:val="0"/>
              <w:autoSpaceDE/>
              <w:autoSpaceDN/>
              <w:bidi w:val="0"/>
              <w:adjustRightInd w:val="0"/>
              <w:snapToGrid w:val="0"/>
              <w:spacing w:line="360" w:lineRule="auto"/>
              <w:ind w:left="0" w:right="0" w:rightChars="0" w:firstLine="480" w:firstLineChars="200"/>
              <w:textAlignment w:val="auto"/>
              <w:rPr>
                <w:rFonts w:hint="eastAsia"/>
                <w:b w:val="0"/>
                <w:color w:val="auto"/>
              </w:rPr>
            </w:pPr>
            <w:r>
              <w:rPr>
                <w:rFonts w:hint="eastAsia"/>
                <w:b w:val="0"/>
                <w:color w:val="auto"/>
              </w:rPr>
              <w:t>由上分析可知，</w:t>
            </w:r>
            <w:r>
              <w:rPr>
                <w:b w:val="0"/>
                <w:color w:val="auto"/>
              </w:rPr>
              <w:t>本项目建成后对项目所在区域地表水环境影响</w:t>
            </w:r>
            <w:r>
              <w:rPr>
                <w:rFonts w:hint="eastAsia"/>
                <w:b w:val="0"/>
                <w:color w:val="auto"/>
              </w:rPr>
              <w:t>不会产生明显影响</w:t>
            </w:r>
            <w:r>
              <w:rPr>
                <w:b w:val="0"/>
                <w:color w:val="auto"/>
              </w:rPr>
              <w:t>。</w:t>
            </w:r>
          </w:p>
          <w:p>
            <w:pPr>
              <w:keepNext w:val="0"/>
              <w:keepLines w:val="0"/>
              <w:pageBreakBefore w:val="0"/>
              <w:numPr>
                <w:ilvl w:val="0"/>
                <w:numId w:val="0"/>
              </w:numPr>
              <w:kinsoku/>
              <w:wordWrap/>
              <w:overflowPunct/>
              <w:topLinePunct w:val="0"/>
              <w:autoSpaceDE/>
              <w:autoSpaceDN/>
              <w:bidi w:val="0"/>
              <w:adjustRightInd w:val="0"/>
              <w:snapToGrid w:val="0"/>
              <w:spacing w:line="360" w:lineRule="auto"/>
              <w:ind w:leftChars="200" w:right="0" w:rightChars="0"/>
              <w:textAlignment w:val="auto"/>
              <w:rPr>
                <w:b/>
                <w:color w:val="auto"/>
                <w:sz w:val="24"/>
              </w:rPr>
            </w:pPr>
            <w:r>
              <w:rPr>
                <w:rFonts w:hint="eastAsia"/>
                <w:b/>
                <w:color w:val="auto"/>
                <w:sz w:val="24"/>
                <w:lang w:val="en-US" w:eastAsia="zh-CN"/>
              </w:rPr>
              <w:t>3、</w:t>
            </w:r>
            <w:r>
              <w:rPr>
                <w:b/>
                <w:color w:val="auto"/>
                <w:sz w:val="24"/>
              </w:rPr>
              <w:t>声环境影响</w:t>
            </w:r>
          </w:p>
          <w:p>
            <w:pPr>
              <w:keepNext w:val="0"/>
              <w:keepLines w:val="0"/>
              <w:pageBreakBefore w:val="0"/>
              <w:kinsoku/>
              <w:wordWrap/>
              <w:overflowPunct/>
              <w:topLinePunct w:val="0"/>
              <w:autoSpaceDE/>
              <w:autoSpaceDN/>
              <w:bidi w:val="0"/>
              <w:adjustRightInd w:val="0"/>
              <w:snapToGrid w:val="0"/>
              <w:spacing w:line="360" w:lineRule="auto"/>
              <w:ind w:left="0" w:right="0" w:rightChars="0" w:firstLine="480" w:firstLineChars="200"/>
              <w:textAlignment w:val="auto"/>
              <w:rPr>
                <w:rFonts w:ascii="宋体" w:hAnsi="宋体"/>
                <w:color w:val="auto"/>
                <w:sz w:val="24"/>
              </w:rPr>
            </w:pPr>
            <w:r>
              <w:rPr>
                <w:color w:val="auto"/>
                <w:sz w:val="24"/>
              </w:rPr>
              <w:t>由于太阳能光伏发电运行的特殊性，又多在白天的情况下运行，太阳能光伏发电系统没有转动部件，不产生噪声，项目</w:t>
            </w:r>
            <w:r>
              <w:rPr>
                <w:rFonts w:hint="eastAsia"/>
                <w:color w:val="auto"/>
                <w:sz w:val="24"/>
                <w:lang w:eastAsia="zh-CN"/>
              </w:rPr>
              <w:t>运行期</w:t>
            </w:r>
            <w:r>
              <w:rPr>
                <w:color w:val="auto"/>
                <w:sz w:val="24"/>
              </w:rPr>
              <w:t>的噪声源主要为变压器、逆变器等电站设备运行噪声，单台设备噪声值预计最高为60dB(A)，为稳态噪声。通过类比青海黄河上游水电开发有限公司共和150MWp并网光伏发电项目验收监测结果</w:t>
            </w:r>
            <w:r>
              <w:rPr>
                <w:color w:val="auto"/>
                <w:sz w:val="24"/>
                <w:highlight w:val="none"/>
              </w:rPr>
              <w:t>（附件</w:t>
            </w:r>
            <w:r>
              <w:rPr>
                <w:rFonts w:hint="eastAsia"/>
                <w:color w:val="auto"/>
                <w:sz w:val="24"/>
                <w:highlight w:val="none"/>
                <w:lang w:val="en-US" w:eastAsia="zh-CN"/>
              </w:rPr>
              <w:t>六</w:t>
            </w:r>
            <w:r>
              <w:rPr>
                <w:color w:val="auto"/>
                <w:sz w:val="24"/>
                <w:highlight w:val="none"/>
              </w:rPr>
              <w:t>）</w:t>
            </w:r>
            <w:r>
              <w:rPr>
                <w:color w:val="auto"/>
                <w:sz w:val="24"/>
              </w:rPr>
              <w:t>，厂界噪声排放值昼间为44.2~52.1dB（A），夜间为41.6~48.3dB（A），可达到《工业企业厂界</w:t>
            </w:r>
            <w:r>
              <w:rPr>
                <w:rFonts w:hint="eastAsia"/>
                <w:color w:val="auto"/>
                <w:sz w:val="24"/>
              </w:rPr>
              <w:t>环境</w:t>
            </w:r>
            <w:r>
              <w:rPr>
                <w:color w:val="auto"/>
                <w:sz w:val="24"/>
              </w:rPr>
              <w:t>噪声排放标准》（GB12348-2008）中1类区限值</w:t>
            </w:r>
            <w:r>
              <w:rPr>
                <w:rFonts w:hint="eastAsia"/>
                <w:color w:val="auto"/>
                <w:sz w:val="24"/>
              </w:rPr>
              <w:t>，同时本工程</w:t>
            </w:r>
            <w:r>
              <w:rPr>
                <w:color w:val="auto"/>
                <w:sz w:val="24"/>
              </w:rPr>
              <w:t>周边</w:t>
            </w:r>
            <w:r>
              <w:rPr>
                <w:rFonts w:hint="eastAsia"/>
                <w:color w:val="auto"/>
                <w:sz w:val="24"/>
              </w:rPr>
              <w:t>2</w:t>
            </w:r>
            <w:r>
              <w:rPr>
                <w:color w:val="auto"/>
                <w:sz w:val="24"/>
              </w:rPr>
              <w:t>00m</w:t>
            </w:r>
            <w:r>
              <w:rPr>
                <w:rFonts w:hint="eastAsia"/>
                <w:color w:val="auto"/>
                <w:sz w:val="24"/>
              </w:rPr>
              <w:t>范围内无</w:t>
            </w:r>
            <w:r>
              <w:rPr>
                <w:color w:val="auto"/>
                <w:sz w:val="24"/>
              </w:rPr>
              <w:t>居民点</w:t>
            </w:r>
            <w:r>
              <w:rPr>
                <w:rFonts w:hint="eastAsia"/>
                <w:color w:val="auto"/>
                <w:sz w:val="24"/>
              </w:rPr>
              <w:t>，</w:t>
            </w:r>
            <w:r>
              <w:rPr>
                <w:color w:val="auto"/>
                <w:sz w:val="24"/>
              </w:rPr>
              <w:t>因此</w:t>
            </w:r>
            <w:r>
              <w:rPr>
                <w:rFonts w:hint="eastAsia"/>
                <w:color w:val="auto"/>
                <w:sz w:val="24"/>
              </w:rPr>
              <w:t>本工程</w:t>
            </w:r>
            <w:r>
              <w:rPr>
                <w:color w:val="auto"/>
                <w:sz w:val="24"/>
              </w:rPr>
              <w:t>产生的噪声对声环境无明显的影响。</w:t>
            </w:r>
          </w:p>
          <w:p>
            <w:pPr>
              <w:keepNext w:val="0"/>
              <w:keepLines w:val="0"/>
              <w:pageBreakBefore w:val="0"/>
              <w:numPr>
                <w:ilvl w:val="0"/>
                <w:numId w:val="0"/>
              </w:numPr>
              <w:kinsoku/>
              <w:wordWrap/>
              <w:overflowPunct/>
              <w:topLinePunct w:val="0"/>
              <w:autoSpaceDE/>
              <w:autoSpaceDN/>
              <w:bidi w:val="0"/>
              <w:adjustRightInd w:val="0"/>
              <w:snapToGrid w:val="0"/>
              <w:spacing w:line="360" w:lineRule="auto"/>
              <w:ind w:leftChars="200" w:right="0" w:rightChars="0"/>
              <w:textAlignment w:val="auto"/>
              <w:rPr>
                <w:b/>
                <w:color w:val="auto"/>
                <w:sz w:val="24"/>
              </w:rPr>
            </w:pPr>
            <w:r>
              <w:rPr>
                <w:rFonts w:hint="eastAsia"/>
                <w:b/>
                <w:color w:val="auto"/>
                <w:sz w:val="24"/>
                <w:lang w:val="en-US" w:eastAsia="zh-CN"/>
              </w:rPr>
              <w:t>4、</w:t>
            </w:r>
            <w:r>
              <w:rPr>
                <w:rFonts w:hint="eastAsia"/>
                <w:b/>
                <w:color w:val="auto"/>
                <w:sz w:val="24"/>
              </w:rPr>
              <w:t>地下水环境影响分析</w:t>
            </w:r>
          </w:p>
          <w:p>
            <w:pPr>
              <w:pStyle w:val="28"/>
              <w:keepNext w:val="0"/>
              <w:keepLines w:val="0"/>
              <w:pageBreakBefore w:val="0"/>
              <w:tabs>
                <w:tab w:val="left" w:pos="420"/>
                <w:tab w:val="left" w:pos="870"/>
                <w:tab w:val="left" w:pos="3150"/>
              </w:tabs>
              <w:kinsoku/>
              <w:wordWrap/>
              <w:overflowPunct/>
              <w:topLinePunct w:val="0"/>
              <w:autoSpaceDE/>
              <w:autoSpaceDN/>
              <w:bidi w:val="0"/>
              <w:adjustRightInd w:val="0"/>
              <w:snapToGrid w:val="0"/>
              <w:spacing w:after="0" w:line="360" w:lineRule="auto"/>
              <w:ind w:left="0" w:leftChars="0" w:right="0" w:rightChars="0" w:firstLine="480" w:firstLineChars="200"/>
              <w:textAlignment w:val="auto"/>
              <w:rPr>
                <w:rFonts w:cs="宋体"/>
                <w:color w:val="auto"/>
                <w:sz w:val="24"/>
              </w:rPr>
            </w:pPr>
            <w:r>
              <w:rPr>
                <w:rFonts w:cs="宋体"/>
                <w:color w:val="auto"/>
                <w:sz w:val="24"/>
              </w:rPr>
              <w:t>参照《环境影响评价技术导则 地下水》（HJ610-2016）附录A“地下水环境影响评价行业分类表”，本项目属于其中第34类</w:t>
            </w:r>
            <w:r>
              <w:rPr>
                <w:rFonts w:hint="eastAsia" w:cs="宋体"/>
                <w:color w:val="auto"/>
                <w:sz w:val="24"/>
              </w:rPr>
              <w:t>其他能源发电</w:t>
            </w:r>
            <w:r>
              <w:rPr>
                <w:rFonts w:cs="宋体"/>
                <w:color w:val="auto"/>
                <w:sz w:val="24"/>
              </w:rPr>
              <w:t>的“</w:t>
            </w:r>
            <w:r>
              <w:rPr>
                <w:rFonts w:hint="eastAsia" w:cs="宋体"/>
                <w:color w:val="auto"/>
                <w:sz w:val="24"/>
              </w:rPr>
              <w:t>利用地热、太阳能热等发电；并网光伏发电；其他风力发电</w:t>
            </w:r>
            <w:r>
              <w:rPr>
                <w:rFonts w:cs="宋体"/>
                <w:color w:val="auto"/>
                <w:sz w:val="24"/>
              </w:rPr>
              <w:t>”，属于</w:t>
            </w:r>
            <w:r>
              <w:rPr>
                <w:rFonts w:cs="宋体"/>
                <w:color w:val="auto"/>
                <w:sz w:val="24"/>
              </w:rPr>
              <w:fldChar w:fldCharType="begin"/>
            </w:r>
            <w:r>
              <w:rPr>
                <w:rFonts w:cs="宋体"/>
                <w:color w:val="auto"/>
                <w:sz w:val="24"/>
              </w:rPr>
              <w:instrText xml:space="preserve"> </w:instrText>
            </w:r>
            <w:r>
              <w:rPr>
                <w:rFonts w:hint="eastAsia" w:cs="宋体"/>
                <w:color w:val="auto"/>
                <w:sz w:val="24"/>
              </w:rPr>
              <w:instrText xml:space="preserve">= 4 \* ROMAN</w:instrText>
            </w:r>
            <w:r>
              <w:rPr>
                <w:rFonts w:cs="宋体"/>
                <w:color w:val="auto"/>
                <w:sz w:val="24"/>
              </w:rPr>
              <w:instrText xml:space="preserve"> </w:instrText>
            </w:r>
            <w:r>
              <w:rPr>
                <w:rFonts w:cs="宋体"/>
                <w:color w:val="auto"/>
                <w:sz w:val="24"/>
              </w:rPr>
              <w:fldChar w:fldCharType="separate"/>
            </w:r>
            <w:r>
              <w:rPr>
                <w:rFonts w:cs="宋体"/>
                <w:color w:val="auto"/>
                <w:sz w:val="24"/>
              </w:rPr>
              <w:t>IV</w:t>
            </w:r>
            <w:r>
              <w:rPr>
                <w:rFonts w:cs="宋体"/>
                <w:color w:val="auto"/>
                <w:sz w:val="24"/>
              </w:rPr>
              <w:fldChar w:fldCharType="end"/>
            </w:r>
            <w:r>
              <w:rPr>
                <w:rFonts w:cs="宋体"/>
                <w:color w:val="auto"/>
                <w:sz w:val="24"/>
              </w:rPr>
              <w:t>类项目</w:t>
            </w:r>
            <w:r>
              <w:rPr>
                <w:rFonts w:hint="eastAsia"/>
                <w:color w:val="auto"/>
                <w:sz w:val="24"/>
              </w:rPr>
              <w:t>，可不开展地下水环境影响评价工作。</w:t>
            </w:r>
          </w:p>
          <w:p>
            <w:pPr>
              <w:keepNext w:val="0"/>
              <w:keepLines w:val="0"/>
              <w:pageBreakBefore w:val="0"/>
              <w:numPr>
                <w:ilvl w:val="0"/>
                <w:numId w:val="0"/>
              </w:numPr>
              <w:kinsoku/>
              <w:wordWrap/>
              <w:overflowPunct/>
              <w:topLinePunct w:val="0"/>
              <w:autoSpaceDE/>
              <w:autoSpaceDN/>
              <w:bidi w:val="0"/>
              <w:adjustRightInd w:val="0"/>
              <w:snapToGrid w:val="0"/>
              <w:spacing w:line="360" w:lineRule="auto"/>
              <w:ind w:leftChars="200" w:right="0" w:rightChars="0"/>
              <w:textAlignment w:val="auto"/>
              <w:rPr>
                <w:b/>
                <w:color w:val="auto"/>
                <w:sz w:val="24"/>
              </w:rPr>
            </w:pPr>
            <w:r>
              <w:rPr>
                <w:rFonts w:hint="eastAsia"/>
                <w:b/>
                <w:color w:val="auto"/>
                <w:sz w:val="24"/>
                <w:lang w:val="en-US" w:eastAsia="zh-CN"/>
              </w:rPr>
              <w:t>5、</w:t>
            </w:r>
            <w:r>
              <w:rPr>
                <w:rFonts w:hint="eastAsia"/>
                <w:b/>
                <w:color w:val="auto"/>
                <w:sz w:val="24"/>
              </w:rPr>
              <w:t>土壤</w:t>
            </w:r>
            <w:r>
              <w:rPr>
                <w:b/>
                <w:color w:val="auto"/>
                <w:sz w:val="24"/>
              </w:rPr>
              <w:t>环境影响</w:t>
            </w:r>
          </w:p>
          <w:p>
            <w:pPr>
              <w:keepNext w:val="0"/>
              <w:keepLines w:val="0"/>
              <w:pageBreakBefore w:val="0"/>
              <w:kinsoku/>
              <w:wordWrap/>
              <w:overflowPunct/>
              <w:topLinePunct w:val="0"/>
              <w:autoSpaceDE/>
              <w:autoSpaceDN/>
              <w:bidi w:val="0"/>
              <w:adjustRightInd w:val="0"/>
              <w:snapToGrid w:val="0"/>
              <w:spacing w:line="360" w:lineRule="auto"/>
              <w:ind w:left="0" w:right="0" w:rightChars="0" w:firstLine="480" w:firstLineChars="200"/>
              <w:textAlignment w:val="auto"/>
              <w:rPr>
                <w:rFonts w:hint="eastAsia"/>
                <w:color w:val="auto"/>
                <w:sz w:val="24"/>
              </w:rPr>
            </w:pPr>
            <w:r>
              <w:rPr>
                <w:rFonts w:hint="eastAsia"/>
                <w:color w:val="auto"/>
                <w:sz w:val="24"/>
              </w:rPr>
              <w:t>根据《环境影响评价技术导则 土壤环境（试行）》（HJ964-2018）：本项目属于生态影响型，项目类别属于“电力热力燃气及水生产和供应业”中的“其他”的</w:t>
            </w:r>
            <w:r>
              <w:rPr>
                <w:rFonts w:ascii="宋体" w:hAnsi="宋体"/>
                <w:color w:val="auto"/>
                <w:sz w:val="24"/>
              </w:rPr>
              <w:fldChar w:fldCharType="begin"/>
            </w:r>
            <w:r>
              <w:rPr>
                <w:rFonts w:ascii="宋体" w:hAnsi="宋体"/>
                <w:color w:val="auto"/>
                <w:sz w:val="24"/>
              </w:rPr>
              <w:instrText xml:space="preserve"> </w:instrText>
            </w:r>
            <w:r>
              <w:rPr>
                <w:rFonts w:hint="eastAsia" w:ascii="宋体" w:hAnsi="宋体"/>
                <w:color w:val="auto"/>
                <w:sz w:val="24"/>
              </w:rPr>
              <w:instrText xml:space="preserve">= 4 \* ROMAN</w:instrText>
            </w:r>
            <w:r>
              <w:rPr>
                <w:rFonts w:ascii="宋体" w:hAnsi="宋体"/>
                <w:color w:val="auto"/>
                <w:sz w:val="24"/>
              </w:rPr>
              <w:instrText xml:space="preserve"> </w:instrText>
            </w:r>
            <w:r>
              <w:rPr>
                <w:rFonts w:ascii="宋体" w:hAnsi="宋体"/>
                <w:color w:val="auto"/>
                <w:sz w:val="24"/>
              </w:rPr>
              <w:fldChar w:fldCharType="separate"/>
            </w:r>
            <w:r>
              <w:rPr>
                <w:rFonts w:ascii="宋体" w:hAnsi="宋体"/>
                <w:color w:val="auto"/>
                <w:sz w:val="24"/>
              </w:rPr>
              <w:t>IV</w:t>
            </w:r>
            <w:r>
              <w:rPr>
                <w:rFonts w:ascii="宋体" w:hAnsi="宋体"/>
                <w:color w:val="auto"/>
                <w:sz w:val="24"/>
              </w:rPr>
              <w:fldChar w:fldCharType="end"/>
            </w:r>
            <w:r>
              <w:rPr>
                <w:rFonts w:hint="eastAsia"/>
                <w:color w:val="auto"/>
                <w:sz w:val="24"/>
              </w:rPr>
              <w:t>类项目；因此，本项目评价等级属于“-”，可不开展土壤环境影响评价工作。</w:t>
            </w:r>
          </w:p>
          <w:p>
            <w:pPr>
              <w:keepNext w:val="0"/>
              <w:keepLines w:val="0"/>
              <w:pageBreakBefore w:val="0"/>
              <w:kinsoku/>
              <w:wordWrap/>
              <w:overflowPunct/>
              <w:topLinePunct w:val="0"/>
              <w:autoSpaceDE/>
              <w:autoSpaceDN/>
              <w:bidi w:val="0"/>
              <w:adjustRightInd w:val="0"/>
              <w:snapToGrid w:val="0"/>
              <w:spacing w:line="360" w:lineRule="auto"/>
              <w:ind w:left="0" w:right="0" w:rightChars="0" w:firstLine="482" w:firstLineChars="200"/>
              <w:textAlignment w:val="auto"/>
              <w:rPr>
                <w:rFonts w:hAnsi="宋体"/>
                <w:b/>
                <w:color w:val="auto"/>
                <w:sz w:val="24"/>
              </w:rPr>
            </w:pPr>
            <w:r>
              <w:rPr>
                <w:rFonts w:hint="eastAsia" w:hAnsi="宋体"/>
                <w:b/>
                <w:color w:val="auto"/>
                <w:sz w:val="24"/>
              </w:rPr>
              <w:t>6</w:t>
            </w:r>
            <w:r>
              <w:rPr>
                <w:rFonts w:hAnsi="宋体"/>
                <w:b/>
                <w:color w:val="auto"/>
                <w:sz w:val="24"/>
              </w:rPr>
              <w:t>、固废环境影响</w:t>
            </w:r>
          </w:p>
          <w:p>
            <w:pPr>
              <w:keepNext w:val="0"/>
              <w:keepLines w:val="0"/>
              <w:pageBreakBefore w:val="0"/>
              <w:kinsoku/>
              <w:wordWrap/>
              <w:overflowPunct/>
              <w:topLinePunct w:val="0"/>
              <w:autoSpaceDE/>
              <w:autoSpaceDN/>
              <w:bidi w:val="0"/>
              <w:adjustRightInd w:val="0"/>
              <w:snapToGrid w:val="0"/>
              <w:spacing w:line="360" w:lineRule="auto"/>
              <w:ind w:left="0" w:right="0" w:rightChars="0" w:firstLine="480" w:firstLineChars="200"/>
              <w:textAlignment w:val="auto"/>
              <w:rPr>
                <w:color w:val="auto"/>
                <w:sz w:val="24"/>
              </w:rPr>
            </w:pPr>
            <w:r>
              <w:rPr>
                <w:rFonts w:hint="eastAsia"/>
                <w:color w:val="auto"/>
                <w:sz w:val="24"/>
                <w:lang w:eastAsia="zh-CN"/>
              </w:rPr>
              <w:t>（</w:t>
            </w:r>
            <w:r>
              <w:rPr>
                <w:rFonts w:hint="eastAsia"/>
                <w:color w:val="auto"/>
                <w:sz w:val="24"/>
              </w:rPr>
              <w:t>1）生活垃圾</w:t>
            </w:r>
          </w:p>
          <w:p>
            <w:pPr>
              <w:keepNext w:val="0"/>
              <w:keepLines w:val="0"/>
              <w:pageBreakBefore w:val="0"/>
              <w:kinsoku/>
              <w:wordWrap/>
              <w:overflowPunct/>
              <w:topLinePunct w:val="0"/>
              <w:autoSpaceDE/>
              <w:autoSpaceDN/>
              <w:bidi w:val="0"/>
              <w:adjustRightInd w:val="0"/>
              <w:snapToGrid w:val="0"/>
              <w:spacing w:line="360" w:lineRule="auto"/>
              <w:ind w:left="0" w:right="0" w:rightChars="0" w:firstLine="480" w:firstLineChars="200"/>
              <w:textAlignment w:val="auto"/>
              <w:rPr>
                <w:color w:val="auto"/>
                <w:sz w:val="24"/>
              </w:rPr>
            </w:pPr>
            <w:r>
              <w:rPr>
                <w:color w:val="auto"/>
                <w:sz w:val="24"/>
              </w:rPr>
              <w:t>电站投产运行后，</w:t>
            </w:r>
            <w:r>
              <w:rPr>
                <w:rFonts w:hint="eastAsia"/>
                <w:color w:val="auto"/>
                <w:sz w:val="24"/>
                <w:lang w:val="en-US" w:eastAsia="zh-CN"/>
              </w:rPr>
              <w:t>无人值守，无生活垃圾产生</w:t>
            </w:r>
            <w:r>
              <w:rPr>
                <w:color w:val="auto"/>
                <w:sz w:val="24"/>
              </w:rPr>
              <w:t>。</w:t>
            </w:r>
          </w:p>
          <w:p>
            <w:pPr>
              <w:keepNext w:val="0"/>
              <w:keepLines w:val="0"/>
              <w:pageBreakBefore w:val="0"/>
              <w:kinsoku/>
              <w:wordWrap/>
              <w:overflowPunct/>
              <w:topLinePunct w:val="0"/>
              <w:autoSpaceDE/>
              <w:autoSpaceDN/>
              <w:bidi w:val="0"/>
              <w:adjustRightInd w:val="0"/>
              <w:snapToGrid w:val="0"/>
              <w:spacing w:line="360" w:lineRule="auto"/>
              <w:ind w:left="0" w:right="0" w:rightChars="0" w:firstLine="480" w:firstLineChars="200"/>
              <w:textAlignment w:val="auto"/>
              <w:rPr>
                <w:color w:val="auto"/>
                <w:sz w:val="24"/>
              </w:rPr>
            </w:pPr>
            <w:r>
              <w:rPr>
                <w:rFonts w:hint="eastAsia"/>
                <w:color w:val="auto"/>
                <w:sz w:val="24"/>
                <w:lang w:eastAsia="zh-CN"/>
              </w:rPr>
              <w:t>（</w:t>
            </w:r>
            <w:r>
              <w:rPr>
                <w:rFonts w:hint="eastAsia"/>
                <w:color w:val="auto"/>
                <w:sz w:val="24"/>
              </w:rPr>
              <w:t>2）定期更换变压器油</w:t>
            </w:r>
          </w:p>
          <w:p>
            <w:pPr>
              <w:keepNext w:val="0"/>
              <w:keepLines w:val="0"/>
              <w:pageBreakBefore w:val="0"/>
              <w:kinsoku/>
              <w:wordWrap/>
              <w:overflowPunct/>
              <w:topLinePunct w:val="0"/>
              <w:autoSpaceDE/>
              <w:autoSpaceDN/>
              <w:bidi w:val="0"/>
              <w:adjustRightInd w:val="0"/>
              <w:snapToGrid w:val="0"/>
              <w:spacing w:line="360" w:lineRule="auto"/>
              <w:ind w:left="0" w:right="0" w:rightChars="0" w:firstLine="480" w:firstLineChars="200"/>
              <w:textAlignment w:val="auto"/>
              <w:rPr>
                <w:color w:val="auto"/>
                <w:sz w:val="24"/>
              </w:rPr>
            </w:pPr>
            <w:r>
              <w:rPr>
                <w:rFonts w:hint="eastAsia"/>
                <w:color w:val="auto"/>
                <w:sz w:val="24"/>
              </w:rPr>
              <w:t>本项目共有</w:t>
            </w:r>
            <w:r>
              <w:rPr>
                <w:rFonts w:hint="eastAsia"/>
                <w:color w:val="auto"/>
                <w:sz w:val="24"/>
                <w:lang w:val="en-US" w:eastAsia="zh-CN"/>
              </w:rPr>
              <w:t>10</w:t>
            </w:r>
            <w:r>
              <w:rPr>
                <w:color w:val="auto"/>
                <w:sz w:val="24"/>
              </w:rPr>
              <w:t>个</w:t>
            </w:r>
            <w:r>
              <w:rPr>
                <w:rFonts w:hint="eastAsia"/>
                <w:color w:val="auto"/>
                <w:sz w:val="24"/>
              </w:rPr>
              <w:t>箱式变压器，全部为油浸式，</w:t>
            </w:r>
            <w:r>
              <w:rPr>
                <w:rFonts w:hint="eastAsia"/>
                <w:color w:val="0000FF"/>
                <w:sz w:val="24"/>
              </w:rPr>
              <w:t>变压器油主要成分是矿物油，</w:t>
            </w:r>
            <w:r>
              <w:rPr>
                <w:rFonts w:hint="default" w:ascii="Times New Roman" w:hAnsi="Times New Roman" w:eastAsia="宋体" w:cs="Times New Roman"/>
                <w:color w:val="0000FF"/>
                <w:sz w:val="24"/>
                <w:szCs w:val="24"/>
              </w:rPr>
              <w:t>拟在每次大修更换变压器油一次，一般为每10年大修一次</w:t>
            </w:r>
            <w:r>
              <w:rPr>
                <w:rFonts w:hint="eastAsia" w:cs="Times New Roman"/>
                <w:color w:val="0000FF"/>
                <w:sz w:val="24"/>
                <w:szCs w:val="24"/>
                <w:lang w:eastAsia="zh-CN"/>
              </w:rPr>
              <w:t>。</w:t>
            </w:r>
            <w:r>
              <w:rPr>
                <w:color w:val="auto"/>
                <w:sz w:val="24"/>
              </w:rPr>
              <w:t>根据《国家危险废物名录》变压器废油属于“HW08废矿物油与含矿物废油”中的变压器维护更换和拆解过程中产生的废变压器油，废物代码900-220-008”</w:t>
            </w:r>
            <w:r>
              <w:rPr>
                <w:rFonts w:hint="eastAsia"/>
                <w:color w:val="auto"/>
                <w:sz w:val="24"/>
              </w:rPr>
              <w:t>，</w:t>
            </w:r>
            <w:r>
              <w:rPr>
                <w:color w:val="auto"/>
                <w:sz w:val="24"/>
              </w:rPr>
              <w:t>处置方式为先向当地主管环境保护部门进行申报登记，环保部门同意后按照《危险废物转移联单管理办法》填写危险废物转移五联单，由有危险废物处置资质的单位进行回收和处置。同时，应制定相关的制度和措施以避免更换期间变压器废油对环境的影响。变压器油的更换由危险废物回收处理处置单位负责实施，变压器废油经油泵抽取后直接装入油罐车，油泵以及油罐车停靠地点地面采取混凝土硬化。大修期间在项目区地面硬化处安排油罐车临时停靠点，同时避开输电线路和电气设备。油罐车临时停靠期间在周围设置警示标识并保证人员职守。通过采取以上预防措施，杜绝</w:t>
            </w:r>
            <w:r>
              <w:rPr>
                <w:rFonts w:hint="eastAsia"/>
                <w:color w:val="auto"/>
                <w:sz w:val="24"/>
              </w:rPr>
              <w:t>废</w:t>
            </w:r>
            <w:r>
              <w:rPr>
                <w:color w:val="auto"/>
                <w:sz w:val="24"/>
              </w:rPr>
              <w:t>油跑冒滴漏。更换变压器油对项目区周边环境无影响。</w:t>
            </w:r>
          </w:p>
          <w:p>
            <w:pPr>
              <w:keepNext w:val="0"/>
              <w:keepLines w:val="0"/>
              <w:pageBreakBefore w:val="0"/>
              <w:kinsoku/>
              <w:wordWrap/>
              <w:overflowPunct/>
              <w:topLinePunct w:val="0"/>
              <w:autoSpaceDE/>
              <w:autoSpaceDN/>
              <w:bidi w:val="0"/>
              <w:adjustRightInd w:val="0"/>
              <w:snapToGrid w:val="0"/>
              <w:spacing w:line="360" w:lineRule="auto"/>
              <w:ind w:left="0" w:right="0" w:rightChars="0" w:firstLine="480" w:firstLineChars="200"/>
              <w:textAlignment w:val="auto"/>
              <w:rPr>
                <w:color w:val="auto"/>
                <w:sz w:val="24"/>
              </w:rPr>
            </w:pPr>
            <w:r>
              <w:rPr>
                <w:rFonts w:hint="eastAsia"/>
                <w:color w:val="auto"/>
                <w:sz w:val="24"/>
                <w:lang w:eastAsia="zh-CN"/>
              </w:rPr>
              <w:t>（</w:t>
            </w:r>
            <w:r>
              <w:rPr>
                <w:color w:val="auto"/>
                <w:sz w:val="24"/>
              </w:rPr>
              <w:t>3</w:t>
            </w:r>
            <w:r>
              <w:rPr>
                <w:rFonts w:hint="eastAsia"/>
                <w:color w:val="auto"/>
                <w:sz w:val="24"/>
              </w:rPr>
              <w:t>）火灾事故产生的变压器油</w:t>
            </w:r>
          </w:p>
          <w:p>
            <w:pPr>
              <w:keepNext w:val="0"/>
              <w:keepLines w:val="0"/>
              <w:pageBreakBefore w:val="0"/>
              <w:kinsoku/>
              <w:wordWrap/>
              <w:overflowPunct/>
              <w:topLinePunct w:val="0"/>
              <w:autoSpaceDE/>
              <w:autoSpaceDN/>
              <w:bidi w:val="0"/>
              <w:adjustRightInd w:val="0"/>
              <w:snapToGrid w:val="0"/>
              <w:spacing w:line="360" w:lineRule="auto"/>
              <w:ind w:left="0" w:right="0" w:rightChars="0" w:firstLine="480" w:firstLineChars="200"/>
              <w:textAlignment w:val="auto"/>
              <w:rPr>
                <w:color w:val="auto"/>
                <w:sz w:val="24"/>
              </w:rPr>
            </w:pPr>
            <w:r>
              <w:rPr>
                <w:rFonts w:hint="eastAsia"/>
                <w:color w:val="auto"/>
                <w:sz w:val="24"/>
              </w:rPr>
              <w:t>变压器在发生火灾等情况下，排油注氮消防系统将排出一定量的变压器油，理论事故油体积为</w:t>
            </w:r>
            <w:r>
              <w:rPr>
                <w:rFonts w:hint="eastAsia"/>
                <w:color w:val="auto"/>
                <w:sz w:val="24"/>
                <w:lang w:val="en-US" w:eastAsia="zh-CN"/>
              </w:rPr>
              <w:t>1.68</w:t>
            </w:r>
            <w:r>
              <w:rPr>
                <w:rFonts w:hint="eastAsia"/>
                <w:color w:val="auto"/>
                <w:sz w:val="24"/>
              </w:rPr>
              <w:t>m</w:t>
            </w:r>
            <w:r>
              <w:rPr>
                <w:rFonts w:hint="eastAsia"/>
                <w:color w:val="auto"/>
                <w:sz w:val="24"/>
                <w:vertAlign w:val="superscript"/>
              </w:rPr>
              <w:t>3</w:t>
            </w:r>
            <w:r>
              <w:rPr>
                <w:rFonts w:hint="eastAsia"/>
                <w:color w:val="auto"/>
                <w:sz w:val="24"/>
              </w:rPr>
              <w:t>，按照设计事故油池容积占事故油体积的1</w:t>
            </w:r>
            <w:r>
              <w:rPr>
                <w:rFonts w:hint="eastAsia"/>
                <w:color w:val="auto"/>
                <w:sz w:val="24"/>
                <w:lang w:val="en-US" w:eastAsia="zh-CN"/>
              </w:rPr>
              <w:t>0</w:t>
            </w:r>
            <w:r>
              <w:rPr>
                <w:rFonts w:hint="eastAsia"/>
                <w:color w:val="auto"/>
                <w:sz w:val="24"/>
              </w:rPr>
              <w:t>0%计算，每个事故油池容积为</w:t>
            </w:r>
            <w:r>
              <w:rPr>
                <w:rFonts w:hint="eastAsia"/>
                <w:color w:val="auto"/>
                <w:sz w:val="24"/>
                <w:lang w:val="en-US" w:eastAsia="zh-CN"/>
              </w:rPr>
              <w:t>1.68</w:t>
            </w:r>
            <w:r>
              <w:rPr>
                <w:rFonts w:hint="eastAsia"/>
                <w:color w:val="auto"/>
                <w:sz w:val="24"/>
              </w:rPr>
              <w:t>m</w:t>
            </w:r>
            <w:r>
              <w:rPr>
                <w:rFonts w:hint="eastAsia"/>
                <w:color w:val="auto"/>
                <w:sz w:val="24"/>
                <w:vertAlign w:val="superscript"/>
              </w:rPr>
              <w:t>3</w:t>
            </w:r>
            <w:r>
              <w:rPr>
                <w:rFonts w:hint="eastAsia"/>
                <w:color w:val="auto"/>
                <w:sz w:val="24"/>
              </w:rPr>
              <w:t>；事故油池均采用混凝土整体浇注，可满足本工程事故状态下的临时储油要求。如果发生火灾，变压器产生的废矿物油先排放至事故油池。由于火灾事故不可预见，废矿物油在事故油池中需进行短暂贮存，贮存期间应避免人员直接接触，事故油池周围禁止烟火。并立即向当地环保部门报告，按照《危险废物转移联单管理办法》填写危险废物转移五联单，委托拥有危险废物处理处置资质的单位进行回收、运输和处置。</w:t>
            </w:r>
          </w:p>
          <w:p>
            <w:pPr>
              <w:keepNext w:val="0"/>
              <w:keepLines w:val="0"/>
              <w:pageBreakBefore w:val="0"/>
              <w:kinsoku/>
              <w:wordWrap/>
              <w:overflowPunct/>
              <w:topLinePunct w:val="0"/>
              <w:autoSpaceDE/>
              <w:autoSpaceDN/>
              <w:bidi w:val="0"/>
              <w:adjustRightInd w:val="0"/>
              <w:snapToGrid w:val="0"/>
              <w:spacing w:line="360" w:lineRule="auto"/>
              <w:ind w:left="0" w:right="0" w:rightChars="0" w:firstLine="480" w:firstLineChars="200"/>
              <w:textAlignment w:val="auto"/>
              <w:rPr>
                <w:rFonts w:hint="eastAsia"/>
                <w:color w:val="auto"/>
                <w:sz w:val="24"/>
              </w:rPr>
            </w:pPr>
            <w:r>
              <w:rPr>
                <w:rFonts w:hint="eastAsia"/>
                <w:color w:val="auto"/>
                <w:sz w:val="24"/>
              </w:rPr>
              <w:t>通过分析，在变压器发生火灾后，排油注氮消防系统自动工作，排除部分变压器中的矿物油，排出的油全部进入事故油池，不会进入环境造成较大的危害。</w:t>
            </w:r>
          </w:p>
          <w:p>
            <w:pPr>
              <w:keepNext w:val="0"/>
              <w:keepLines w:val="0"/>
              <w:pageBreakBefore w:val="0"/>
              <w:kinsoku/>
              <w:wordWrap/>
              <w:overflowPunct/>
              <w:topLinePunct w:val="0"/>
              <w:autoSpaceDE/>
              <w:autoSpaceDN/>
              <w:bidi w:val="0"/>
              <w:adjustRightInd w:val="0"/>
              <w:snapToGrid w:val="0"/>
              <w:spacing w:line="360" w:lineRule="auto"/>
              <w:ind w:left="0" w:right="0" w:rightChars="0" w:firstLine="480" w:firstLineChars="200"/>
              <w:textAlignment w:val="auto"/>
              <w:rPr>
                <w:color w:val="auto"/>
                <w:sz w:val="24"/>
              </w:rPr>
            </w:pPr>
            <w:r>
              <w:rPr>
                <w:rFonts w:hint="eastAsia"/>
                <w:color w:val="auto"/>
                <w:sz w:val="24"/>
              </w:rPr>
              <w:t>同时，为避免危险废物的临时堆放对环境产生的影响，在场内设置危废暂存间。危废物暂存间按照《危险废物贮存污染控制标准》（GB18597-2001）中危险废物临时贮存方式进行贮存。本工程危废暂存间布置在</w:t>
            </w:r>
            <w:r>
              <w:rPr>
                <w:rFonts w:hint="eastAsia"/>
                <w:color w:val="0000FF"/>
                <w:sz w:val="24"/>
                <w:lang w:val="en-US" w:eastAsia="zh-CN"/>
              </w:rPr>
              <w:t>35</w:t>
            </w:r>
            <w:r>
              <w:rPr>
                <w:rFonts w:hint="eastAsia"/>
                <w:color w:val="0000FF"/>
                <w:sz w:val="24"/>
              </w:rPr>
              <w:t>kV开关站</w:t>
            </w:r>
            <w:r>
              <w:rPr>
                <w:rFonts w:hint="eastAsia"/>
                <w:color w:val="0000FF"/>
                <w:sz w:val="24"/>
                <w:lang w:val="en-US" w:eastAsia="zh-CN"/>
              </w:rPr>
              <w:t>外，原泵站内</w:t>
            </w:r>
            <w:r>
              <w:rPr>
                <w:rFonts w:hint="eastAsia"/>
                <w:color w:val="auto"/>
                <w:sz w:val="24"/>
              </w:rPr>
              <w:t>。危险废物的更换由专业人员进行，集中送至危废暂存间，同时对危险废物进行登记记录。暂存间平时锁闭，本项目所更换下来的危险废物在暂存间中应分类进行堆放。</w:t>
            </w:r>
          </w:p>
          <w:p>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480" w:firstLineChars="200"/>
              <w:textAlignment w:val="auto"/>
              <w:rPr>
                <w:color w:val="auto"/>
                <w:sz w:val="24"/>
              </w:rPr>
            </w:pPr>
            <w:r>
              <w:rPr>
                <w:color w:val="auto"/>
                <w:sz w:val="24"/>
              </w:rPr>
              <w:t>危废收集、贮存、管理、转运、处置等全过程</w:t>
            </w:r>
            <w:r>
              <w:rPr>
                <w:rFonts w:hint="eastAsia"/>
                <w:color w:val="auto"/>
                <w:sz w:val="24"/>
              </w:rPr>
              <w:t>的</w:t>
            </w:r>
            <w:r>
              <w:rPr>
                <w:color w:val="auto"/>
                <w:sz w:val="24"/>
              </w:rPr>
              <w:t>环保要求</w:t>
            </w:r>
            <w:r>
              <w:rPr>
                <w:rFonts w:hint="eastAsia"/>
                <w:color w:val="auto"/>
                <w:sz w:val="24"/>
              </w:rPr>
              <w:t>：</w:t>
            </w:r>
          </w:p>
          <w:p>
            <w:pPr>
              <w:pStyle w:val="157"/>
              <w:keepNext w:val="0"/>
              <w:keepLines w:val="0"/>
              <w:pageBreakBefore w:val="0"/>
              <w:numPr>
                <w:ilvl w:val="0"/>
                <w:numId w:val="0"/>
              </w:numPr>
              <w:kinsoku/>
              <w:wordWrap/>
              <w:overflowPunct/>
              <w:topLinePunct w:val="0"/>
              <w:autoSpaceDE/>
              <w:autoSpaceDN/>
              <w:bidi w:val="0"/>
              <w:adjustRightInd w:val="0"/>
              <w:snapToGrid w:val="0"/>
              <w:spacing w:line="360" w:lineRule="auto"/>
              <w:ind w:leftChars="0" w:right="0" w:rightChars="0" w:firstLine="480" w:firstLineChars="200"/>
              <w:textAlignment w:val="auto"/>
              <w:rPr>
                <w:color w:val="auto"/>
                <w:sz w:val="24"/>
              </w:rPr>
            </w:pPr>
            <w:r>
              <w:rPr>
                <w:rFonts w:hint="eastAsia"/>
                <w:color w:val="auto"/>
                <w:sz w:val="24"/>
                <w:lang w:val="en-US" w:eastAsia="zh-CN"/>
              </w:rPr>
              <w:t>1）</w:t>
            </w:r>
            <w:r>
              <w:rPr>
                <w:rFonts w:hint="eastAsia"/>
                <w:color w:val="auto"/>
                <w:sz w:val="24"/>
              </w:rPr>
              <w:t>危废暂存间必须要封闭建设，门口内侧设立围堰，地面应做好硬化及防扬散、防流失、防渗漏措施。</w:t>
            </w:r>
          </w:p>
          <w:p>
            <w:pPr>
              <w:pStyle w:val="157"/>
              <w:keepNext w:val="0"/>
              <w:keepLines w:val="0"/>
              <w:pageBreakBefore w:val="0"/>
              <w:numPr>
                <w:ilvl w:val="0"/>
                <w:numId w:val="0"/>
              </w:numPr>
              <w:kinsoku/>
              <w:wordWrap/>
              <w:overflowPunct/>
              <w:topLinePunct w:val="0"/>
              <w:autoSpaceDE/>
              <w:autoSpaceDN/>
              <w:bidi w:val="0"/>
              <w:adjustRightInd w:val="0"/>
              <w:snapToGrid w:val="0"/>
              <w:spacing w:line="360" w:lineRule="auto"/>
              <w:ind w:leftChars="0" w:right="0" w:rightChars="0" w:firstLine="480" w:firstLineChars="200"/>
              <w:textAlignment w:val="auto"/>
              <w:rPr>
                <w:color w:val="auto"/>
                <w:sz w:val="24"/>
              </w:rPr>
            </w:pPr>
            <w:r>
              <w:rPr>
                <w:rFonts w:hint="eastAsia"/>
                <w:color w:val="auto"/>
                <w:sz w:val="24"/>
                <w:lang w:val="en-US" w:eastAsia="zh-CN"/>
              </w:rPr>
              <w:t>2）</w:t>
            </w:r>
            <w:r>
              <w:rPr>
                <w:rFonts w:hint="eastAsia"/>
                <w:color w:val="auto"/>
                <w:sz w:val="24"/>
              </w:rPr>
              <w:t>危废暂存间门口需张贴标准规范的危险废物标识，屋内张贴企业《危险废物管理制度》。</w:t>
            </w:r>
          </w:p>
          <w:p>
            <w:pPr>
              <w:pStyle w:val="157"/>
              <w:keepNext w:val="0"/>
              <w:keepLines w:val="0"/>
              <w:pageBreakBefore w:val="0"/>
              <w:numPr>
                <w:ilvl w:val="0"/>
                <w:numId w:val="0"/>
              </w:numPr>
              <w:kinsoku/>
              <w:wordWrap/>
              <w:overflowPunct/>
              <w:topLinePunct w:val="0"/>
              <w:autoSpaceDE/>
              <w:autoSpaceDN/>
              <w:bidi w:val="0"/>
              <w:adjustRightInd w:val="0"/>
              <w:snapToGrid w:val="0"/>
              <w:spacing w:line="360" w:lineRule="auto"/>
              <w:ind w:leftChars="0" w:right="0" w:rightChars="0" w:firstLine="480" w:firstLineChars="200"/>
              <w:textAlignment w:val="auto"/>
              <w:rPr>
                <w:color w:val="auto"/>
                <w:sz w:val="24"/>
              </w:rPr>
            </w:pPr>
            <w:r>
              <w:rPr>
                <w:rFonts w:hint="eastAsia"/>
                <w:color w:val="auto"/>
                <w:sz w:val="24"/>
                <w:lang w:val="en-US" w:eastAsia="zh-CN"/>
              </w:rPr>
              <w:t>3）</w:t>
            </w:r>
            <w:r>
              <w:rPr>
                <w:color w:val="auto"/>
                <w:sz w:val="24"/>
              </w:rPr>
              <w:t>现场产生的所有危险废物，都必须分类好，存放在指定的暂存区内。</w:t>
            </w:r>
          </w:p>
          <w:p>
            <w:pPr>
              <w:pStyle w:val="157"/>
              <w:keepNext w:val="0"/>
              <w:keepLines w:val="0"/>
              <w:pageBreakBefore w:val="0"/>
              <w:numPr>
                <w:ilvl w:val="0"/>
                <w:numId w:val="0"/>
              </w:numPr>
              <w:kinsoku/>
              <w:wordWrap/>
              <w:overflowPunct/>
              <w:topLinePunct w:val="0"/>
              <w:autoSpaceDE/>
              <w:autoSpaceDN/>
              <w:bidi w:val="0"/>
              <w:adjustRightInd w:val="0"/>
              <w:snapToGrid w:val="0"/>
              <w:spacing w:line="360" w:lineRule="auto"/>
              <w:ind w:leftChars="0" w:right="0" w:rightChars="0" w:firstLine="480" w:firstLineChars="200"/>
              <w:textAlignment w:val="auto"/>
              <w:rPr>
                <w:color w:val="auto"/>
                <w:sz w:val="24"/>
              </w:rPr>
            </w:pPr>
            <w:r>
              <w:rPr>
                <w:rFonts w:hint="eastAsia"/>
                <w:color w:val="auto"/>
                <w:sz w:val="24"/>
                <w:lang w:val="en-US" w:eastAsia="zh-CN"/>
              </w:rPr>
              <w:t>4）</w:t>
            </w:r>
            <w:r>
              <w:rPr>
                <w:color w:val="auto"/>
                <w:sz w:val="24"/>
              </w:rPr>
              <w:t>现场将危险废物运往危废暂存区时必须使用</w:t>
            </w:r>
            <w:r>
              <w:rPr>
                <w:rFonts w:hint="eastAsia"/>
                <w:color w:val="auto"/>
                <w:sz w:val="24"/>
              </w:rPr>
              <w:t>防扬散、防流失、防渗漏的</w:t>
            </w:r>
            <w:r>
              <w:rPr>
                <w:color w:val="auto"/>
                <w:sz w:val="24"/>
              </w:rPr>
              <w:t>台车</w:t>
            </w:r>
            <w:r>
              <w:rPr>
                <w:rFonts w:hint="eastAsia"/>
                <w:color w:val="auto"/>
                <w:sz w:val="24"/>
              </w:rPr>
              <w:t>；</w:t>
            </w:r>
            <w:r>
              <w:rPr>
                <w:color w:val="auto"/>
                <w:sz w:val="24"/>
              </w:rPr>
              <w:t>不同种类危险废物一起运输时，必须</w:t>
            </w:r>
            <w:r>
              <w:rPr>
                <w:rFonts w:hint="eastAsia"/>
                <w:color w:val="auto"/>
                <w:sz w:val="24"/>
              </w:rPr>
              <w:t>将</w:t>
            </w:r>
            <w:r>
              <w:rPr>
                <w:color w:val="auto"/>
                <w:sz w:val="24"/>
              </w:rPr>
              <w:t>每种废弃物</w:t>
            </w:r>
            <w:r>
              <w:rPr>
                <w:rFonts w:hint="eastAsia"/>
                <w:color w:val="auto"/>
                <w:sz w:val="24"/>
              </w:rPr>
              <w:t>进行安全性处置；禁止将</w:t>
            </w:r>
            <w:r>
              <w:rPr>
                <w:color w:val="auto"/>
                <w:sz w:val="24"/>
              </w:rPr>
              <w:t>危险废物与旅客在同一运输工具上载运。</w:t>
            </w:r>
          </w:p>
          <w:p>
            <w:pPr>
              <w:pStyle w:val="157"/>
              <w:keepNext w:val="0"/>
              <w:keepLines w:val="0"/>
              <w:pageBreakBefore w:val="0"/>
              <w:numPr>
                <w:ilvl w:val="0"/>
                <w:numId w:val="0"/>
              </w:numPr>
              <w:kinsoku/>
              <w:wordWrap/>
              <w:overflowPunct/>
              <w:topLinePunct w:val="0"/>
              <w:autoSpaceDE/>
              <w:autoSpaceDN/>
              <w:bidi w:val="0"/>
              <w:adjustRightInd w:val="0"/>
              <w:snapToGrid w:val="0"/>
              <w:spacing w:line="360" w:lineRule="auto"/>
              <w:ind w:leftChars="0" w:right="0" w:rightChars="0" w:firstLine="480" w:firstLineChars="200"/>
              <w:textAlignment w:val="auto"/>
              <w:rPr>
                <w:color w:val="auto"/>
                <w:sz w:val="24"/>
              </w:rPr>
            </w:pPr>
            <w:r>
              <w:rPr>
                <w:rFonts w:hint="eastAsia"/>
                <w:color w:val="auto"/>
                <w:sz w:val="24"/>
                <w:lang w:val="en-US" w:eastAsia="zh-CN"/>
              </w:rPr>
              <w:t>5）</w:t>
            </w:r>
            <w:r>
              <w:rPr>
                <w:color w:val="auto"/>
                <w:sz w:val="24"/>
              </w:rPr>
              <w:t>危废暂存区内必须有足够数量的灭火器与安全防护设备，暂存区人员必须经过应急救援的训练，定期参与应急演练。</w:t>
            </w:r>
          </w:p>
          <w:p>
            <w:pPr>
              <w:pStyle w:val="157"/>
              <w:keepNext w:val="0"/>
              <w:keepLines w:val="0"/>
              <w:pageBreakBefore w:val="0"/>
              <w:numPr>
                <w:ilvl w:val="0"/>
                <w:numId w:val="0"/>
              </w:numPr>
              <w:kinsoku/>
              <w:wordWrap/>
              <w:overflowPunct/>
              <w:topLinePunct w:val="0"/>
              <w:autoSpaceDE/>
              <w:autoSpaceDN/>
              <w:bidi w:val="0"/>
              <w:adjustRightInd w:val="0"/>
              <w:snapToGrid w:val="0"/>
              <w:spacing w:line="360" w:lineRule="auto"/>
              <w:ind w:leftChars="0" w:right="0" w:rightChars="0" w:firstLine="480" w:firstLineChars="200"/>
              <w:textAlignment w:val="auto"/>
              <w:rPr>
                <w:color w:val="auto"/>
                <w:sz w:val="24"/>
              </w:rPr>
            </w:pPr>
            <w:r>
              <w:rPr>
                <w:rFonts w:hint="eastAsia"/>
                <w:color w:val="auto"/>
                <w:sz w:val="24"/>
                <w:lang w:val="en-US" w:eastAsia="zh-CN"/>
              </w:rPr>
              <w:t>6）</w:t>
            </w:r>
            <w:r>
              <w:rPr>
                <w:rFonts w:hint="eastAsia"/>
                <w:color w:val="auto"/>
                <w:sz w:val="24"/>
              </w:rPr>
              <w:t>危</w:t>
            </w:r>
            <w:r>
              <w:rPr>
                <w:color w:val="auto"/>
                <w:sz w:val="24"/>
              </w:rPr>
              <w:t>险废物回收厂商回收危险废物，必须有相关资质，与公司签订回收合同，且合同报送环保局备案。</w:t>
            </w:r>
          </w:p>
          <w:p>
            <w:pPr>
              <w:pStyle w:val="157"/>
              <w:keepNext w:val="0"/>
              <w:keepLines w:val="0"/>
              <w:pageBreakBefore w:val="0"/>
              <w:numPr>
                <w:ilvl w:val="0"/>
                <w:numId w:val="0"/>
              </w:numPr>
              <w:kinsoku/>
              <w:wordWrap/>
              <w:overflowPunct/>
              <w:topLinePunct w:val="0"/>
              <w:autoSpaceDE/>
              <w:autoSpaceDN/>
              <w:bidi w:val="0"/>
              <w:adjustRightInd w:val="0"/>
              <w:snapToGrid w:val="0"/>
              <w:spacing w:line="360" w:lineRule="auto"/>
              <w:ind w:leftChars="0" w:right="0" w:rightChars="0" w:firstLine="480" w:firstLineChars="200"/>
              <w:textAlignment w:val="auto"/>
              <w:rPr>
                <w:color w:val="auto"/>
                <w:sz w:val="24"/>
              </w:rPr>
            </w:pPr>
            <w:r>
              <w:rPr>
                <w:rFonts w:hint="eastAsia"/>
                <w:color w:val="auto"/>
                <w:sz w:val="24"/>
                <w:lang w:val="en-US" w:eastAsia="zh-CN"/>
              </w:rPr>
              <w:t>7）</w:t>
            </w:r>
            <w:r>
              <w:rPr>
                <w:rFonts w:hint="eastAsia"/>
                <w:color w:val="auto"/>
                <w:sz w:val="24"/>
              </w:rPr>
              <w:t>现场工作人员对危险废物进行收集及</w:t>
            </w:r>
            <w:r>
              <w:rPr>
                <w:color w:val="auto"/>
                <w:sz w:val="24"/>
              </w:rPr>
              <w:t>危险废物厂商进厂装车时</w:t>
            </w:r>
            <w:r>
              <w:rPr>
                <w:rFonts w:hint="eastAsia"/>
                <w:color w:val="auto"/>
                <w:sz w:val="24"/>
              </w:rPr>
              <w:t>，人员</w:t>
            </w:r>
            <w:r>
              <w:rPr>
                <w:color w:val="auto"/>
                <w:sz w:val="24"/>
              </w:rPr>
              <w:t>必须穿好防护用具，设定警戒范围，不允许其它人进入。</w:t>
            </w:r>
          </w:p>
          <w:p>
            <w:pPr>
              <w:pStyle w:val="157"/>
              <w:keepNext w:val="0"/>
              <w:keepLines w:val="0"/>
              <w:pageBreakBefore w:val="0"/>
              <w:numPr>
                <w:ilvl w:val="0"/>
                <w:numId w:val="0"/>
              </w:numPr>
              <w:kinsoku/>
              <w:wordWrap/>
              <w:overflowPunct/>
              <w:topLinePunct w:val="0"/>
              <w:autoSpaceDE/>
              <w:autoSpaceDN/>
              <w:bidi w:val="0"/>
              <w:adjustRightInd w:val="0"/>
              <w:snapToGrid w:val="0"/>
              <w:spacing w:line="360" w:lineRule="auto"/>
              <w:ind w:leftChars="200" w:right="0" w:rightChars="0"/>
              <w:textAlignment w:val="auto"/>
              <w:rPr>
                <w:color w:val="auto"/>
                <w:sz w:val="24"/>
              </w:rPr>
            </w:pPr>
            <w:r>
              <w:rPr>
                <w:rFonts w:hint="eastAsia"/>
                <w:color w:val="auto"/>
                <w:sz w:val="24"/>
                <w:lang w:val="en-US" w:eastAsia="zh-CN"/>
              </w:rPr>
              <w:t>8）</w:t>
            </w:r>
            <w:r>
              <w:rPr>
                <w:color w:val="auto"/>
                <w:sz w:val="24"/>
              </w:rPr>
              <w:t>危险废物回收厂商必须按照法规规定当场开出本次危险废物的转移联单。</w:t>
            </w:r>
          </w:p>
          <w:p>
            <w:pPr>
              <w:keepNext w:val="0"/>
              <w:keepLines w:val="0"/>
              <w:pageBreakBefore w:val="0"/>
              <w:kinsoku/>
              <w:wordWrap/>
              <w:overflowPunct/>
              <w:topLinePunct w:val="0"/>
              <w:autoSpaceDE/>
              <w:autoSpaceDN/>
              <w:bidi w:val="0"/>
              <w:adjustRightInd w:val="0"/>
              <w:snapToGrid w:val="0"/>
              <w:spacing w:line="360" w:lineRule="auto"/>
              <w:ind w:left="0" w:right="0" w:rightChars="0" w:firstLine="480" w:firstLineChars="200"/>
              <w:textAlignment w:val="auto"/>
              <w:rPr>
                <w:color w:val="auto"/>
              </w:rPr>
            </w:pPr>
            <w:r>
              <w:rPr>
                <w:rFonts w:hint="eastAsia"/>
                <w:color w:val="auto"/>
                <w:sz w:val="24"/>
              </w:rPr>
              <w:t>监理台帐并悬挂于危废暂存间内，转入及转出需要填写危废种类、数量、时间及负责人员姓名。</w:t>
            </w:r>
          </w:p>
          <w:p>
            <w:pPr>
              <w:keepNext w:val="0"/>
              <w:keepLines w:val="0"/>
              <w:pageBreakBefore w:val="0"/>
              <w:numPr>
                <w:ilvl w:val="0"/>
                <w:numId w:val="0"/>
              </w:numPr>
              <w:kinsoku/>
              <w:wordWrap/>
              <w:overflowPunct/>
              <w:topLinePunct w:val="0"/>
              <w:autoSpaceDE/>
              <w:autoSpaceDN/>
              <w:bidi w:val="0"/>
              <w:adjustRightInd w:val="0"/>
              <w:snapToGrid w:val="0"/>
              <w:spacing w:line="360" w:lineRule="auto"/>
              <w:ind w:leftChars="200" w:right="0" w:rightChars="0"/>
              <w:textAlignment w:val="auto"/>
              <w:rPr>
                <w:rFonts w:hint="eastAsia"/>
                <w:color w:val="auto"/>
                <w:sz w:val="24"/>
              </w:rPr>
            </w:pPr>
            <w:bookmarkStart w:id="25" w:name="_Hlk528335845"/>
            <w:r>
              <w:rPr>
                <w:rFonts w:hint="eastAsia"/>
                <w:color w:val="auto"/>
                <w:sz w:val="24"/>
                <w:lang w:eastAsia="zh-CN"/>
              </w:rPr>
              <w:t>（</w:t>
            </w:r>
            <w:r>
              <w:rPr>
                <w:rFonts w:hint="eastAsia"/>
                <w:color w:val="auto"/>
                <w:sz w:val="24"/>
                <w:lang w:val="en-US" w:eastAsia="zh-CN"/>
              </w:rPr>
              <w:t>4</w:t>
            </w:r>
            <w:r>
              <w:rPr>
                <w:rFonts w:hint="eastAsia"/>
                <w:color w:val="auto"/>
                <w:sz w:val="24"/>
                <w:lang w:eastAsia="zh-CN"/>
              </w:rPr>
              <w:t>）</w:t>
            </w:r>
            <w:r>
              <w:rPr>
                <w:rFonts w:hint="eastAsia"/>
                <w:color w:val="auto"/>
                <w:sz w:val="24"/>
              </w:rPr>
              <w:t>废旧太阳能电池板</w:t>
            </w:r>
          </w:p>
          <w:p>
            <w:pPr>
              <w:pStyle w:val="157"/>
              <w:keepNext w:val="0"/>
              <w:keepLines w:val="0"/>
              <w:pageBreakBefore w:val="0"/>
              <w:numPr>
                <w:ilvl w:val="0"/>
                <w:numId w:val="0"/>
              </w:numPr>
              <w:kinsoku/>
              <w:wordWrap/>
              <w:overflowPunct/>
              <w:topLinePunct w:val="0"/>
              <w:autoSpaceDE/>
              <w:autoSpaceDN/>
              <w:bidi w:val="0"/>
              <w:adjustRightInd w:val="0"/>
              <w:snapToGrid w:val="0"/>
              <w:spacing w:line="360" w:lineRule="auto"/>
              <w:ind w:left="0" w:leftChars="0" w:right="0" w:rightChars="0" w:firstLine="480" w:firstLineChars="200"/>
              <w:textAlignment w:val="auto"/>
              <w:rPr>
                <w:color w:val="auto"/>
                <w:sz w:val="24"/>
              </w:rPr>
            </w:pPr>
            <w:r>
              <w:rPr>
                <w:rFonts w:hint="eastAsia"/>
                <w:color w:val="auto"/>
                <w:sz w:val="24"/>
              </w:rPr>
              <w:t>光伏组件损坏率很低，每年损耗率按2‰计，则本项目年需更换161块光伏组件。根据《国家危险废物名录》（2016版），更换下来的废旧太阳能电池板不属于危险废物，统一由生产厂家回收利用。</w:t>
            </w:r>
            <w:bookmarkEnd w:id="25"/>
          </w:p>
          <w:p>
            <w:pPr>
              <w:keepNext w:val="0"/>
              <w:keepLines w:val="0"/>
              <w:pageBreakBefore w:val="0"/>
              <w:kinsoku/>
              <w:wordWrap/>
              <w:overflowPunct/>
              <w:topLinePunct w:val="0"/>
              <w:autoSpaceDE/>
              <w:autoSpaceDN/>
              <w:bidi w:val="0"/>
              <w:adjustRightInd w:val="0"/>
              <w:snapToGrid w:val="0"/>
              <w:spacing w:line="360" w:lineRule="auto"/>
              <w:ind w:left="0" w:right="0" w:rightChars="0" w:firstLine="482" w:firstLineChars="200"/>
              <w:textAlignment w:val="auto"/>
              <w:rPr>
                <w:rFonts w:hint="eastAsia" w:ascii="Times New Roman" w:hAnsi="宋体" w:cs="Times New Roman"/>
                <w:b/>
                <w:color w:val="auto"/>
                <w:sz w:val="24"/>
              </w:rPr>
            </w:pPr>
            <w:r>
              <w:rPr>
                <w:rFonts w:hint="eastAsia" w:ascii="Times New Roman" w:hAnsi="宋体" w:cs="Times New Roman"/>
                <w:b/>
                <w:color w:val="auto"/>
                <w:sz w:val="24"/>
                <w:lang w:val="en-US" w:eastAsia="zh-CN"/>
              </w:rPr>
              <w:t>7</w:t>
            </w:r>
            <w:r>
              <w:rPr>
                <w:rFonts w:hint="eastAsia" w:ascii="Times New Roman" w:hAnsi="宋体" w:cs="Times New Roman"/>
                <w:b/>
                <w:color w:val="auto"/>
                <w:sz w:val="24"/>
              </w:rPr>
              <w:t>、电磁环境影响分析</w:t>
            </w:r>
          </w:p>
          <w:p>
            <w:pPr>
              <w:widowControl/>
              <w:shd w:val="clear" w:color="auto" w:fill="FFFFFF"/>
              <w:spacing w:line="360" w:lineRule="auto"/>
              <w:ind w:firstLine="480"/>
              <w:rPr>
                <w:color w:val="auto"/>
                <w:kern w:val="0"/>
                <w:sz w:val="24"/>
              </w:rPr>
            </w:pPr>
            <w:r>
              <w:rPr>
                <w:rFonts w:hint="eastAsia"/>
                <w:color w:val="auto"/>
                <w:kern w:val="0"/>
                <w:sz w:val="24"/>
                <w:lang w:val="en-US" w:eastAsia="zh-CN"/>
              </w:rPr>
              <w:t>本项目包括</w:t>
            </w:r>
            <w:r>
              <w:rPr>
                <w:rFonts w:hint="eastAsia"/>
                <w:color w:val="0000FF"/>
                <w:kern w:val="0"/>
                <w:sz w:val="24"/>
                <w:lang w:val="en-US" w:eastAsia="zh-CN"/>
              </w:rPr>
              <w:t>35kV升压变压器及35kV开关站，</w:t>
            </w:r>
            <w:r>
              <w:rPr>
                <w:rFonts w:hint="eastAsia"/>
                <w:color w:val="auto"/>
                <w:kern w:val="0"/>
                <w:sz w:val="24"/>
              </w:rPr>
              <w:t>根据《建设项目环境影响评价分类管理名录》，</w:t>
            </w:r>
            <w:r>
              <w:rPr>
                <w:rFonts w:hint="eastAsia"/>
                <w:color w:val="0000FF"/>
                <w:kern w:val="0"/>
                <w:sz w:val="24"/>
                <w:lang w:val="en-US" w:eastAsia="zh-CN"/>
              </w:rPr>
              <w:t>35kV升压变压器及35kV开关站</w:t>
            </w:r>
            <w:r>
              <w:rPr>
                <w:rFonts w:hint="eastAsia"/>
                <w:color w:val="auto"/>
                <w:kern w:val="0"/>
                <w:sz w:val="24"/>
              </w:rPr>
              <w:t>属于豁免管理，无需履行环评手续</w:t>
            </w:r>
            <w:r>
              <w:rPr>
                <w:color w:val="auto"/>
                <w:kern w:val="0"/>
                <w:sz w:val="24"/>
              </w:rPr>
              <w:t>。</w:t>
            </w:r>
          </w:p>
          <w:p>
            <w:pPr>
              <w:keepNext w:val="0"/>
              <w:keepLines w:val="0"/>
              <w:pageBreakBefore w:val="0"/>
              <w:kinsoku/>
              <w:wordWrap/>
              <w:overflowPunct/>
              <w:topLinePunct w:val="0"/>
              <w:autoSpaceDE/>
              <w:autoSpaceDN/>
              <w:bidi w:val="0"/>
              <w:adjustRightInd w:val="0"/>
              <w:snapToGrid w:val="0"/>
              <w:spacing w:line="360" w:lineRule="auto"/>
              <w:ind w:left="0" w:right="0" w:rightChars="0" w:firstLine="482" w:firstLineChars="200"/>
              <w:textAlignment w:val="auto"/>
              <w:rPr>
                <w:rFonts w:hAnsi="宋体"/>
                <w:b/>
                <w:color w:val="auto"/>
                <w:sz w:val="24"/>
              </w:rPr>
            </w:pPr>
            <w:r>
              <w:rPr>
                <w:rFonts w:hint="eastAsia" w:hAnsi="宋体"/>
                <w:b/>
                <w:color w:val="auto"/>
                <w:sz w:val="24"/>
                <w:lang w:val="en-US" w:eastAsia="zh-CN"/>
              </w:rPr>
              <w:t>8</w:t>
            </w:r>
            <w:r>
              <w:rPr>
                <w:rFonts w:hint="eastAsia" w:hAnsi="宋体"/>
                <w:b/>
                <w:color w:val="auto"/>
                <w:sz w:val="24"/>
              </w:rPr>
              <w:t>、环境风险分析</w:t>
            </w:r>
          </w:p>
          <w:p>
            <w:pPr>
              <w:keepNext w:val="0"/>
              <w:keepLines w:val="0"/>
              <w:pageBreakBefore w:val="0"/>
              <w:kinsoku/>
              <w:wordWrap/>
              <w:overflowPunct/>
              <w:topLinePunct w:val="0"/>
              <w:autoSpaceDE/>
              <w:autoSpaceDN/>
              <w:bidi w:val="0"/>
              <w:adjustRightInd w:val="0"/>
              <w:snapToGrid w:val="0"/>
              <w:spacing w:line="360" w:lineRule="auto"/>
              <w:ind w:left="0" w:right="0" w:rightChars="0" w:firstLine="480" w:firstLineChars="200"/>
              <w:textAlignment w:val="auto"/>
              <w:rPr>
                <w:rFonts w:hint="eastAsia" w:hAnsi="宋体"/>
                <w:color w:val="auto"/>
                <w:sz w:val="24"/>
              </w:rPr>
            </w:pPr>
            <w:r>
              <w:rPr>
                <w:rFonts w:hint="eastAsia" w:hAnsi="宋体"/>
                <w:color w:val="auto"/>
                <w:sz w:val="24"/>
              </w:rPr>
              <w:t>环境风险评价的目的是分析和预测建设项目存在的潜在危险、有害因素，项目建设和运行期间可能发生的突发性事件或事故</w:t>
            </w:r>
            <w:r>
              <w:rPr>
                <w:color w:val="auto"/>
                <w:sz w:val="24"/>
              </w:rPr>
              <w:t>(</w:t>
            </w:r>
            <w:r>
              <w:rPr>
                <w:rFonts w:hint="eastAsia" w:hAnsi="宋体"/>
                <w:color w:val="auto"/>
                <w:sz w:val="24"/>
              </w:rPr>
              <w:t>一般不包括人为破坏及自然灾害</w:t>
            </w:r>
            <w:r>
              <w:rPr>
                <w:color w:val="auto"/>
                <w:sz w:val="24"/>
              </w:rPr>
              <w:t>)</w:t>
            </w:r>
            <w:r>
              <w:rPr>
                <w:rFonts w:hint="eastAsia" w:hAnsi="宋体"/>
                <w:color w:val="auto"/>
                <w:sz w:val="24"/>
              </w:rPr>
              <w:t>，引起有毒有害和易燃易爆等物质泄漏，所造成的人身安全与环境影响和损害程度，提出合理可行的防范、应急与减缓措施，使建设项目事故率、损失和环境影响能够达到可接受水平。</w:t>
            </w:r>
          </w:p>
          <w:p>
            <w:pPr>
              <w:keepNext w:val="0"/>
              <w:keepLines w:val="0"/>
              <w:pageBreakBefore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hAnsi="宋体" w:eastAsia="宋体"/>
                <w:color w:val="auto"/>
                <w:sz w:val="24"/>
                <w:lang w:val="en-US" w:eastAsia="zh-CN"/>
              </w:rPr>
            </w:pPr>
            <w:r>
              <w:rPr>
                <w:rFonts w:hint="eastAsia" w:hAnsi="宋体"/>
                <w:color w:val="auto"/>
                <w:sz w:val="24"/>
                <w:lang w:val="en-US" w:eastAsia="zh-CN"/>
              </w:rPr>
              <w:t>本工程设有危废暂存间一座，</w:t>
            </w:r>
            <w:r>
              <w:rPr>
                <w:rFonts w:hint="eastAsia" w:hAnsi="宋体"/>
                <w:color w:val="auto"/>
                <w:sz w:val="24"/>
              </w:rPr>
              <w:t>能100%容纳对应箱式变压器事故油的事故油池10个，具有防渗、防风、防雨功能。</w:t>
            </w:r>
            <w:r>
              <w:rPr>
                <w:rFonts w:hint="default" w:ascii="Times New Roman" w:hAnsi="Times New Roman" w:eastAsia="宋体" w:cs="Times New Roman"/>
                <w:color w:val="auto"/>
                <w:kern w:val="0"/>
                <w:sz w:val="24"/>
                <w:szCs w:val="24"/>
              </w:rPr>
              <w:t>做好安全防范措施前提下，发生事故可能性较小，对周围环境风险较小。</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2" w:firstLineChars="200"/>
              <w:textAlignment w:val="auto"/>
              <w:rPr>
                <w:rFonts w:hint="default" w:ascii="Times New Roman" w:hAnsi="Times New Roman" w:eastAsia="宋体" w:cs="Times New Roman"/>
                <w:b/>
                <w:color w:val="auto"/>
                <w:sz w:val="24"/>
                <w:szCs w:val="24"/>
                <w:lang w:val="en-US" w:eastAsia="zh-CN"/>
              </w:rPr>
            </w:pPr>
            <w:r>
              <w:rPr>
                <w:rFonts w:hint="default" w:ascii="Times New Roman" w:hAnsi="Times New Roman" w:eastAsia="宋体" w:cs="Times New Roman"/>
                <w:b/>
                <w:color w:val="auto"/>
                <w:sz w:val="24"/>
                <w:szCs w:val="24"/>
                <w:lang w:val="en-US" w:eastAsia="zh-CN"/>
              </w:rPr>
              <w:t>9、生态环境影响分析</w:t>
            </w:r>
          </w:p>
          <w:p>
            <w:pPr>
              <w:keepNext w:val="0"/>
              <w:keepLines w:val="0"/>
              <w:pageBreakBefore w:val="0"/>
              <w:widowControl w:val="0"/>
              <w:kinsoku/>
              <w:wordWrap/>
              <w:overflowPunct/>
              <w:topLinePunct w:val="0"/>
              <w:autoSpaceDE/>
              <w:autoSpaceDN/>
              <w:bidi w:val="0"/>
              <w:adjustRightInd w:val="0"/>
              <w:snapToGrid w:val="0"/>
              <w:spacing w:line="360" w:lineRule="auto"/>
              <w:ind w:leftChars="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本项目在</w:t>
            </w:r>
            <w:r>
              <w:rPr>
                <w:rFonts w:hint="eastAsia" w:ascii="Times New Roman" w:hAnsi="Times New Roman" w:cs="Times New Roman"/>
                <w:color w:val="auto"/>
                <w:sz w:val="24"/>
                <w:szCs w:val="24"/>
                <w:lang w:eastAsia="zh-CN"/>
              </w:rPr>
              <w:t>运行期</w:t>
            </w:r>
            <w:r>
              <w:rPr>
                <w:rFonts w:hint="default" w:ascii="Times New Roman" w:hAnsi="Times New Roman" w:eastAsia="宋体" w:cs="Times New Roman"/>
                <w:color w:val="auto"/>
                <w:sz w:val="24"/>
                <w:szCs w:val="24"/>
              </w:rPr>
              <w:t>人员活动以及人工建筑的建成可能惊扰野生动物。同时，由于光伏系统反射少部分太阳光对经过的鸟类也会产生一定的影响。项目</w:t>
            </w:r>
            <w:r>
              <w:rPr>
                <w:rFonts w:hint="eastAsia" w:ascii="Times New Roman" w:hAnsi="Times New Roman" w:cs="Times New Roman"/>
                <w:color w:val="auto"/>
                <w:sz w:val="24"/>
                <w:szCs w:val="24"/>
                <w:lang w:eastAsia="zh-CN"/>
              </w:rPr>
              <w:t>运行期</w:t>
            </w:r>
            <w:r>
              <w:rPr>
                <w:rFonts w:hint="default" w:ascii="Times New Roman" w:hAnsi="Times New Roman" w:eastAsia="宋体" w:cs="Times New Roman"/>
                <w:color w:val="auto"/>
                <w:sz w:val="24"/>
                <w:szCs w:val="24"/>
              </w:rPr>
              <w:t>间因电站内人员活动以及各类机械工作使野生动物短期内不会靠近，经过一段时间的习惯和熟悉以后，可能有野生动物在项目周围定居。项目</w:t>
            </w:r>
            <w:r>
              <w:rPr>
                <w:rFonts w:hint="eastAsia" w:ascii="Times New Roman" w:hAnsi="Times New Roman" w:cs="Times New Roman"/>
                <w:color w:val="auto"/>
                <w:sz w:val="24"/>
                <w:szCs w:val="24"/>
                <w:lang w:eastAsia="zh-CN"/>
              </w:rPr>
              <w:t>运行期</w:t>
            </w:r>
            <w:r>
              <w:rPr>
                <w:rFonts w:hint="default" w:ascii="Times New Roman" w:hAnsi="Times New Roman" w:eastAsia="宋体" w:cs="Times New Roman"/>
                <w:color w:val="auto"/>
                <w:sz w:val="24"/>
                <w:szCs w:val="24"/>
              </w:rPr>
              <w:t>间对野生动物有一定的影响，但影响属于短期影响。</w:t>
            </w:r>
          </w:p>
          <w:p>
            <w:pPr>
              <w:keepNext w:val="0"/>
              <w:keepLines w:val="0"/>
              <w:pageBreakBefore w:val="0"/>
              <w:widowControl w:val="0"/>
              <w:kinsoku/>
              <w:wordWrap/>
              <w:overflowPunct/>
              <w:topLinePunct w:val="0"/>
              <w:autoSpaceDE/>
              <w:autoSpaceDN/>
              <w:bidi w:val="0"/>
              <w:adjustRightInd w:val="0"/>
              <w:snapToGrid w:val="0"/>
              <w:spacing w:line="360" w:lineRule="auto"/>
              <w:ind w:leftChars="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光伏电站的检修道路需严格控制占地面积，不得随意扩大或变更行车道路的宽度和长度，避免行驶车辆及检修人员的行走路线对</w:t>
            </w:r>
            <w:r>
              <w:rPr>
                <w:rFonts w:hint="eastAsia" w:cs="Times New Roman"/>
                <w:color w:val="0000FF"/>
                <w:sz w:val="24"/>
                <w:szCs w:val="24"/>
                <w:lang w:val="en-US" w:eastAsia="zh-CN"/>
              </w:rPr>
              <w:t>场地外</w:t>
            </w:r>
            <w:r>
              <w:rPr>
                <w:rFonts w:hint="default" w:ascii="Times New Roman" w:hAnsi="Times New Roman" w:eastAsia="宋体" w:cs="Times New Roman"/>
                <w:color w:val="auto"/>
                <w:sz w:val="24"/>
                <w:szCs w:val="24"/>
              </w:rPr>
              <w:t>地表原生植被的碾压扰动。</w:t>
            </w:r>
          </w:p>
          <w:p>
            <w:pPr>
              <w:keepNext w:val="0"/>
              <w:keepLines w:val="0"/>
              <w:pageBreakBefore w:val="0"/>
              <w:widowControl w:val="0"/>
              <w:kinsoku/>
              <w:wordWrap/>
              <w:overflowPunct/>
              <w:topLinePunct w:val="0"/>
              <w:autoSpaceDE/>
              <w:autoSpaceDN/>
              <w:bidi w:val="0"/>
              <w:adjustRightInd w:val="0"/>
              <w:snapToGrid w:val="0"/>
              <w:spacing w:line="360" w:lineRule="auto"/>
              <w:ind w:leftChars="0" w:firstLine="480" w:firstLineChars="200"/>
              <w:textAlignment w:val="auto"/>
              <w:rPr>
                <w:rFonts w:hint="default" w:ascii="Times New Roman" w:hAnsi="Times New Roman" w:eastAsia="宋体" w:cs="Times New Roman"/>
                <w:color w:val="auto"/>
                <w:sz w:val="24"/>
                <w:szCs w:val="24"/>
              </w:rPr>
            </w:pPr>
            <w:r>
              <w:rPr>
                <w:rFonts w:hint="eastAsia" w:ascii="Times New Roman" w:hAnsi="Times New Roman" w:cs="Times New Roman"/>
                <w:color w:val="auto"/>
                <w:sz w:val="24"/>
                <w:szCs w:val="24"/>
                <w:lang w:eastAsia="zh-CN"/>
              </w:rPr>
              <w:t>运行期</w:t>
            </w:r>
            <w:r>
              <w:rPr>
                <w:rFonts w:hint="default" w:ascii="Times New Roman" w:hAnsi="Times New Roman" w:eastAsia="宋体" w:cs="Times New Roman"/>
                <w:color w:val="auto"/>
                <w:sz w:val="24"/>
                <w:szCs w:val="24"/>
              </w:rPr>
              <w:t>设置简易铁丝铁艺网式围栏以降低对野生动物的惊扰，同时也避免野生动物误入厂区。禁止工作人员诱捕野生动物，对误入厂区的野生动物应及时放归。对工作人员加强教育，人员和车辆应在规定范围内活动，避免对周边的扰动。</w:t>
            </w:r>
          </w:p>
          <w:p>
            <w:pPr>
              <w:keepNext w:val="0"/>
              <w:keepLines w:val="0"/>
              <w:pageBreakBefore w:val="0"/>
              <w:widowControl w:val="0"/>
              <w:kinsoku/>
              <w:wordWrap/>
              <w:overflowPunct/>
              <w:topLinePunct w:val="0"/>
              <w:autoSpaceDE/>
              <w:autoSpaceDN/>
              <w:bidi w:val="0"/>
              <w:adjustRightInd w:val="0"/>
              <w:snapToGrid w:val="0"/>
              <w:spacing w:line="360" w:lineRule="auto"/>
              <w:ind w:leftChars="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被破坏或影响的动、植物均为广布种和常见种，且分布也较均匀。生产区占地有限，对当地的动、植物分布影响较小，不会对当地的总体生态环境产生明显的影响。</w:t>
            </w:r>
            <w:r>
              <w:rPr>
                <w:rFonts w:hint="default" w:ascii="Times New Roman" w:hAnsi="Times New Roman" w:eastAsia="宋体" w:cs="Times New Roman"/>
                <w:color w:val="auto"/>
                <w:sz w:val="24"/>
                <w:szCs w:val="24"/>
                <w:lang w:val="zh-CN"/>
              </w:rPr>
              <w:t>因此，本工程建成后对区域生态环境质量影响较小。</w:t>
            </w:r>
          </w:p>
          <w:p>
            <w:pPr>
              <w:pStyle w:val="12"/>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2" w:firstLineChars="200"/>
              <w:textAlignment w:val="auto"/>
              <w:rPr>
                <w:rFonts w:hint="default" w:ascii="Times New Roman" w:hAnsi="Times New Roman" w:eastAsia="宋体" w:cs="Times New Roman"/>
                <w:b/>
                <w:color w:val="auto"/>
                <w:sz w:val="24"/>
                <w:szCs w:val="24"/>
              </w:rPr>
            </w:pPr>
            <w:r>
              <w:rPr>
                <w:rFonts w:hint="eastAsia" w:cs="Times New Roman"/>
                <w:b/>
                <w:color w:val="auto"/>
                <w:sz w:val="24"/>
                <w:szCs w:val="24"/>
                <w:lang w:val="en-US" w:eastAsia="zh-CN"/>
              </w:rPr>
              <w:t>三、</w:t>
            </w:r>
            <w:r>
              <w:rPr>
                <w:rFonts w:hint="default" w:ascii="Times New Roman" w:hAnsi="Times New Roman" w:eastAsia="宋体" w:cs="Times New Roman"/>
                <w:b/>
                <w:color w:val="auto"/>
                <w:sz w:val="24"/>
                <w:szCs w:val="24"/>
              </w:rPr>
              <w:t>服务期满后环境影响分析</w:t>
            </w:r>
          </w:p>
          <w:p>
            <w:pPr>
              <w:keepNext w:val="0"/>
              <w:keepLines w:val="0"/>
              <w:pageBreakBefore w:val="0"/>
              <w:widowControl w:val="0"/>
              <w:kinsoku/>
              <w:wordWrap/>
              <w:overflowPunct/>
              <w:topLinePunct w:val="0"/>
              <w:autoSpaceDE/>
              <w:autoSpaceDN/>
              <w:bidi w:val="0"/>
              <w:adjustRightInd w:val="0"/>
              <w:snapToGrid w:val="0"/>
              <w:spacing w:line="360" w:lineRule="auto"/>
              <w:ind w:leftChars="0"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项目光伏系统使用寿命25年，其中组件寿命25年，逆变器寿命25年，电缆使用寿命大于20年。服务期满后，光光伏组件的转化效率降低，不能满足发电需求。光伏电站</w:t>
            </w:r>
            <w:r>
              <w:rPr>
                <w:rFonts w:hint="eastAsia" w:ascii="Times New Roman" w:hAnsi="Times New Roman" w:cs="Times New Roman"/>
                <w:color w:val="auto"/>
                <w:sz w:val="24"/>
                <w:szCs w:val="24"/>
                <w:lang w:eastAsia="zh-CN"/>
              </w:rPr>
              <w:t>运行期</w:t>
            </w:r>
            <w:r>
              <w:rPr>
                <w:rFonts w:hint="default" w:ascii="Times New Roman" w:hAnsi="Times New Roman" w:eastAsia="宋体" w:cs="Times New Roman"/>
                <w:color w:val="auto"/>
                <w:sz w:val="24"/>
                <w:szCs w:val="24"/>
              </w:rPr>
              <w:t>满后光伏组件的拆除回收、电气设备的拆除回收以及各类建（构）筑物的拆除可能对外环境产生一定的影响。</w:t>
            </w:r>
          </w:p>
          <w:p>
            <w:pPr>
              <w:keepNext w:val="0"/>
              <w:keepLines w:val="0"/>
              <w:pageBreakBefore w:val="0"/>
              <w:widowControl w:val="0"/>
              <w:kinsoku/>
              <w:wordWrap/>
              <w:overflowPunct/>
              <w:topLinePunct w:val="0"/>
              <w:autoSpaceDE/>
              <w:autoSpaceDN/>
              <w:bidi w:val="0"/>
              <w:adjustRightInd w:val="0"/>
              <w:snapToGrid w:val="0"/>
              <w:spacing w:line="360" w:lineRule="auto"/>
              <w:ind w:leftChars="0"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1、光伏组件</w:t>
            </w:r>
          </w:p>
          <w:p>
            <w:pPr>
              <w:keepNext w:val="0"/>
              <w:keepLines w:val="0"/>
              <w:pageBreakBefore w:val="0"/>
              <w:widowControl w:val="0"/>
              <w:kinsoku/>
              <w:wordWrap/>
              <w:overflowPunct/>
              <w:topLinePunct w:val="0"/>
              <w:autoSpaceDE/>
              <w:autoSpaceDN/>
              <w:bidi w:val="0"/>
              <w:adjustRightInd w:val="0"/>
              <w:snapToGrid w:val="0"/>
              <w:spacing w:line="360" w:lineRule="auto"/>
              <w:ind w:leftChars="0" w:firstLine="480" w:firstLineChars="200"/>
              <w:jc w:val="left"/>
              <w:textAlignment w:val="auto"/>
              <w:rPr>
                <w:rFonts w:hint="default" w:ascii="Times New Roman" w:hAnsi="Times New Roman" w:eastAsia="宋体" w:cs="Times New Roman"/>
                <w:color w:val="auto"/>
                <w:sz w:val="24"/>
                <w:szCs w:val="24"/>
              </w:rPr>
            </w:pPr>
            <w:r>
              <w:rPr>
                <w:rFonts w:hint="eastAsia" w:ascii="Times New Roman" w:hAnsi="Times New Roman" w:cs="Times New Roman"/>
                <w:color w:val="auto"/>
                <w:sz w:val="24"/>
                <w:szCs w:val="24"/>
                <w:lang w:eastAsia="zh-CN"/>
              </w:rPr>
              <w:t>运行期</w:t>
            </w:r>
            <w:r>
              <w:rPr>
                <w:rFonts w:hint="default" w:ascii="Times New Roman" w:hAnsi="Times New Roman" w:eastAsia="宋体" w:cs="Times New Roman"/>
                <w:color w:val="auto"/>
                <w:sz w:val="24"/>
                <w:szCs w:val="24"/>
              </w:rPr>
              <w:t>满后，拆除废旧光伏组件总计</w:t>
            </w:r>
            <w:r>
              <w:rPr>
                <w:rFonts w:hint="default" w:ascii="Times New Roman" w:hAnsi="Times New Roman" w:eastAsia="宋体" w:cs="Times New Roman"/>
                <w:color w:val="auto"/>
                <w:sz w:val="24"/>
                <w:szCs w:val="24"/>
                <w:lang w:val="en-US" w:eastAsia="zh-CN"/>
              </w:rPr>
              <w:t>80379</w:t>
            </w:r>
            <w:r>
              <w:rPr>
                <w:rFonts w:hint="default" w:ascii="Times New Roman" w:hAnsi="Times New Roman" w:eastAsia="宋体" w:cs="Times New Roman"/>
                <w:color w:val="auto"/>
                <w:sz w:val="24"/>
                <w:szCs w:val="24"/>
              </w:rPr>
              <w:t>块，全部由光伏组件提供厂商负责回收。</w:t>
            </w:r>
          </w:p>
          <w:p>
            <w:pPr>
              <w:keepNext w:val="0"/>
              <w:keepLines w:val="0"/>
              <w:pageBreakBefore w:val="0"/>
              <w:widowControl w:val="0"/>
              <w:kinsoku/>
              <w:wordWrap/>
              <w:overflowPunct/>
              <w:topLinePunct w:val="0"/>
              <w:autoSpaceDE/>
              <w:autoSpaceDN/>
              <w:bidi w:val="0"/>
              <w:adjustRightInd w:val="0"/>
              <w:snapToGrid w:val="0"/>
              <w:spacing w:line="360" w:lineRule="auto"/>
              <w:ind w:leftChars="0"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2、电气设备</w:t>
            </w:r>
          </w:p>
          <w:p>
            <w:pPr>
              <w:keepNext w:val="0"/>
              <w:keepLines w:val="0"/>
              <w:pageBreakBefore w:val="0"/>
              <w:widowControl w:val="0"/>
              <w:kinsoku/>
              <w:wordWrap/>
              <w:overflowPunct/>
              <w:topLinePunct w:val="0"/>
              <w:autoSpaceDE/>
              <w:autoSpaceDN/>
              <w:bidi w:val="0"/>
              <w:adjustRightInd w:val="0"/>
              <w:snapToGrid w:val="0"/>
              <w:spacing w:line="360" w:lineRule="auto"/>
              <w:ind w:leftChars="0"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本项目电气设备主要为</w:t>
            </w:r>
            <w:r>
              <w:rPr>
                <w:rFonts w:hint="default" w:ascii="Times New Roman" w:hAnsi="Times New Roman" w:eastAsia="宋体" w:cs="Times New Roman"/>
                <w:color w:val="auto"/>
                <w:sz w:val="24"/>
                <w:szCs w:val="24"/>
                <w:lang w:val="en-US" w:eastAsia="zh-CN"/>
              </w:rPr>
              <w:t>8台3125kW箱逆变一体机、1台1250kW箱逆变一体机、3台196kW组串式逆变器及1台630kVA  35kV升压变</w:t>
            </w:r>
            <w:r>
              <w:rPr>
                <w:rFonts w:hint="default" w:ascii="Times New Roman" w:hAnsi="Times New Roman" w:eastAsia="宋体" w:cs="Times New Roman"/>
                <w:color w:val="auto"/>
                <w:sz w:val="24"/>
                <w:szCs w:val="24"/>
              </w:rPr>
              <w:t>，电气设备经过</w:t>
            </w:r>
            <w:r>
              <w:rPr>
                <w:rFonts w:hint="eastAsia" w:ascii="Times New Roman" w:hAnsi="Times New Roman" w:cs="Times New Roman"/>
                <w:color w:val="auto"/>
                <w:sz w:val="24"/>
                <w:szCs w:val="24"/>
                <w:lang w:eastAsia="zh-CN"/>
              </w:rPr>
              <w:t>运行期</w:t>
            </w:r>
            <w:r>
              <w:rPr>
                <w:rFonts w:hint="default" w:ascii="Times New Roman" w:hAnsi="Times New Roman" w:eastAsia="宋体" w:cs="Times New Roman"/>
                <w:color w:val="auto"/>
                <w:sz w:val="24"/>
                <w:szCs w:val="24"/>
              </w:rPr>
              <w:t>的使用和维护，其损耗较小，可全部由设备生产商回收进行维护和大修后再次使用。可就地进行拆解后运回原厂进行维修。</w:t>
            </w:r>
          </w:p>
          <w:p>
            <w:pPr>
              <w:keepNext w:val="0"/>
              <w:keepLines w:val="0"/>
              <w:pageBreakBefore w:val="0"/>
              <w:widowControl w:val="0"/>
              <w:kinsoku/>
              <w:wordWrap/>
              <w:overflowPunct/>
              <w:topLinePunct w:val="0"/>
              <w:autoSpaceDE/>
              <w:autoSpaceDN/>
              <w:bidi w:val="0"/>
              <w:adjustRightInd w:val="0"/>
              <w:snapToGrid w:val="0"/>
              <w:spacing w:line="360" w:lineRule="auto"/>
              <w:ind w:leftChars="0"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3、建（构）筑物</w:t>
            </w:r>
          </w:p>
          <w:p>
            <w:pPr>
              <w:keepNext w:val="0"/>
              <w:keepLines w:val="0"/>
              <w:pageBreakBefore w:val="0"/>
              <w:widowControl w:val="0"/>
              <w:kinsoku/>
              <w:wordWrap/>
              <w:overflowPunct/>
              <w:topLinePunct w:val="0"/>
              <w:autoSpaceDE/>
              <w:autoSpaceDN/>
              <w:bidi w:val="0"/>
              <w:adjustRightInd w:val="0"/>
              <w:snapToGrid w:val="0"/>
              <w:spacing w:line="360" w:lineRule="auto"/>
              <w:ind w:leftChars="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在服务期满后，将全部拆除各类建（构）筑物。本项目主要建（构）筑物有光伏组件基础，大部分为混凝土结构。拆除后尽量用于场地平整和对场地进行原地貌恢复，对环境影响较小。最终光伏电站占用土地应恢复植被。</w:t>
            </w:r>
          </w:p>
          <w:p>
            <w:pPr>
              <w:keepNext w:val="0"/>
              <w:keepLines w:val="0"/>
              <w:pageBreakBefore w:val="0"/>
              <w:widowControl w:val="0"/>
              <w:kinsoku/>
              <w:wordWrap/>
              <w:overflowPunct/>
              <w:topLinePunct w:val="0"/>
              <w:autoSpaceDE/>
              <w:autoSpaceDN/>
              <w:bidi w:val="0"/>
              <w:adjustRightInd w:val="0"/>
              <w:snapToGrid w:val="0"/>
              <w:spacing w:line="360" w:lineRule="auto"/>
              <w:ind w:leftChars="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废变压器油及废蓄电池等危险废物由拥有危险废物处理处置资质的单位进行回收、运输和处置时，应先向当地主管环境保护部门进行申报登记，环保部门同意后按照《危险废物转移联单管理办法》填写危险废物转移五联单后，由拥有危险废物处理处置资质的单位进行回收、运输和处置。</w:t>
            </w:r>
          </w:p>
          <w:p>
            <w:pPr>
              <w:pStyle w:val="12"/>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2" w:firstLineChars="200"/>
              <w:textAlignment w:val="auto"/>
              <w:rPr>
                <w:rFonts w:hint="default" w:ascii="Times New Roman" w:hAnsi="Times New Roman" w:eastAsia="宋体" w:cs="Times New Roman"/>
                <w:b/>
                <w:color w:val="auto"/>
                <w:sz w:val="24"/>
                <w:szCs w:val="24"/>
              </w:rPr>
            </w:pPr>
            <w:r>
              <w:rPr>
                <w:rFonts w:hint="eastAsia" w:cs="Times New Roman"/>
                <w:b/>
                <w:color w:val="auto"/>
                <w:sz w:val="24"/>
                <w:szCs w:val="24"/>
                <w:lang w:val="en-US" w:eastAsia="zh-CN"/>
              </w:rPr>
              <w:t>四、</w:t>
            </w:r>
            <w:r>
              <w:rPr>
                <w:rFonts w:hint="default" w:ascii="Times New Roman" w:hAnsi="Times New Roman" w:eastAsia="宋体" w:cs="Times New Roman"/>
                <w:b/>
                <w:color w:val="auto"/>
                <w:sz w:val="24"/>
                <w:szCs w:val="24"/>
              </w:rPr>
              <w:t>环境管理</w:t>
            </w:r>
          </w:p>
          <w:p>
            <w:pPr>
              <w:pStyle w:val="188"/>
              <w:keepNext w:val="0"/>
              <w:keepLines w:val="0"/>
              <w:pageBreakBefore w:val="0"/>
              <w:widowControl w:val="0"/>
              <w:kinsoku/>
              <w:wordWrap/>
              <w:overflowPunct/>
              <w:topLinePunct w:val="0"/>
              <w:autoSpaceDE/>
              <w:autoSpaceDN/>
              <w:bidi w:val="0"/>
              <w:adjustRightInd w:val="0"/>
              <w:snapToGrid w:val="0"/>
              <w:ind w:leftChars="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本工程投入营运后，安排工作人员实施环境管理工作，主要负责环保设施的操作、维护和保养，做好运行记录，建立相关档案，具体如下：</w:t>
            </w:r>
          </w:p>
          <w:p>
            <w:pPr>
              <w:pStyle w:val="188"/>
              <w:keepNext w:val="0"/>
              <w:keepLines w:val="0"/>
              <w:pageBreakBefore w:val="0"/>
              <w:widowControl w:val="0"/>
              <w:kinsoku/>
              <w:wordWrap/>
              <w:overflowPunct/>
              <w:topLinePunct w:val="0"/>
              <w:autoSpaceDE/>
              <w:autoSpaceDN/>
              <w:bidi w:val="0"/>
              <w:adjustRightInd w:val="0"/>
              <w:snapToGrid w:val="0"/>
              <w:ind w:leftChars="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1、依照国家环境保护法律法规以及公司的规章制度制定本项目环境保护管理规章制度并由公司主管部门负责监督执行；</w:t>
            </w:r>
          </w:p>
          <w:p>
            <w:pPr>
              <w:spacing w:line="360" w:lineRule="auto"/>
              <w:ind w:firstLine="480" w:firstLineChars="200"/>
              <w:rPr>
                <w:color w:val="auto"/>
                <w:sz w:val="24"/>
              </w:rPr>
            </w:pPr>
            <w:r>
              <w:rPr>
                <w:rFonts w:hint="default" w:ascii="Times New Roman" w:hAnsi="Times New Roman" w:eastAsia="宋体" w:cs="Times New Roman"/>
                <w:color w:val="auto"/>
                <w:sz w:val="24"/>
                <w:szCs w:val="24"/>
              </w:rPr>
              <w:t>2、对主要的环保措施和环保设施的落实和运行情况进行详细记录，同时制定专项规章制度以保证环保设施的正常运行，当环保设施运行不正常时应及时上报主管人员。</w:t>
            </w:r>
          </w:p>
          <w:p>
            <w:pPr>
              <w:spacing w:line="360" w:lineRule="auto"/>
              <w:ind w:firstLine="480" w:firstLineChars="200"/>
              <w:rPr>
                <w:color w:val="auto"/>
                <w:sz w:val="24"/>
              </w:rPr>
            </w:pPr>
          </w:p>
          <w:p>
            <w:pPr>
              <w:spacing w:line="360" w:lineRule="auto"/>
              <w:ind w:firstLine="480" w:firstLineChars="200"/>
              <w:rPr>
                <w:color w:val="auto"/>
                <w:sz w:val="24"/>
              </w:rPr>
            </w:pPr>
          </w:p>
          <w:p>
            <w:pPr>
              <w:spacing w:line="360" w:lineRule="auto"/>
              <w:ind w:firstLine="480" w:firstLineChars="200"/>
              <w:rPr>
                <w:color w:val="auto"/>
                <w:sz w:val="24"/>
              </w:rPr>
            </w:pPr>
          </w:p>
          <w:p>
            <w:pPr>
              <w:spacing w:line="360" w:lineRule="auto"/>
              <w:ind w:firstLine="480" w:firstLineChars="200"/>
              <w:rPr>
                <w:color w:val="auto"/>
                <w:sz w:val="24"/>
              </w:rPr>
            </w:pPr>
          </w:p>
          <w:p>
            <w:pPr>
              <w:spacing w:line="360" w:lineRule="auto"/>
              <w:ind w:firstLine="480" w:firstLineChars="200"/>
              <w:rPr>
                <w:color w:val="auto"/>
                <w:sz w:val="24"/>
              </w:rPr>
            </w:pPr>
          </w:p>
          <w:p>
            <w:pPr>
              <w:spacing w:line="360" w:lineRule="auto"/>
              <w:ind w:firstLine="480" w:firstLineChars="200"/>
              <w:rPr>
                <w:color w:val="auto"/>
                <w:sz w:val="24"/>
              </w:rPr>
            </w:pPr>
          </w:p>
          <w:p>
            <w:pPr>
              <w:spacing w:line="360" w:lineRule="auto"/>
              <w:ind w:firstLine="480" w:firstLineChars="200"/>
              <w:rPr>
                <w:color w:val="auto"/>
                <w:sz w:val="24"/>
              </w:rPr>
            </w:pPr>
          </w:p>
          <w:p>
            <w:pPr>
              <w:spacing w:line="360" w:lineRule="auto"/>
              <w:ind w:firstLine="480" w:firstLineChars="200"/>
              <w:rPr>
                <w:color w:val="auto"/>
                <w:sz w:val="24"/>
              </w:rPr>
            </w:pPr>
          </w:p>
          <w:p>
            <w:pPr>
              <w:spacing w:line="360" w:lineRule="auto"/>
              <w:ind w:firstLine="480" w:firstLineChars="200"/>
              <w:rPr>
                <w:color w:val="auto"/>
                <w:sz w:val="24"/>
              </w:rPr>
            </w:pPr>
          </w:p>
          <w:p>
            <w:pPr>
              <w:spacing w:line="360" w:lineRule="auto"/>
              <w:ind w:firstLine="480" w:firstLineChars="200"/>
              <w:rPr>
                <w:color w:val="auto"/>
                <w:sz w:val="24"/>
              </w:rPr>
            </w:pPr>
          </w:p>
          <w:p>
            <w:pPr>
              <w:spacing w:line="360" w:lineRule="auto"/>
              <w:ind w:firstLine="480" w:firstLineChars="200"/>
              <w:rPr>
                <w:color w:val="auto"/>
                <w:sz w:val="24"/>
              </w:rPr>
            </w:pPr>
          </w:p>
          <w:p>
            <w:pPr>
              <w:spacing w:line="360" w:lineRule="auto"/>
              <w:ind w:firstLine="480" w:firstLineChars="200"/>
              <w:rPr>
                <w:color w:val="auto"/>
                <w:sz w:val="24"/>
              </w:rPr>
            </w:pPr>
          </w:p>
          <w:p>
            <w:pPr>
              <w:spacing w:line="360" w:lineRule="auto"/>
              <w:ind w:firstLine="480" w:firstLineChars="200"/>
              <w:rPr>
                <w:color w:val="auto"/>
                <w:sz w:val="24"/>
              </w:rPr>
            </w:pPr>
          </w:p>
        </w:tc>
      </w:tr>
    </w:tbl>
    <w:p>
      <w:pPr>
        <w:rPr>
          <w:color w:val="auto"/>
          <w:lang w:eastAsia="zh-CN"/>
        </w:rPr>
      </w:pPr>
      <w:r>
        <w:rPr>
          <w:color w:val="auto"/>
          <w:lang w:eastAsia="zh-CN"/>
        </w:rPr>
        <w:br w:type="page"/>
      </w:r>
    </w:p>
    <w:p>
      <w:pPr>
        <w:spacing w:line="360" w:lineRule="auto"/>
        <w:outlineLvl w:val="0"/>
        <w:rPr>
          <w:b/>
          <w:color w:val="auto"/>
          <w:sz w:val="30"/>
          <w:szCs w:val="30"/>
          <w:highlight w:val="none"/>
          <w:lang w:eastAsia="zh-CN"/>
        </w:rPr>
      </w:pPr>
      <w:bookmarkStart w:id="26" w:name="_Toc22895"/>
      <w:r>
        <w:rPr>
          <w:rStyle w:val="171"/>
          <w:rFonts w:hint="eastAsia"/>
          <w:color w:val="auto"/>
          <w:lang w:val="en-US" w:eastAsia="zh-CN"/>
        </w:rPr>
        <w:t>八、建设项目拟采取的防治措施及预期治理效果</w:t>
      </w:r>
      <w:bookmarkEnd w:id="26"/>
    </w:p>
    <w:tbl>
      <w:tblPr>
        <w:tblStyle w:val="30"/>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459"/>
        <w:gridCol w:w="464"/>
        <w:gridCol w:w="773"/>
        <w:gridCol w:w="1083"/>
        <w:gridCol w:w="3872"/>
        <w:gridCol w:w="24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509" w:type="pct"/>
            <w:gridSpan w:val="2"/>
            <w:tcBorders>
              <w:tl2br w:val="single" w:color="auto" w:sz="4" w:space="0"/>
            </w:tcBorders>
            <w:vAlign w:val="center"/>
          </w:tcPr>
          <w:p>
            <w:pPr>
              <w:spacing w:line="35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   内容</w:t>
            </w:r>
          </w:p>
          <w:p>
            <w:pPr>
              <w:spacing w:line="35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类别</w:t>
            </w:r>
          </w:p>
        </w:tc>
        <w:tc>
          <w:tcPr>
            <w:tcW w:w="426" w:type="pct"/>
            <w:vAlign w:val="center"/>
          </w:tcPr>
          <w:p>
            <w:pPr>
              <w:spacing w:line="35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排放源</w:t>
            </w:r>
          </w:p>
          <w:p>
            <w:pPr>
              <w:spacing w:line="35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(编号)</w:t>
            </w:r>
          </w:p>
        </w:tc>
        <w:tc>
          <w:tcPr>
            <w:tcW w:w="597" w:type="pct"/>
            <w:vAlign w:val="center"/>
          </w:tcPr>
          <w:p>
            <w:pPr>
              <w:spacing w:line="35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污染物</w:t>
            </w:r>
          </w:p>
          <w:p>
            <w:pPr>
              <w:spacing w:line="35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名称</w:t>
            </w:r>
          </w:p>
        </w:tc>
        <w:tc>
          <w:tcPr>
            <w:tcW w:w="2134" w:type="pct"/>
            <w:vAlign w:val="center"/>
          </w:tcPr>
          <w:p>
            <w:pPr>
              <w:spacing w:line="35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防治措施</w:t>
            </w:r>
          </w:p>
        </w:tc>
        <w:tc>
          <w:tcPr>
            <w:tcW w:w="1331" w:type="pct"/>
            <w:vAlign w:val="center"/>
          </w:tcPr>
          <w:p>
            <w:pPr>
              <w:spacing w:line="35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预期治理效果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8" w:hRule="atLeast"/>
          <w:jc w:val="center"/>
        </w:trPr>
        <w:tc>
          <w:tcPr>
            <w:tcW w:w="253" w:type="pct"/>
            <w:vMerge w:val="restart"/>
            <w:vAlign w:val="center"/>
          </w:tcPr>
          <w:p>
            <w:pPr>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噪声</w:t>
            </w:r>
          </w:p>
        </w:tc>
        <w:tc>
          <w:tcPr>
            <w:tcW w:w="256" w:type="pct"/>
            <w:tcBorders>
              <w:bottom w:val="single" w:color="auto" w:sz="4" w:space="0"/>
            </w:tcBorders>
            <w:vAlign w:val="center"/>
          </w:tcPr>
          <w:p>
            <w:pPr>
              <w:snapToGrid w:val="0"/>
              <w:spacing w:line="2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施工期</w:t>
            </w:r>
          </w:p>
        </w:tc>
        <w:tc>
          <w:tcPr>
            <w:tcW w:w="426" w:type="pct"/>
            <w:vAlign w:val="center"/>
          </w:tcPr>
          <w:p>
            <w:pPr>
              <w:pStyle w:val="190"/>
              <w:snapToGrid w:val="0"/>
              <w:spacing w:line="2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施工</w:t>
            </w:r>
          </w:p>
          <w:p>
            <w:pPr>
              <w:pStyle w:val="190"/>
              <w:snapToGrid w:val="0"/>
              <w:spacing w:line="2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设备</w:t>
            </w:r>
          </w:p>
        </w:tc>
        <w:tc>
          <w:tcPr>
            <w:tcW w:w="597" w:type="pct"/>
            <w:vMerge w:val="restart"/>
            <w:vAlign w:val="center"/>
          </w:tcPr>
          <w:p>
            <w:pPr>
              <w:pStyle w:val="190"/>
              <w:snapToGrid w:val="0"/>
              <w:spacing w:line="2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噪声</w:t>
            </w:r>
          </w:p>
        </w:tc>
        <w:tc>
          <w:tcPr>
            <w:tcW w:w="2134" w:type="pct"/>
            <w:vAlign w:val="center"/>
          </w:tcPr>
          <w:p>
            <w:pPr>
              <w:pStyle w:val="190"/>
              <w:snapToGrid w:val="0"/>
              <w:spacing w:line="26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选用低噪声的设备进行施工、安装。</w:t>
            </w:r>
          </w:p>
        </w:tc>
        <w:tc>
          <w:tcPr>
            <w:tcW w:w="1331" w:type="pct"/>
            <w:vAlign w:val="center"/>
          </w:tcPr>
          <w:p>
            <w:pPr>
              <w:pStyle w:val="190"/>
              <w:snapToGrid w:val="0"/>
              <w:spacing w:line="26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满足《建筑施工场界环境噪声排放标准》(GB12523 -2011)。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0" w:hRule="atLeast"/>
          <w:jc w:val="center"/>
        </w:trPr>
        <w:tc>
          <w:tcPr>
            <w:tcW w:w="253" w:type="pct"/>
            <w:vMerge w:val="continue"/>
            <w:tcBorders>
              <w:bottom w:val="single" w:color="auto" w:sz="4" w:space="0"/>
            </w:tcBorders>
            <w:vAlign w:val="center"/>
          </w:tcPr>
          <w:p>
            <w:pPr>
              <w:snapToGrid w:val="0"/>
              <w:jc w:val="center"/>
              <w:rPr>
                <w:rFonts w:hint="default" w:ascii="Times New Roman" w:hAnsi="Times New Roman" w:eastAsia="宋体" w:cs="Times New Roman"/>
                <w:color w:val="auto"/>
                <w:sz w:val="21"/>
                <w:szCs w:val="21"/>
              </w:rPr>
            </w:pPr>
          </w:p>
        </w:tc>
        <w:tc>
          <w:tcPr>
            <w:tcW w:w="256" w:type="pct"/>
            <w:tcBorders>
              <w:bottom w:val="single" w:color="auto" w:sz="4" w:space="0"/>
            </w:tcBorders>
            <w:vAlign w:val="center"/>
          </w:tcPr>
          <w:p>
            <w:pPr>
              <w:snapToGrid w:val="0"/>
              <w:spacing w:line="260" w:lineRule="exact"/>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运行期</w:t>
            </w:r>
          </w:p>
        </w:tc>
        <w:tc>
          <w:tcPr>
            <w:tcW w:w="426" w:type="pct"/>
            <w:tcBorders>
              <w:bottom w:val="single" w:color="auto" w:sz="4" w:space="0"/>
            </w:tcBorders>
            <w:vAlign w:val="center"/>
          </w:tcPr>
          <w:p>
            <w:pPr>
              <w:pStyle w:val="190"/>
              <w:snapToGrid w:val="0"/>
              <w:spacing w:line="2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电站</w:t>
            </w:r>
          </w:p>
          <w:p>
            <w:pPr>
              <w:pStyle w:val="190"/>
              <w:snapToGrid w:val="0"/>
              <w:spacing w:line="2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设备</w:t>
            </w:r>
          </w:p>
        </w:tc>
        <w:tc>
          <w:tcPr>
            <w:tcW w:w="597" w:type="pct"/>
            <w:vMerge w:val="continue"/>
            <w:tcBorders>
              <w:bottom w:val="single" w:color="auto" w:sz="4" w:space="0"/>
            </w:tcBorders>
            <w:vAlign w:val="center"/>
          </w:tcPr>
          <w:p>
            <w:pPr>
              <w:pStyle w:val="190"/>
              <w:snapToGrid w:val="0"/>
              <w:spacing w:line="260" w:lineRule="exact"/>
              <w:jc w:val="center"/>
              <w:rPr>
                <w:rFonts w:hint="default" w:ascii="Times New Roman" w:hAnsi="Times New Roman" w:eastAsia="宋体" w:cs="Times New Roman"/>
                <w:color w:val="auto"/>
                <w:sz w:val="21"/>
                <w:szCs w:val="21"/>
              </w:rPr>
            </w:pPr>
          </w:p>
        </w:tc>
        <w:tc>
          <w:tcPr>
            <w:tcW w:w="2134" w:type="pct"/>
            <w:tcBorders>
              <w:bottom w:val="single" w:color="auto" w:sz="4" w:space="0"/>
            </w:tcBorders>
            <w:vAlign w:val="center"/>
          </w:tcPr>
          <w:p>
            <w:pPr>
              <w:pStyle w:val="190"/>
              <w:snapToGrid w:val="0"/>
              <w:spacing w:line="26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选用低噪声的设备，合理进行总图布置</w:t>
            </w:r>
          </w:p>
        </w:tc>
        <w:tc>
          <w:tcPr>
            <w:tcW w:w="1331" w:type="pct"/>
            <w:tcBorders>
              <w:bottom w:val="single" w:color="auto" w:sz="4" w:space="0"/>
            </w:tcBorders>
            <w:vAlign w:val="center"/>
          </w:tcPr>
          <w:p>
            <w:pPr>
              <w:pStyle w:val="190"/>
              <w:snapToGrid w:val="0"/>
              <w:spacing w:line="26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满足《工业企业厂界环境噪声排放标准》(GB12348-2008)3类标准。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1" w:hRule="atLeast"/>
          <w:jc w:val="center"/>
        </w:trPr>
        <w:tc>
          <w:tcPr>
            <w:tcW w:w="253" w:type="pct"/>
            <w:vMerge w:val="restart"/>
            <w:vAlign w:val="center"/>
          </w:tcPr>
          <w:p>
            <w:pPr>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固体废物</w:t>
            </w:r>
          </w:p>
        </w:tc>
        <w:tc>
          <w:tcPr>
            <w:tcW w:w="256" w:type="pct"/>
            <w:vMerge w:val="restart"/>
            <w:vAlign w:val="center"/>
          </w:tcPr>
          <w:p>
            <w:pPr>
              <w:snapToGrid w:val="0"/>
              <w:spacing w:line="2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施工期</w:t>
            </w:r>
          </w:p>
        </w:tc>
        <w:tc>
          <w:tcPr>
            <w:tcW w:w="426" w:type="pct"/>
            <w:tcBorders>
              <w:bottom w:val="single" w:color="auto" w:sz="4" w:space="0"/>
            </w:tcBorders>
            <w:vAlign w:val="center"/>
          </w:tcPr>
          <w:p>
            <w:pPr>
              <w:pStyle w:val="190"/>
              <w:snapToGrid w:val="0"/>
              <w:spacing w:line="2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建筑</w:t>
            </w:r>
          </w:p>
          <w:p>
            <w:pPr>
              <w:pStyle w:val="190"/>
              <w:snapToGrid w:val="0"/>
              <w:spacing w:line="2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垃圾</w:t>
            </w:r>
          </w:p>
        </w:tc>
        <w:tc>
          <w:tcPr>
            <w:tcW w:w="597" w:type="pct"/>
            <w:tcBorders>
              <w:bottom w:val="single" w:color="auto" w:sz="4" w:space="0"/>
            </w:tcBorders>
            <w:vAlign w:val="center"/>
          </w:tcPr>
          <w:p>
            <w:pPr>
              <w:pStyle w:val="190"/>
              <w:snapToGrid w:val="0"/>
              <w:spacing w:line="2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废包装材料、砂石块</w:t>
            </w:r>
          </w:p>
        </w:tc>
        <w:tc>
          <w:tcPr>
            <w:tcW w:w="2134" w:type="pct"/>
            <w:tcBorders>
              <w:bottom w:val="single" w:color="auto" w:sz="4" w:space="0"/>
            </w:tcBorders>
            <w:vAlign w:val="center"/>
          </w:tcPr>
          <w:p>
            <w:pPr>
              <w:pStyle w:val="190"/>
              <w:snapToGrid w:val="0"/>
              <w:spacing w:line="2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废包装材料有施工单位进行收集、回收利用，减少对周围环境的污染，砂石、水泥块尽量就地消化利用，提高建筑垃圾的回用率。</w:t>
            </w:r>
          </w:p>
        </w:tc>
        <w:tc>
          <w:tcPr>
            <w:tcW w:w="1331" w:type="pct"/>
            <w:tcBorders>
              <w:bottom w:val="single" w:color="auto" w:sz="4" w:space="0"/>
            </w:tcBorders>
            <w:vAlign w:val="center"/>
          </w:tcPr>
          <w:p>
            <w:pPr>
              <w:pStyle w:val="190"/>
              <w:snapToGrid w:val="0"/>
              <w:spacing w:line="2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对环境影响轻微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2" w:hRule="atLeast"/>
          <w:jc w:val="center"/>
        </w:trPr>
        <w:tc>
          <w:tcPr>
            <w:tcW w:w="253" w:type="pct"/>
            <w:vMerge w:val="continue"/>
            <w:vAlign w:val="center"/>
          </w:tcPr>
          <w:p>
            <w:pPr>
              <w:snapToGrid w:val="0"/>
              <w:jc w:val="center"/>
              <w:rPr>
                <w:rFonts w:hint="default" w:ascii="Times New Roman" w:hAnsi="Times New Roman" w:eastAsia="宋体" w:cs="Times New Roman"/>
                <w:color w:val="auto"/>
                <w:sz w:val="21"/>
                <w:szCs w:val="21"/>
              </w:rPr>
            </w:pPr>
          </w:p>
        </w:tc>
        <w:tc>
          <w:tcPr>
            <w:tcW w:w="256" w:type="pct"/>
            <w:vMerge w:val="continue"/>
            <w:tcBorders>
              <w:bottom w:val="single" w:color="auto" w:sz="4" w:space="0"/>
            </w:tcBorders>
            <w:vAlign w:val="center"/>
          </w:tcPr>
          <w:p>
            <w:pPr>
              <w:snapToGrid w:val="0"/>
              <w:spacing w:line="260" w:lineRule="exact"/>
              <w:jc w:val="center"/>
              <w:rPr>
                <w:rFonts w:hint="default" w:ascii="Times New Roman" w:hAnsi="Times New Roman" w:eastAsia="宋体" w:cs="Times New Roman"/>
                <w:color w:val="auto"/>
                <w:sz w:val="21"/>
                <w:szCs w:val="21"/>
              </w:rPr>
            </w:pPr>
          </w:p>
        </w:tc>
        <w:tc>
          <w:tcPr>
            <w:tcW w:w="426" w:type="pct"/>
            <w:tcBorders>
              <w:bottom w:val="single" w:color="000000" w:sz="4" w:space="0"/>
            </w:tcBorders>
            <w:vAlign w:val="center"/>
          </w:tcPr>
          <w:p>
            <w:pPr>
              <w:pStyle w:val="190"/>
              <w:snapToGrid w:val="0"/>
              <w:spacing w:line="2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施工</w:t>
            </w:r>
          </w:p>
          <w:p>
            <w:pPr>
              <w:pStyle w:val="190"/>
              <w:snapToGrid w:val="0"/>
              <w:spacing w:line="2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人员</w:t>
            </w:r>
          </w:p>
        </w:tc>
        <w:tc>
          <w:tcPr>
            <w:tcW w:w="597" w:type="pct"/>
            <w:tcBorders>
              <w:bottom w:val="single" w:color="000000" w:sz="4" w:space="0"/>
            </w:tcBorders>
            <w:vAlign w:val="center"/>
          </w:tcPr>
          <w:p>
            <w:pPr>
              <w:pStyle w:val="190"/>
              <w:snapToGrid w:val="0"/>
              <w:spacing w:line="2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生活</w:t>
            </w:r>
          </w:p>
          <w:p>
            <w:pPr>
              <w:pStyle w:val="190"/>
              <w:snapToGrid w:val="0"/>
              <w:spacing w:line="2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垃圾</w:t>
            </w:r>
          </w:p>
        </w:tc>
        <w:tc>
          <w:tcPr>
            <w:tcW w:w="2134" w:type="pct"/>
            <w:tcBorders>
              <w:bottom w:val="single" w:color="000000" w:sz="4" w:space="0"/>
            </w:tcBorders>
            <w:vAlign w:val="center"/>
          </w:tcPr>
          <w:p>
            <w:pPr>
              <w:pStyle w:val="190"/>
              <w:snapToGrid w:val="0"/>
              <w:spacing w:line="26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生活垃圾集中堆放或放置在站内设置的垃圾箱内，统一</w:t>
            </w:r>
            <w:r>
              <w:rPr>
                <w:rFonts w:hint="default" w:ascii="Times New Roman" w:hAnsi="Times New Roman" w:eastAsia="宋体" w:cs="Times New Roman"/>
                <w:snapToGrid w:val="0"/>
                <w:color w:val="auto"/>
                <w:sz w:val="21"/>
                <w:szCs w:val="21"/>
              </w:rPr>
              <w:t>环卫部门外运</w:t>
            </w:r>
            <w:r>
              <w:rPr>
                <w:rFonts w:hint="default" w:ascii="Times New Roman" w:hAnsi="Times New Roman" w:eastAsia="宋体" w:cs="Times New Roman"/>
                <w:color w:val="auto"/>
                <w:sz w:val="21"/>
                <w:szCs w:val="21"/>
              </w:rPr>
              <w:t>。</w:t>
            </w:r>
          </w:p>
        </w:tc>
        <w:tc>
          <w:tcPr>
            <w:tcW w:w="1331" w:type="pct"/>
            <w:tcBorders>
              <w:bottom w:val="single" w:color="000000" w:sz="4" w:space="0"/>
            </w:tcBorders>
            <w:vAlign w:val="center"/>
          </w:tcPr>
          <w:p>
            <w:pPr>
              <w:pStyle w:val="190"/>
              <w:snapToGrid w:val="0"/>
              <w:spacing w:line="26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满足环保要求，对环境无明显影响。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26" w:hRule="atLeast"/>
          <w:jc w:val="center"/>
        </w:trPr>
        <w:tc>
          <w:tcPr>
            <w:tcW w:w="253" w:type="pct"/>
            <w:vMerge w:val="continue"/>
            <w:vAlign w:val="center"/>
          </w:tcPr>
          <w:p>
            <w:pPr>
              <w:snapToGrid w:val="0"/>
              <w:jc w:val="center"/>
              <w:rPr>
                <w:rFonts w:hint="default" w:ascii="Times New Roman" w:hAnsi="Times New Roman" w:eastAsia="宋体" w:cs="Times New Roman"/>
                <w:color w:val="auto"/>
                <w:sz w:val="21"/>
                <w:szCs w:val="21"/>
              </w:rPr>
            </w:pPr>
          </w:p>
        </w:tc>
        <w:tc>
          <w:tcPr>
            <w:tcW w:w="256" w:type="pct"/>
            <w:vMerge w:val="restart"/>
            <w:tcBorders>
              <w:top w:val="single" w:color="000000" w:sz="4" w:space="0"/>
            </w:tcBorders>
            <w:vAlign w:val="center"/>
          </w:tcPr>
          <w:p>
            <w:pPr>
              <w:snapToGrid w:val="0"/>
              <w:spacing w:line="260" w:lineRule="exact"/>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运行期</w:t>
            </w:r>
          </w:p>
        </w:tc>
        <w:tc>
          <w:tcPr>
            <w:tcW w:w="426" w:type="pct"/>
            <w:vMerge w:val="restart"/>
            <w:tcBorders>
              <w:top w:val="single" w:color="000000" w:sz="4" w:space="0"/>
            </w:tcBorders>
            <w:vAlign w:val="center"/>
          </w:tcPr>
          <w:p>
            <w:pPr>
              <w:pStyle w:val="190"/>
              <w:snapToGrid w:val="0"/>
              <w:spacing w:line="2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生产区</w:t>
            </w:r>
          </w:p>
        </w:tc>
        <w:tc>
          <w:tcPr>
            <w:tcW w:w="597" w:type="pct"/>
            <w:tcBorders>
              <w:top w:val="single" w:color="auto" w:sz="2" w:space="0"/>
              <w:bottom w:val="single" w:color="auto" w:sz="4" w:space="0"/>
            </w:tcBorders>
            <w:vAlign w:val="center"/>
          </w:tcPr>
          <w:p>
            <w:pPr>
              <w:pStyle w:val="190"/>
              <w:snapToGrid w:val="0"/>
              <w:spacing w:line="2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废蓄电池</w:t>
            </w:r>
          </w:p>
        </w:tc>
        <w:tc>
          <w:tcPr>
            <w:tcW w:w="2134" w:type="pct"/>
            <w:vMerge w:val="restart"/>
            <w:tcBorders>
              <w:top w:val="single" w:color="auto" w:sz="2" w:space="0"/>
            </w:tcBorders>
            <w:vAlign w:val="center"/>
          </w:tcPr>
          <w:p>
            <w:pPr>
              <w:pStyle w:val="190"/>
              <w:snapToGrid w:val="0"/>
              <w:spacing w:line="26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场内设置危废暂存间及事故油池对产生的废蓄电池和废变压器油进行暂存；废蓄电池和废变压器油均属于危险废物，应先向当地主管环境保护部门进行申报登记，环保部门同意后按照《危险废物转移联单管理办法》填写危险废物转移五联单，由有危险废物处置资质的单位进行回收、运输和处置。</w:t>
            </w:r>
          </w:p>
        </w:tc>
        <w:tc>
          <w:tcPr>
            <w:tcW w:w="1331" w:type="pct"/>
            <w:vMerge w:val="restart"/>
            <w:vAlign w:val="center"/>
          </w:tcPr>
          <w:p>
            <w:pPr>
              <w:pStyle w:val="190"/>
              <w:snapToGrid w:val="0"/>
              <w:spacing w:line="260" w:lineRule="exac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不产生二次污染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04" w:hRule="atLeast"/>
          <w:jc w:val="center"/>
        </w:trPr>
        <w:tc>
          <w:tcPr>
            <w:tcW w:w="253" w:type="pct"/>
            <w:vMerge w:val="continue"/>
            <w:vAlign w:val="center"/>
          </w:tcPr>
          <w:p>
            <w:pPr>
              <w:snapToGrid w:val="0"/>
              <w:jc w:val="center"/>
              <w:rPr>
                <w:rFonts w:hint="default" w:ascii="Times New Roman" w:hAnsi="Times New Roman" w:eastAsia="宋体" w:cs="Times New Roman"/>
                <w:color w:val="auto"/>
                <w:sz w:val="21"/>
                <w:szCs w:val="21"/>
              </w:rPr>
            </w:pPr>
          </w:p>
        </w:tc>
        <w:tc>
          <w:tcPr>
            <w:tcW w:w="256" w:type="pct"/>
            <w:vMerge w:val="continue"/>
            <w:vAlign w:val="center"/>
          </w:tcPr>
          <w:p>
            <w:pPr>
              <w:snapToGrid w:val="0"/>
              <w:spacing w:line="260" w:lineRule="exact"/>
              <w:jc w:val="center"/>
              <w:rPr>
                <w:rFonts w:hint="default" w:ascii="Times New Roman" w:hAnsi="Times New Roman" w:eastAsia="宋体" w:cs="Times New Roman"/>
                <w:color w:val="auto"/>
                <w:sz w:val="21"/>
                <w:szCs w:val="21"/>
              </w:rPr>
            </w:pPr>
          </w:p>
        </w:tc>
        <w:tc>
          <w:tcPr>
            <w:tcW w:w="426" w:type="pct"/>
            <w:vMerge w:val="continue"/>
            <w:vAlign w:val="center"/>
          </w:tcPr>
          <w:p>
            <w:pPr>
              <w:pStyle w:val="190"/>
              <w:snapToGrid w:val="0"/>
              <w:spacing w:line="260" w:lineRule="exact"/>
              <w:jc w:val="center"/>
              <w:rPr>
                <w:rFonts w:hint="default" w:ascii="Times New Roman" w:hAnsi="Times New Roman" w:eastAsia="宋体" w:cs="Times New Roman"/>
                <w:color w:val="auto"/>
                <w:sz w:val="21"/>
                <w:szCs w:val="21"/>
              </w:rPr>
            </w:pPr>
          </w:p>
        </w:tc>
        <w:tc>
          <w:tcPr>
            <w:tcW w:w="597" w:type="pct"/>
            <w:tcBorders>
              <w:top w:val="single" w:color="auto" w:sz="2" w:space="0"/>
              <w:bottom w:val="single" w:color="auto" w:sz="4" w:space="0"/>
            </w:tcBorders>
            <w:vAlign w:val="center"/>
          </w:tcPr>
          <w:p>
            <w:pPr>
              <w:pStyle w:val="190"/>
              <w:snapToGrid w:val="0"/>
              <w:spacing w:line="2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废变压器油</w:t>
            </w:r>
          </w:p>
        </w:tc>
        <w:tc>
          <w:tcPr>
            <w:tcW w:w="2134" w:type="pct"/>
            <w:vMerge w:val="continue"/>
            <w:tcBorders>
              <w:bottom w:val="single" w:color="auto" w:sz="4" w:space="0"/>
            </w:tcBorders>
            <w:vAlign w:val="center"/>
          </w:tcPr>
          <w:p>
            <w:pPr>
              <w:pStyle w:val="190"/>
              <w:snapToGrid w:val="0"/>
              <w:spacing w:line="260" w:lineRule="exact"/>
              <w:rPr>
                <w:rFonts w:hint="default" w:ascii="Times New Roman" w:hAnsi="Times New Roman" w:eastAsia="宋体" w:cs="Times New Roman"/>
                <w:color w:val="auto"/>
                <w:sz w:val="21"/>
                <w:szCs w:val="21"/>
              </w:rPr>
            </w:pPr>
          </w:p>
        </w:tc>
        <w:tc>
          <w:tcPr>
            <w:tcW w:w="1331" w:type="pct"/>
            <w:vMerge w:val="continue"/>
            <w:vAlign w:val="center"/>
          </w:tcPr>
          <w:p>
            <w:pPr>
              <w:pStyle w:val="190"/>
              <w:snapToGrid w:val="0"/>
              <w:spacing w:line="260" w:lineRule="exact"/>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0" w:hRule="atLeast"/>
          <w:jc w:val="center"/>
        </w:trPr>
        <w:tc>
          <w:tcPr>
            <w:tcW w:w="253" w:type="pct"/>
            <w:vMerge w:val="continue"/>
            <w:tcBorders>
              <w:bottom w:val="single" w:color="auto" w:sz="4" w:space="0"/>
            </w:tcBorders>
            <w:vAlign w:val="center"/>
          </w:tcPr>
          <w:p>
            <w:pPr>
              <w:snapToGrid w:val="0"/>
              <w:jc w:val="center"/>
              <w:rPr>
                <w:rFonts w:hint="default" w:ascii="Times New Roman" w:hAnsi="Times New Roman" w:eastAsia="宋体" w:cs="Times New Roman"/>
                <w:color w:val="auto"/>
                <w:sz w:val="21"/>
                <w:szCs w:val="21"/>
              </w:rPr>
            </w:pPr>
          </w:p>
        </w:tc>
        <w:tc>
          <w:tcPr>
            <w:tcW w:w="256" w:type="pct"/>
            <w:vMerge w:val="continue"/>
            <w:tcBorders>
              <w:bottom w:val="single" w:color="auto" w:sz="4" w:space="0"/>
            </w:tcBorders>
            <w:vAlign w:val="center"/>
          </w:tcPr>
          <w:p>
            <w:pPr>
              <w:snapToGrid w:val="0"/>
              <w:spacing w:line="260" w:lineRule="exact"/>
              <w:jc w:val="center"/>
              <w:rPr>
                <w:rFonts w:hint="default" w:ascii="Times New Roman" w:hAnsi="Times New Roman" w:eastAsia="宋体" w:cs="Times New Roman"/>
                <w:color w:val="auto"/>
                <w:sz w:val="21"/>
                <w:szCs w:val="21"/>
              </w:rPr>
            </w:pPr>
          </w:p>
        </w:tc>
        <w:tc>
          <w:tcPr>
            <w:tcW w:w="426" w:type="pct"/>
            <w:vMerge w:val="continue"/>
            <w:tcBorders>
              <w:bottom w:val="single" w:color="auto" w:sz="4" w:space="0"/>
            </w:tcBorders>
            <w:vAlign w:val="center"/>
          </w:tcPr>
          <w:p>
            <w:pPr>
              <w:pStyle w:val="190"/>
              <w:snapToGrid w:val="0"/>
              <w:spacing w:line="260" w:lineRule="exact"/>
              <w:jc w:val="center"/>
              <w:rPr>
                <w:rFonts w:hint="default" w:ascii="Times New Roman" w:hAnsi="Times New Roman" w:eastAsia="宋体" w:cs="Times New Roman"/>
                <w:color w:val="auto"/>
                <w:sz w:val="21"/>
                <w:szCs w:val="21"/>
              </w:rPr>
            </w:pPr>
          </w:p>
        </w:tc>
        <w:tc>
          <w:tcPr>
            <w:tcW w:w="597" w:type="pct"/>
            <w:tcBorders>
              <w:top w:val="single" w:color="auto" w:sz="4" w:space="0"/>
              <w:bottom w:val="single" w:color="auto" w:sz="4" w:space="0"/>
            </w:tcBorders>
            <w:vAlign w:val="center"/>
          </w:tcPr>
          <w:p>
            <w:pPr>
              <w:pStyle w:val="190"/>
              <w:snapToGrid w:val="0"/>
              <w:spacing w:line="2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废光伏组件</w:t>
            </w:r>
          </w:p>
        </w:tc>
        <w:tc>
          <w:tcPr>
            <w:tcW w:w="2134" w:type="pct"/>
            <w:tcBorders>
              <w:top w:val="single" w:color="auto" w:sz="4" w:space="0"/>
              <w:bottom w:val="single" w:color="auto" w:sz="4" w:space="0"/>
            </w:tcBorders>
            <w:vAlign w:val="center"/>
          </w:tcPr>
          <w:p>
            <w:pPr>
              <w:pStyle w:val="190"/>
              <w:snapToGrid w:val="0"/>
              <w:spacing w:line="26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厂家回收</w:t>
            </w:r>
          </w:p>
        </w:tc>
        <w:tc>
          <w:tcPr>
            <w:tcW w:w="1331" w:type="pct"/>
            <w:vMerge w:val="continue"/>
            <w:tcBorders>
              <w:bottom w:val="single" w:color="auto" w:sz="4" w:space="0"/>
            </w:tcBorders>
            <w:vAlign w:val="center"/>
          </w:tcPr>
          <w:p>
            <w:pPr>
              <w:pStyle w:val="190"/>
              <w:snapToGrid w:val="0"/>
              <w:spacing w:line="260" w:lineRule="exact"/>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5" w:hRule="atLeast"/>
          <w:jc w:val="center"/>
        </w:trPr>
        <w:tc>
          <w:tcPr>
            <w:tcW w:w="253" w:type="pct"/>
            <w:vMerge w:val="restart"/>
            <w:vAlign w:val="center"/>
          </w:tcPr>
          <w:p>
            <w:pPr>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大气污染物</w:t>
            </w:r>
          </w:p>
        </w:tc>
        <w:tc>
          <w:tcPr>
            <w:tcW w:w="256" w:type="pct"/>
            <w:tcBorders>
              <w:bottom w:val="single" w:color="auto" w:sz="4" w:space="0"/>
            </w:tcBorders>
            <w:vAlign w:val="center"/>
          </w:tcPr>
          <w:p>
            <w:pPr>
              <w:snapToGrid w:val="0"/>
              <w:spacing w:line="2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施工期</w:t>
            </w:r>
          </w:p>
        </w:tc>
        <w:tc>
          <w:tcPr>
            <w:tcW w:w="426" w:type="pct"/>
            <w:vAlign w:val="center"/>
          </w:tcPr>
          <w:p>
            <w:pPr>
              <w:pStyle w:val="190"/>
              <w:snapToGrid w:val="0"/>
              <w:spacing w:line="2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施工</w:t>
            </w:r>
          </w:p>
          <w:p>
            <w:pPr>
              <w:pStyle w:val="190"/>
              <w:snapToGrid w:val="0"/>
              <w:spacing w:line="2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场地</w:t>
            </w:r>
          </w:p>
        </w:tc>
        <w:tc>
          <w:tcPr>
            <w:tcW w:w="597" w:type="pct"/>
            <w:vAlign w:val="center"/>
          </w:tcPr>
          <w:p>
            <w:pPr>
              <w:pStyle w:val="190"/>
              <w:snapToGrid w:val="0"/>
              <w:spacing w:line="2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扬尘</w:t>
            </w:r>
          </w:p>
        </w:tc>
        <w:tc>
          <w:tcPr>
            <w:tcW w:w="2134" w:type="pct"/>
            <w:vAlign w:val="center"/>
          </w:tcPr>
          <w:p>
            <w:pPr>
              <w:pStyle w:val="190"/>
              <w:snapToGrid w:val="0"/>
              <w:spacing w:line="26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各类建筑材料应轻装轻卸，运输车辆上应覆盖蓬布进行有效遮掩；各类砂石料应集中堆放，并用篷布苫盖；施工车辆减速慢行；在干燥天气时应适当洒水，大风天时应增加洒水次数。</w:t>
            </w:r>
          </w:p>
        </w:tc>
        <w:tc>
          <w:tcPr>
            <w:tcW w:w="1331" w:type="pct"/>
            <w:vAlign w:val="center"/>
          </w:tcPr>
          <w:p>
            <w:pPr>
              <w:pStyle w:val="190"/>
              <w:snapToGrid w:val="0"/>
              <w:spacing w:line="26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满足《大气污染物综合排放标准》(GB16297-1996)无组织排放要求。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0" w:hRule="atLeast"/>
          <w:jc w:val="center"/>
        </w:trPr>
        <w:tc>
          <w:tcPr>
            <w:tcW w:w="253" w:type="pct"/>
            <w:vMerge w:val="continue"/>
            <w:vAlign w:val="center"/>
          </w:tcPr>
          <w:p>
            <w:pPr>
              <w:snapToGrid w:val="0"/>
              <w:jc w:val="center"/>
              <w:rPr>
                <w:rFonts w:hint="default" w:ascii="Times New Roman" w:hAnsi="Times New Roman" w:eastAsia="宋体" w:cs="Times New Roman"/>
                <w:color w:val="auto"/>
                <w:sz w:val="21"/>
                <w:szCs w:val="21"/>
              </w:rPr>
            </w:pPr>
          </w:p>
        </w:tc>
        <w:tc>
          <w:tcPr>
            <w:tcW w:w="256" w:type="pct"/>
            <w:tcBorders>
              <w:bottom w:val="single" w:color="auto" w:sz="4" w:space="0"/>
            </w:tcBorders>
            <w:vAlign w:val="center"/>
          </w:tcPr>
          <w:p>
            <w:pPr>
              <w:snapToGrid w:val="0"/>
              <w:spacing w:line="2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运行期</w:t>
            </w:r>
          </w:p>
        </w:tc>
        <w:tc>
          <w:tcPr>
            <w:tcW w:w="426" w:type="pct"/>
            <w:vAlign w:val="center"/>
          </w:tcPr>
          <w:p>
            <w:pPr>
              <w:pStyle w:val="190"/>
              <w:snapToGrid w:val="0"/>
              <w:spacing w:line="26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597" w:type="pct"/>
            <w:vAlign w:val="center"/>
          </w:tcPr>
          <w:p>
            <w:pPr>
              <w:pStyle w:val="190"/>
              <w:snapToGrid w:val="0"/>
              <w:spacing w:line="26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2134" w:type="pct"/>
            <w:vAlign w:val="center"/>
          </w:tcPr>
          <w:p>
            <w:pPr>
              <w:pStyle w:val="190"/>
              <w:snapToGrid w:val="0"/>
              <w:spacing w:line="26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331" w:type="pct"/>
            <w:vAlign w:val="center"/>
          </w:tcPr>
          <w:p>
            <w:pPr>
              <w:pStyle w:val="190"/>
              <w:snapToGrid w:val="0"/>
              <w:spacing w:line="26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70" w:hRule="atLeast"/>
          <w:jc w:val="center"/>
        </w:trPr>
        <w:tc>
          <w:tcPr>
            <w:tcW w:w="253" w:type="pct"/>
            <w:vMerge w:val="restart"/>
            <w:vAlign w:val="center"/>
          </w:tcPr>
          <w:p>
            <w:pPr>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水污染物</w:t>
            </w:r>
          </w:p>
        </w:tc>
        <w:tc>
          <w:tcPr>
            <w:tcW w:w="256" w:type="pct"/>
            <w:vMerge w:val="restart"/>
            <w:vAlign w:val="center"/>
          </w:tcPr>
          <w:p>
            <w:pPr>
              <w:snapToGrid w:val="0"/>
              <w:spacing w:line="2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施工期</w:t>
            </w:r>
          </w:p>
        </w:tc>
        <w:tc>
          <w:tcPr>
            <w:tcW w:w="426" w:type="pct"/>
            <w:tcBorders>
              <w:bottom w:val="single" w:color="000000" w:sz="2" w:space="0"/>
            </w:tcBorders>
            <w:vAlign w:val="center"/>
          </w:tcPr>
          <w:p>
            <w:pPr>
              <w:pStyle w:val="190"/>
              <w:snapToGrid w:val="0"/>
              <w:spacing w:line="2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机械</w:t>
            </w:r>
          </w:p>
          <w:p>
            <w:pPr>
              <w:pStyle w:val="190"/>
              <w:snapToGrid w:val="0"/>
              <w:spacing w:line="2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设备</w:t>
            </w:r>
          </w:p>
          <w:p>
            <w:pPr>
              <w:pStyle w:val="190"/>
              <w:snapToGrid w:val="0"/>
              <w:spacing w:line="2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施工</w:t>
            </w:r>
          </w:p>
          <w:p>
            <w:pPr>
              <w:pStyle w:val="190"/>
              <w:snapToGrid w:val="0"/>
              <w:spacing w:line="2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环节</w:t>
            </w:r>
          </w:p>
          <w:p>
            <w:pPr>
              <w:pStyle w:val="190"/>
              <w:snapToGrid w:val="0"/>
              <w:spacing w:line="260" w:lineRule="exact"/>
              <w:jc w:val="center"/>
              <w:rPr>
                <w:rFonts w:hint="default" w:ascii="Times New Roman" w:hAnsi="Times New Roman" w:eastAsia="宋体" w:cs="Times New Roman"/>
                <w:color w:val="auto"/>
                <w:sz w:val="21"/>
                <w:szCs w:val="21"/>
              </w:rPr>
            </w:pPr>
          </w:p>
        </w:tc>
        <w:tc>
          <w:tcPr>
            <w:tcW w:w="597" w:type="pct"/>
            <w:vMerge w:val="restart"/>
            <w:vAlign w:val="center"/>
          </w:tcPr>
          <w:p>
            <w:pPr>
              <w:pStyle w:val="190"/>
              <w:snapToGrid w:val="0"/>
              <w:spacing w:line="2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SS、BOD、COD</w:t>
            </w:r>
            <w:r>
              <w:rPr>
                <w:rFonts w:hint="default" w:ascii="Times New Roman" w:hAnsi="Times New Roman" w:eastAsia="宋体" w:cs="Times New Roman"/>
                <w:color w:val="auto"/>
                <w:sz w:val="21"/>
                <w:szCs w:val="21"/>
                <w:vertAlign w:val="subscript"/>
              </w:rPr>
              <w:t>cr</w:t>
            </w:r>
            <w:r>
              <w:rPr>
                <w:rFonts w:hint="default" w:ascii="Times New Roman" w:hAnsi="Times New Roman" w:eastAsia="宋体" w:cs="Times New Roman"/>
                <w:color w:val="auto"/>
                <w:sz w:val="21"/>
                <w:szCs w:val="21"/>
              </w:rPr>
              <w:t>、</w:t>
            </w:r>
          </w:p>
          <w:p>
            <w:pPr>
              <w:pStyle w:val="190"/>
              <w:snapToGrid w:val="0"/>
              <w:spacing w:line="2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氨氮</w:t>
            </w:r>
          </w:p>
        </w:tc>
        <w:tc>
          <w:tcPr>
            <w:tcW w:w="2134" w:type="pct"/>
            <w:vAlign w:val="center"/>
          </w:tcPr>
          <w:p>
            <w:pPr>
              <w:autoSpaceDE w:val="0"/>
              <w:autoSpaceDN w:val="0"/>
              <w:adjustRightInd w:val="0"/>
              <w:snapToGrid w:val="0"/>
              <w:spacing w:line="260" w:lineRule="exact"/>
              <w:jc w:val="lef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生产废水：采用隔油、沉淀处理后用于施工降尘，全部蒸发消耗。</w:t>
            </w:r>
          </w:p>
        </w:tc>
        <w:tc>
          <w:tcPr>
            <w:tcW w:w="1331" w:type="pct"/>
            <w:vMerge w:val="restart"/>
            <w:vAlign w:val="center"/>
          </w:tcPr>
          <w:p>
            <w:pPr>
              <w:pStyle w:val="190"/>
              <w:snapToGrid w:val="0"/>
              <w:spacing w:line="26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废水不外排，对环境影响较小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27" w:hRule="atLeast"/>
          <w:jc w:val="center"/>
        </w:trPr>
        <w:tc>
          <w:tcPr>
            <w:tcW w:w="253" w:type="pct"/>
            <w:vMerge w:val="continue"/>
            <w:vAlign w:val="center"/>
          </w:tcPr>
          <w:p>
            <w:pPr>
              <w:snapToGrid w:val="0"/>
              <w:jc w:val="center"/>
              <w:rPr>
                <w:rFonts w:hint="default" w:ascii="Times New Roman" w:hAnsi="Times New Roman" w:eastAsia="宋体" w:cs="Times New Roman"/>
                <w:color w:val="auto"/>
                <w:sz w:val="21"/>
                <w:szCs w:val="21"/>
              </w:rPr>
            </w:pPr>
          </w:p>
        </w:tc>
        <w:tc>
          <w:tcPr>
            <w:tcW w:w="256" w:type="pct"/>
            <w:vMerge w:val="continue"/>
            <w:vAlign w:val="center"/>
          </w:tcPr>
          <w:p>
            <w:pPr>
              <w:snapToGrid w:val="0"/>
              <w:spacing w:line="260" w:lineRule="exact"/>
              <w:jc w:val="center"/>
              <w:rPr>
                <w:rFonts w:hint="default" w:ascii="Times New Roman" w:hAnsi="Times New Roman" w:eastAsia="宋体" w:cs="Times New Roman"/>
                <w:color w:val="auto"/>
                <w:sz w:val="21"/>
                <w:szCs w:val="21"/>
              </w:rPr>
            </w:pPr>
          </w:p>
        </w:tc>
        <w:tc>
          <w:tcPr>
            <w:tcW w:w="426" w:type="pct"/>
            <w:tcBorders>
              <w:top w:val="single" w:color="000000" w:sz="2" w:space="0"/>
            </w:tcBorders>
            <w:vAlign w:val="center"/>
          </w:tcPr>
          <w:p>
            <w:pPr>
              <w:pStyle w:val="190"/>
              <w:snapToGrid w:val="0"/>
              <w:spacing w:line="2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施工</w:t>
            </w:r>
          </w:p>
          <w:p>
            <w:pPr>
              <w:pStyle w:val="190"/>
              <w:snapToGrid w:val="0"/>
              <w:spacing w:line="2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人员</w:t>
            </w:r>
          </w:p>
        </w:tc>
        <w:tc>
          <w:tcPr>
            <w:tcW w:w="597" w:type="pct"/>
            <w:vMerge w:val="continue"/>
            <w:tcBorders>
              <w:bottom w:val="single" w:color="000000" w:sz="4" w:space="0"/>
            </w:tcBorders>
            <w:vAlign w:val="center"/>
          </w:tcPr>
          <w:p>
            <w:pPr>
              <w:pStyle w:val="190"/>
              <w:snapToGrid w:val="0"/>
              <w:spacing w:line="260" w:lineRule="exact"/>
              <w:jc w:val="center"/>
              <w:rPr>
                <w:rFonts w:hint="default" w:ascii="Times New Roman" w:hAnsi="Times New Roman" w:eastAsia="宋体" w:cs="Times New Roman"/>
                <w:color w:val="auto"/>
                <w:sz w:val="21"/>
                <w:szCs w:val="21"/>
              </w:rPr>
            </w:pPr>
          </w:p>
        </w:tc>
        <w:tc>
          <w:tcPr>
            <w:tcW w:w="2134" w:type="pct"/>
            <w:tcBorders>
              <w:bottom w:val="single" w:color="000000" w:sz="4" w:space="0"/>
            </w:tcBorders>
            <w:vAlign w:val="center"/>
          </w:tcPr>
          <w:p>
            <w:pPr>
              <w:autoSpaceDE w:val="0"/>
              <w:autoSpaceDN w:val="0"/>
              <w:adjustRightInd w:val="0"/>
              <w:snapToGrid w:val="0"/>
              <w:spacing w:line="260" w:lineRule="exact"/>
              <w:jc w:val="lef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生活污水：旱厕池采用混凝土砌筑，防止污水下渗；洗漱用水集中收集，用作施工场地洒水或道路降尘用水。</w:t>
            </w:r>
          </w:p>
        </w:tc>
        <w:tc>
          <w:tcPr>
            <w:tcW w:w="1331" w:type="pct"/>
            <w:vMerge w:val="continue"/>
            <w:tcBorders>
              <w:bottom w:val="single" w:color="000000" w:sz="4" w:space="0"/>
            </w:tcBorders>
            <w:vAlign w:val="center"/>
          </w:tcPr>
          <w:p>
            <w:pPr>
              <w:pStyle w:val="190"/>
              <w:snapToGrid w:val="0"/>
              <w:spacing w:line="260" w:lineRule="exact"/>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1" w:hRule="atLeast"/>
          <w:jc w:val="center"/>
        </w:trPr>
        <w:tc>
          <w:tcPr>
            <w:tcW w:w="253" w:type="pct"/>
            <w:vMerge w:val="continue"/>
            <w:vAlign w:val="center"/>
          </w:tcPr>
          <w:p>
            <w:pPr>
              <w:snapToGrid w:val="0"/>
              <w:jc w:val="center"/>
              <w:rPr>
                <w:rFonts w:hint="default" w:ascii="Times New Roman" w:hAnsi="Times New Roman" w:eastAsia="宋体" w:cs="Times New Roman"/>
                <w:color w:val="auto"/>
                <w:sz w:val="21"/>
                <w:szCs w:val="21"/>
              </w:rPr>
            </w:pPr>
          </w:p>
        </w:tc>
        <w:tc>
          <w:tcPr>
            <w:tcW w:w="256" w:type="pct"/>
            <w:vAlign w:val="center"/>
          </w:tcPr>
          <w:p>
            <w:pPr>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运行期</w:t>
            </w:r>
          </w:p>
        </w:tc>
        <w:tc>
          <w:tcPr>
            <w:tcW w:w="426" w:type="pct"/>
            <w:vAlign w:val="center"/>
          </w:tcPr>
          <w:p>
            <w:pPr>
              <w:pStyle w:val="190"/>
              <w:snapToGrid w:val="0"/>
              <w:spacing w:line="26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c>
          <w:tcPr>
            <w:tcW w:w="597" w:type="pct"/>
            <w:tcBorders>
              <w:top w:val="single" w:color="000000" w:sz="4" w:space="0"/>
            </w:tcBorders>
            <w:vAlign w:val="center"/>
          </w:tcPr>
          <w:p>
            <w:pPr>
              <w:pStyle w:val="190"/>
              <w:snapToGrid w:val="0"/>
              <w:spacing w:line="26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c>
          <w:tcPr>
            <w:tcW w:w="2134" w:type="pct"/>
            <w:tcBorders>
              <w:top w:val="single" w:color="000000" w:sz="4" w:space="0"/>
            </w:tcBorders>
            <w:vAlign w:val="center"/>
          </w:tcPr>
          <w:p>
            <w:pPr>
              <w:pStyle w:val="190"/>
              <w:snapToGrid w:val="0"/>
              <w:spacing w:line="26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c>
          <w:tcPr>
            <w:tcW w:w="1331" w:type="pct"/>
            <w:tcBorders>
              <w:top w:val="single" w:color="000000" w:sz="4" w:space="0"/>
            </w:tcBorders>
            <w:vAlign w:val="center"/>
          </w:tcPr>
          <w:p>
            <w:pPr>
              <w:pStyle w:val="190"/>
              <w:snapToGrid w:val="0"/>
              <w:spacing w:line="26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8" w:hRule="atLeast"/>
          <w:jc w:val="center"/>
        </w:trPr>
        <w:tc>
          <w:tcPr>
            <w:tcW w:w="5000" w:type="pct"/>
            <w:gridSpan w:val="6"/>
            <w:vAlign w:val="center"/>
          </w:tcPr>
          <w:p>
            <w:pPr>
              <w:pStyle w:val="190"/>
              <w:spacing w:line="400" w:lineRule="exact"/>
              <w:rPr>
                <w:rFonts w:hint="default" w:ascii="Times New Roman" w:hAnsi="Times New Roman" w:eastAsia="宋体" w:cs="Times New Roman"/>
                <w:color w:val="auto"/>
                <w:kern w:val="2"/>
                <w:sz w:val="21"/>
                <w:szCs w:val="24"/>
                <w:lang w:val="en-GB" w:eastAsia="zh-TW" w:bidi="ar-SA"/>
              </w:rPr>
            </w:pPr>
            <w:r>
              <w:rPr>
                <w:rFonts w:hint="default" w:ascii="Times New Roman" w:hAnsi="Times New Roman" w:eastAsia="宋体" w:cs="Times New Roman"/>
                <w:color w:val="auto"/>
                <w:kern w:val="2"/>
                <w:sz w:val="21"/>
                <w:szCs w:val="24"/>
                <w:lang w:val="en-GB" w:eastAsia="zh-TW" w:bidi="ar-SA"/>
              </w:rPr>
              <w:t>生态保护措施及预期效果</w:t>
            </w:r>
          </w:p>
          <w:p>
            <w:pPr>
              <w:pStyle w:val="190"/>
              <w:snapToGrid w:val="0"/>
              <w:spacing w:line="400" w:lineRule="exact"/>
              <w:ind w:firstLine="420" w:firstLineChars="200"/>
              <w:rPr>
                <w:rFonts w:hint="default" w:ascii="Times New Roman" w:hAnsi="Times New Roman" w:eastAsia="宋体" w:cs="Times New Roman"/>
                <w:color w:val="auto"/>
                <w:kern w:val="2"/>
                <w:sz w:val="21"/>
                <w:szCs w:val="24"/>
                <w:lang w:val="en-GB" w:eastAsia="zh-TW" w:bidi="ar-SA"/>
              </w:rPr>
            </w:pPr>
            <w:r>
              <w:rPr>
                <w:rFonts w:hint="default" w:ascii="Times New Roman" w:hAnsi="Times New Roman" w:eastAsia="宋体" w:cs="Times New Roman"/>
                <w:color w:val="auto"/>
                <w:kern w:val="2"/>
                <w:sz w:val="21"/>
                <w:szCs w:val="24"/>
                <w:lang w:val="en-GB" w:eastAsia="zh-TW" w:bidi="ar-SA"/>
              </w:rPr>
              <w:t>本工程在施工过程中必须严格按设计要求进行施工，同时加强对施工人员的管理和教育。施工过程中的弃土应及时清理或用于平整场地，应及时碾压、恢复原有地貌，尽量减少地表扰动，严格禁止大风(六级及以上)天气施工，降低风蚀危害。施工结束后的固体废物应及时清运，统一处理，从而降低风蚀影响，保护现有的自然环境，避免施工造成的大量水土流失。</w:t>
            </w:r>
          </w:p>
          <w:p>
            <w:pPr>
              <w:spacing w:line="400" w:lineRule="exact"/>
              <w:ind w:firstLine="42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施工期运输车辆需按规定的运输路线行驶，避免由于随意碾压，破坏原有地貌；</w:t>
            </w:r>
            <w:r>
              <w:rPr>
                <w:rFonts w:hint="default" w:ascii="Times New Roman" w:hAnsi="Times New Roman" w:eastAsia="宋体" w:cs="Times New Roman"/>
                <w:color w:val="auto"/>
                <w:lang w:eastAsia="zh-CN"/>
              </w:rPr>
              <w:t>运行期</w:t>
            </w:r>
            <w:r>
              <w:rPr>
                <w:rFonts w:hint="default" w:ascii="Times New Roman" w:hAnsi="Times New Roman" w:eastAsia="宋体" w:cs="Times New Roman"/>
                <w:color w:val="auto"/>
              </w:rPr>
              <w:t>对生活管理区、道路周围生态恢复，可在一定区域内防止水土流失，对生态损坏进行一定的补偿。</w:t>
            </w:r>
          </w:p>
        </w:tc>
      </w:tr>
    </w:tbl>
    <w:p>
      <w:pPr>
        <w:spacing w:line="360" w:lineRule="auto"/>
        <w:outlineLvl w:val="0"/>
        <w:rPr>
          <w:b/>
          <w:color w:val="auto"/>
          <w:sz w:val="30"/>
          <w:szCs w:val="30"/>
          <w:highlight w:val="yellow"/>
        </w:rPr>
      </w:pPr>
      <w:r>
        <w:rPr>
          <w:color w:val="auto"/>
          <w:sz w:val="28"/>
          <w:highlight w:val="yellow"/>
          <w:lang w:eastAsia="zh-CN"/>
        </w:rPr>
        <w:br w:type="page"/>
      </w:r>
      <w:bookmarkStart w:id="27" w:name="_Toc11810"/>
      <w:r>
        <w:rPr>
          <w:rStyle w:val="171"/>
          <w:rFonts w:hint="eastAsia"/>
          <w:color w:val="auto"/>
          <w:lang w:val="en-US" w:eastAsia="zh-CN"/>
        </w:rPr>
        <w:t>九、结论与建议</w:t>
      </w:r>
      <w:bookmarkEnd w:id="27"/>
    </w:p>
    <w:tbl>
      <w:tblPr>
        <w:tblStyle w:val="30"/>
        <w:tblW w:w="9071"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9071"/>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14225" w:hRule="atLeast"/>
          <w:jc w:val="center"/>
        </w:trPr>
        <w:tc>
          <w:tcPr>
            <w:tcW w:w="5000" w:type="pct"/>
            <w:vAlign w:val="top"/>
          </w:tcPr>
          <w:p>
            <w:pPr>
              <w:keepNext w:val="0"/>
              <w:keepLines w:val="0"/>
              <w:pageBreakBefore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color w:val="auto"/>
                <w:sz w:val="24"/>
                <w:szCs w:val="24"/>
                <w:highlight w:val="none"/>
                <w:lang w:eastAsia="zh-CN"/>
              </w:rPr>
            </w:pPr>
            <w:r>
              <w:rPr>
                <w:rFonts w:hint="default" w:ascii="Times New Roman" w:hAnsi="Times New Roman" w:eastAsia="宋体" w:cs="Times New Roman"/>
                <w:b/>
                <w:color w:val="auto"/>
                <w:sz w:val="24"/>
                <w:szCs w:val="24"/>
                <w:highlight w:val="none"/>
              </w:rPr>
              <w:t>一、</w:t>
            </w:r>
            <w:r>
              <w:rPr>
                <w:rFonts w:hint="default" w:ascii="Times New Roman" w:hAnsi="Times New Roman" w:eastAsia="宋体" w:cs="Times New Roman"/>
                <w:b/>
                <w:color w:val="auto"/>
                <w:sz w:val="24"/>
                <w:szCs w:val="24"/>
                <w:highlight w:val="none"/>
                <w:lang w:eastAsia="zh-CN"/>
              </w:rPr>
              <w:t>结论</w:t>
            </w:r>
          </w:p>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color w:val="auto"/>
                <w:sz w:val="24"/>
                <w:szCs w:val="24"/>
                <w:highlight w:val="none"/>
                <w:lang w:eastAsia="zh-CN"/>
              </w:rPr>
            </w:pPr>
            <w:r>
              <w:rPr>
                <w:rFonts w:hint="default" w:ascii="Times New Roman" w:hAnsi="Times New Roman" w:eastAsia="宋体" w:cs="Times New Roman"/>
                <w:b w:val="0"/>
                <w:bCs/>
                <w:color w:val="auto"/>
                <w:sz w:val="24"/>
                <w:szCs w:val="24"/>
                <w:highlight w:val="none"/>
                <w:lang w:eastAsia="zh-CN"/>
              </w:rPr>
              <w:t>1、项目概况</w:t>
            </w:r>
          </w:p>
          <w:p>
            <w:pPr>
              <w:keepNext w:val="0"/>
              <w:keepLines w:val="0"/>
              <w:pageBreakBefore w:val="0"/>
              <w:tabs>
                <w:tab w:val="left" w:pos="1200"/>
              </w:tabs>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highlight w:val="none"/>
                <w:lang w:eastAsia="zh-CN"/>
              </w:rPr>
              <w:t>国家能源集团贞观山灰场光伏电站项目</w:t>
            </w:r>
            <w:r>
              <w:rPr>
                <w:rFonts w:hint="default" w:ascii="Times New Roman" w:hAnsi="Times New Roman" w:eastAsia="宋体" w:cs="Times New Roman"/>
                <w:color w:val="auto"/>
                <w:sz w:val="24"/>
                <w:szCs w:val="24"/>
              </w:rPr>
              <w:t>工程场址位于镇江市</w:t>
            </w:r>
            <w:r>
              <w:rPr>
                <w:rFonts w:hint="default" w:ascii="Times New Roman" w:hAnsi="Times New Roman" w:eastAsia="宋体" w:cs="Times New Roman"/>
                <w:color w:val="auto"/>
                <w:sz w:val="24"/>
                <w:szCs w:val="24"/>
                <w:highlight w:val="none"/>
                <w:lang w:val="en-US" w:eastAsia="zh-CN"/>
              </w:rPr>
              <w:t>丹阳市埤城镇和镇江新区丁岗镇交界处</w:t>
            </w:r>
            <w:r>
              <w:rPr>
                <w:rFonts w:hint="default" w:ascii="Times New Roman" w:hAnsi="Times New Roman" w:eastAsia="宋体" w:cs="Times New Roman"/>
                <w:color w:val="auto"/>
                <w:sz w:val="24"/>
                <w:szCs w:val="24"/>
              </w:rPr>
              <w:t>，项目总投资</w:t>
            </w:r>
            <w:r>
              <w:rPr>
                <w:rFonts w:hint="default" w:ascii="Times New Roman" w:hAnsi="Times New Roman" w:eastAsia="宋体" w:cs="Times New Roman"/>
                <w:color w:val="auto"/>
                <w:sz w:val="24"/>
                <w:szCs w:val="24"/>
                <w:lang w:val="en-US" w:eastAsia="zh-CN"/>
              </w:rPr>
              <w:t>12715</w:t>
            </w:r>
            <w:r>
              <w:rPr>
                <w:rFonts w:hint="default" w:ascii="Times New Roman" w:hAnsi="Times New Roman" w:eastAsia="宋体" w:cs="Times New Roman"/>
                <w:color w:val="auto"/>
                <w:sz w:val="24"/>
                <w:szCs w:val="24"/>
              </w:rPr>
              <w:t>万元，占地约</w:t>
            </w:r>
            <w:r>
              <w:rPr>
                <w:rFonts w:hint="default" w:ascii="Times New Roman" w:hAnsi="Times New Roman" w:eastAsia="宋体" w:cs="Times New Roman"/>
                <w:color w:val="auto"/>
                <w:sz w:val="24"/>
                <w:szCs w:val="24"/>
                <w:lang w:val="en-US" w:eastAsia="zh-CN"/>
              </w:rPr>
              <w:t>326900m</w:t>
            </w:r>
            <w:r>
              <w:rPr>
                <w:rFonts w:hint="default" w:ascii="Times New Roman" w:hAnsi="Times New Roman" w:eastAsia="宋体" w:cs="Times New Roman"/>
                <w:color w:val="auto"/>
                <w:sz w:val="24"/>
                <w:szCs w:val="24"/>
                <w:vertAlign w:val="superscript"/>
                <w:lang w:val="en-US" w:eastAsia="zh-CN"/>
              </w:rPr>
              <w:t>2</w:t>
            </w:r>
            <w:r>
              <w:rPr>
                <w:rFonts w:hint="default" w:ascii="Times New Roman" w:hAnsi="Times New Roman" w:eastAsia="宋体" w:cs="Times New Roman"/>
                <w:color w:val="auto"/>
                <w:sz w:val="24"/>
                <w:szCs w:val="24"/>
              </w:rPr>
              <w:t>，在原有的</w:t>
            </w:r>
            <w:r>
              <w:rPr>
                <w:rFonts w:hint="default" w:ascii="Times New Roman" w:hAnsi="Times New Roman" w:eastAsia="宋体" w:cs="Times New Roman"/>
                <w:color w:val="auto"/>
                <w:sz w:val="24"/>
                <w:szCs w:val="24"/>
                <w:lang w:val="en-US" w:eastAsia="zh-CN"/>
              </w:rPr>
              <w:t>灰场</w:t>
            </w:r>
            <w:r>
              <w:rPr>
                <w:rFonts w:hint="default" w:ascii="Times New Roman" w:hAnsi="Times New Roman" w:eastAsia="宋体" w:cs="Times New Roman"/>
                <w:color w:val="auto"/>
                <w:sz w:val="24"/>
                <w:szCs w:val="24"/>
              </w:rPr>
              <w:t>上进行建设。该项目为总装机容量</w:t>
            </w:r>
            <w:r>
              <w:rPr>
                <w:rFonts w:hint="default" w:ascii="Times New Roman" w:hAnsi="Times New Roman" w:eastAsia="宋体" w:cs="Times New Roman"/>
                <w:color w:val="auto"/>
                <w:sz w:val="24"/>
                <w:szCs w:val="24"/>
                <w:lang w:val="en-US" w:eastAsia="zh-CN"/>
              </w:rPr>
              <w:t>33.35</w:t>
            </w:r>
            <w:r>
              <w:rPr>
                <w:rFonts w:hint="default" w:ascii="Times New Roman" w:hAnsi="Times New Roman" w:eastAsia="宋体" w:cs="Times New Roman"/>
                <w:color w:val="auto"/>
                <w:sz w:val="24"/>
                <w:szCs w:val="24"/>
              </w:rPr>
              <w:t>MW的并网型太阳能光伏发电工程，采用</w:t>
            </w:r>
            <w:r>
              <w:rPr>
                <w:rFonts w:hint="default" w:ascii="Times New Roman" w:hAnsi="Times New Roman" w:eastAsia="宋体" w:cs="Times New Roman"/>
                <w:color w:val="auto"/>
                <w:sz w:val="24"/>
                <w:szCs w:val="24"/>
                <w:lang w:val="en-US" w:eastAsia="zh-CN"/>
              </w:rPr>
              <w:t>35</w:t>
            </w:r>
            <w:r>
              <w:rPr>
                <w:rFonts w:hint="default" w:ascii="Times New Roman" w:hAnsi="Times New Roman" w:eastAsia="宋体" w:cs="Times New Roman"/>
                <w:color w:val="auto"/>
                <w:sz w:val="24"/>
                <w:szCs w:val="24"/>
              </w:rPr>
              <w:t>kV电压等级并入电网。建设内容包括太阳能光伏发电系统及相应的升压设施（</w:t>
            </w:r>
            <w:r>
              <w:rPr>
                <w:rFonts w:hint="default" w:ascii="Times New Roman" w:hAnsi="Times New Roman" w:eastAsia="宋体" w:cs="Times New Roman"/>
                <w:color w:val="auto"/>
                <w:sz w:val="24"/>
                <w:szCs w:val="24"/>
                <w:lang w:val="en-US" w:eastAsia="zh-CN"/>
              </w:rPr>
              <w:t>送出工程不包含在此次评价内</w:t>
            </w:r>
            <w:r>
              <w:rPr>
                <w:rFonts w:hint="default" w:ascii="Times New Roman" w:hAnsi="Times New Roman" w:eastAsia="宋体" w:cs="Times New Roman"/>
                <w:color w:val="auto"/>
                <w:sz w:val="24"/>
                <w:szCs w:val="24"/>
              </w:rPr>
              <w:t>）。本项目计划2020年</w:t>
            </w:r>
            <w:r>
              <w:rPr>
                <w:rFonts w:hint="default" w:ascii="Times New Roman" w:hAnsi="Times New Roman" w:eastAsia="宋体" w:cs="Times New Roman"/>
                <w:color w:val="auto"/>
                <w:sz w:val="24"/>
                <w:szCs w:val="24"/>
                <w:lang w:val="en-US" w:eastAsia="zh-CN"/>
              </w:rPr>
              <w:t>11</w:t>
            </w:r>
            <w:r>
              <w:rPr>
                <w:rFonts w:hint="default" w:ascii="Times New Roman" w:hAnsi="Times New Roman" w:eastAsia="宋体" w:cs="Times New Roman"/>
                <w:color w:val="auto"/>
                <w:sz w:val="24"/>
                <w:szCs w:val="24"/>
              </w:rPr>
              <w:t>月开工建设，202</w:t>
            </w:r>
            <w:r>
              <w:rPr>
                <w:rFonts w:hint="default"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rPr>
              <w:t>年</w:t>
            </w:r>
            <w:r>
              <w:rPr>
                <w:rFonts w:hint="default"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rPr>
              <w:t>月并网发电。</w:t>
            </w:r>
          </w:p>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color w:val="auto"/>
                <w:sz w:val="24"/>
                <w:szCs w:val="24"/>
                <w:highlight w:val="none"/>
                <w:lang w:eastAsia="zh-CN"/>
              </w:rPr>
            </w:pPr>
            <w:r>
              <w:rPr>
                <w:rFonts w:hint="default" w:ascii="Times New Roman" w:hAnsi="Times New Roman" w:eastAsia="宋体" w:cs="Times New Roman"/>
                <w:b w:val="0"/>
                <w:bCs/>
                <w:color w:val="auto"/>
                <w:sz w:val="24"/>
                <w:szCs w:val="24"/>
                <w:highlight w:val="none"/>
                <w:lang w:eastAsia="zh-CN"/>
              </w:rPr>
              <w:t>2、产业政策及规划符合性分析</w:t>
            </w:r>
          </w:p>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对照《产业结构调整指导目录（2019年本）》，建设项目属于鼓励类、</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五、新能源</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中</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1、太阳能热发电集热系统、太阳能光伏发电系统集成技术开发应用、逆变控制系统开发制造</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，本项目建设符合产业政策。</w:t>
            </w:r>
          </w:p>
          <w:p>
            <w:pPr>
              <w:keepNext w:val="0"/>
              <w:keepLines w:val="0"/>
              <w:pageBreakBefore w:val="0"/>
              <w:numPr>
                <w:ilvl w:val="0"/>
                <w:numId w:val="9"/>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“三线一单”符合性判定</w:t>
            </w:r>
          </w:p>
          <w:p>
            <w:pPr>
              <w:keepNext w:val="0"/>
              <w:keepLines w:val="0"/>
              <w:pageBreakBefore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0000FF"/>
                <w:sz w:val="24"/>
                <w:szCs w:val="24"/>
                <w:highlight w:val="none"/>
                <w:lang w:eastAsia="zh-CN"/>
              </w:rPr>
              <w:t>本项目与</w:t>
            </w:r>
            <w:r>
              <w:rPr>
                <w:rFonts w:hint="eastAsia" w:cs="Times New Roman"/>
                <w:color w:val="0000FF"/>
                <w:sz w:val="24"/>
                <w:szCs w:val="24"/>
                <w:highlight w:val="none"/>
                <w:lang w:val="en-US" w:eastAsia="zh-CN"/>
              </w:rPr>
              <w:t>镇江市</w:t>
            </w:r>
            <w:r>
              <w:rPr>
                <w:rFonts w:hint="default" w:ascii="Times New Roman" w:hAnsi="Times New Roman" w:eastAsia="宋体" w:cs="Times New Roman"/>
                <w:color w:val="0000FF"/>
                <w:sz w:val="24"/>
                <w:szCs w:val="24"/>
                <w:highlight w:val="none"/>
                <w:lang w:eastAsia="zh-CN"/>
              </w:rPr>
              <w:t>生态空间管控区域、国家级生态保护红线区无相交区域</w:t>
            </w:r>
            <w:r>
              <w:rPr>
                <w:rFonts w:hint="eastAsia" w:cs="Times New Roman"/>
                <w:color w:val="0000FF"/>
                <w:sz w:val="24"/>
                <w:szCs w:val="24"/>
                <w:highlight w:val="none"/>
                <w:lang w:eastAsia="zh-CN"/>
              </w:rPr>
              <w:t>；</w:t>
            </w:r>
            <w:r>
              <w:rPr>
                <w:rFonts w:hint="default" w:ascii="Times New Roman" w:hAnsi="Times New Roman" w:eastAsia="宋体" w:cs="Times New Roman"/>
                <w:color w:val="0000FF"/>
                <w:sz w:val="24"/>
              </w:rPr>
              <w:t>实施不会降低区域环境空气、水环境、声环境质量</w:t>
            </w:r>
            <w:r>
              <w:rPr>
                <w:rFonts w:hint="eastAsia" w:cs="Times New Roman"/>
                <w:color w:val="0000FF"/>
                <w:sz w:val="24"/>
                <w:lang w:eastAsia="zh-CN"/>
              </w:rPr>
              <w:t>；</w:t>
            </w:r>
            <w:r>
              <w:rPr>
                <w:rFonts w:hint="eastAsia" w:cs="Times New Roman"/>
                <w:color w:val="0000FF"/>
                <w:sz w:val="24"/>
                <w:lang w:val="en-US" w:eastAsia="zh-CN"/>
              </w:rPr>
              <w:t>土地资源利用国家能源集团谏壁发电厂原有配套灰场用地，</w:t>
            </w:r>
            <w:r>
              <w:rPr>
                <w:rFonts w:hint="default" w:ascii="Times New Roman" w:hAnsi="Times New Roman" w:eastAsia="宋体" w:cs="Times New Roman"/>
                <w:color w:val="0000FF"/>
                <w:sz w:val="24"/>
              </w:rPr>
              <w:t>营运过程中所用的资源主要为光伏组件清洗用水，且用量很小，不会超过当地资源利用上线</w:t>
            </w:r>
            <w:r>
              <w:rPr>
                <w:rFonts w:hint="eastAsia" w:cs="Times New Roman"/>
                <w:color w:val="0000FF"/>
                <w:sz w:val="24"/>
                <w:lang w:eastAsia="zh-CN"/>
              </w:rPr>
              <w:t>；</w:t>
            </w:r>
            <w:r>
              <w:rPr>
                <w:rFonts w:hint="eastAsia" w:cs="Times New Roman"/>
                <w:color w:val="0000FF"/>
                <w:sz w:val="24"/>
                <w:lang w:val="en-US" w:eastAsia="zh-CN"/>
              </w:rPr>
              <w:t>与项目所在区域环境准入负面清单对比，不属于负面清单中规定的项目。因此，</w:t>
            </w:r>
            <w:r>
              <w:rPr>
                <w:rFonts w:hint="default" w:ascii="Times New Roman" w:hAnsi="Times New Roman" w:eastAsia="宋体" w:cs="Times New Roman"/>
                <w:color w:val="0000FF"/>
                <w:sz w:val="24"/>
                <w:szCs w:val="24"/>
                <w:highlight w:val="none"/>
                <w:lang w:eastAsia="zh-CN"/>
              </w:rPr>
              <w:t>本项目的建设符合</w:t>
            </w:r>
            <w:r>
              <w:rPr>
                <w:rFonts w:hint="eastAsia" w:cs="Times New Roman"/>
                <w:color w:val="0000FF"/>
                <w:sz w:val="24"/>
                <w:szCs w:val="24"/>
                <w:lang w:eastAsia="zh-CN"/>
              </w:rPr>
              <w:t>“</w:t>
            </w:r>
            <w:r>
              <w:rPr>
                <w:rFonts w:hint="default" w:ascii="Times New Roman" w:hAnsi="Times New Roman" w:eastAsia="宋体" w:cs="Times New Roman"/>
                <w:color w:val="0000FF"/>
                <w:sz w:val="24"/>
                <w:szCs w:val="24"/>
              </w:rPr>
              <w:t>三线一单</w:t>
            </w:r>
            <w:r>
              <w:rPr>
                <w:rFonts w:hint="eastAsia" w:cs="Times New Roman"/>
                <w:color w:val="0000FF"/>
                <w:sz w:val="24"/>
                <w:szCs w:val="24"/>
                <w:lang w:eastAsia="zh-CN"/>
              </w:rPr>
              <w:t>”</w:t>
            </w:r>
            <w:r>
              <w:rPr>
                <w:rFonts w:hint="default" w:ascii="Times New Roman" w:hAnsi="Times New Roman" w:eastAsia="宋体" w:cs="Times New Roman"/>
                <w:color w:val="0000FF"/>
                <w:sz w:val="24"/>
                <w:szCs w:val="24"/>
              </w:rPr>
              <w:t>（即生态</w:t>
            </w:r>
            <w:r>
              <w:rPr>
                <w:rFonts w:hint="default" w:ascii="Times New Roman" w:hAnsi="Times New Roman" w:eastAsia="宋体" w:cs="Times New Roman"/>
                <w:color w:val="0000FF"/>
                <w:sz w:val="24"/>
                <w:szCs w:val="24"/>
                <w:lang w:val="en-US" w:eastAsia="zh-CN"/>
              </w:rPr>
              <w:t>保护</w:t>
            </w:r>
            <w:r>
              <w:rPr>
                <w:rFonts w:hint="default" w:ascii="Times New Roman" w:hAnsi="Times New Roman" w:eastAsia="宋体" w:cs="Times New Roman"/>
                <w:color w:val="0000FF"/>
                <w:sz w:val="24"/>
                <w:szCs w:val="24"/>
              </w:rPr>
              <w:t>红线、环境质量底线、资源利用上线及环境准入负面清单）要求</w:t>
            </w:r>
            <w:r>
              <w:rPr>
                <w:rFonts w:hint="default" w:ascii="Times New Roman" w:hAnsi="Times New Roman" w:eastAsia="宋体" w:cs="Times New Roman"/>
                <w:color w:val="0000FF"/>
                <w:sz w:val="24"/>
                <w:szCs w:val="24"/>
                <w:highlight w:val="none"/>
                <w:lang w:eastAsia="zh-CN"/>
              </w:rPr>
              <w:t>。</w:t>
            </w:r>
            <w:r>
              <w:rPr>
                <w:rFonts w:hint="default" w:ascii="Times New Roman" w:hAnsi="Times New Roman" w:eastAsia="宋体" w:cs="Times New Roman"/>
                <w:color w:val="auto"/>
                <w:sz w:val="24"/>
                <w:szCs w:val="24"/>
                <w:highlight w:val="none"/>
                <w:lang w:eastAsia="zh-CN"/>
              </w:rPr>
              <w:t xml:space="preserve"> </w:t>
            </w:r>
          </w:p>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color w:val="auto"/>
                <w:sz w:val="24"/>
                <w:szCs w:val="24"/>
                <w:highlight w:val="none"/>
                <w:lang w:eastAsia="zh-CN"/>
              </w:rPr>
            </w:pPr>
            <w:r>
              <w:rPr>
                <w:rFonts w:hint="default" w:ascii="Times New Roman" w:hAnsi="Times New Roman" w:eastAsia="宋体" w:cs="Times New Roman"/>
                <w:b w:val="0"/>
                <w:bCs/>
                <w:color w:val="auto"/>
                <w:sz w:val="24"/>
                <w:szCs w:val="24"/>
                <w:highlight w:val="none"/>
                <w:lang w:eastAsia="zh-CN"/>
              </w:rPr>
              <w:t>3</w:t>
            </w:r>
            <w:r>
              <w:rPr>
                <w:rFonts w:hint="default" w:ascii="Times New Roman" w:hAnsi="Times New Roman" w:eastAsia="宋体" w:cs="Times New Roman"/>
                <w:b w:val="0"/>
                <w:bCs/>
                <w:color w:val="0000FF"/>
                <w:sz w:val="24"/>
                <w:szCs w:val="24"/>
                <w:highlight w:val="none"/>
                <w:lang w:eastAsia="zh-CN"/>
              </w:rPr>
              <w:t>、项目选址合理性</w:t>
            </w:r>
          </w:p>
          <w:p>
            <w:pPr>
              <w:keepNext w:val="0"/>
              <w:keepLines w:val="0"/>
              <w:pageBreakBefore w:val="0"/>
              <w:widowControl w:val="0"/>
              <w:tabs>
                <w:tab w:val="left" w:pos="1200"/>
              </w:tabs>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Cs/>
                <w:color w:val="auto"/>
                <w:sz w:val="24"/>
                <w:szCs w:val="24"/>
                <w:highlight w:val="none"/>
                <w:lang w:eastAsia="zh-CN"/>
              </w:rPr>
            </w:pPr>
            <w:r>
              <w:rPr>
                <w:rFonts w:hint="default" w:ascii="Times New Roman" w:hAnsi="Times New Roman" w:eastAsia="宋体" w:cs="Times New Roman"/>
                <w:color w:val="auto"/>
                <w:sz w:val="24"/>
                <w:szCs w:val="24"/>
              </w:rPr>
              <w:t>本项目</w:t>
            </w:r>
            <w:r>
              <w:rPr>
                <w:rFonts w:hint="default" w:ascii="Times New Roman" w:hAnsi="Times New Roman" w:eastAsia="宋体" w:cs="Times New Roman"/>
                <w:color w:val="auto"/>
                <w:sz w:val="24"/>
                <w:szCs w:val="24"/>
                <w:lang w:val="en-US" w:eastAsia="zh-CN"/>
              </w:rPr>
              <w:t>位于</w:t>
            </w:r>
            <w:r>
              <w:rPr>
                <w:rFonts w:hint="default" w:ascii="Times New Roman" w:hAnsi="Times New Roman" w:eastAsia="宋体" w:cs="Times New Roman"/>
                <w:color w:val="auto"/>
                <w:sz w:val="24"/>
                <w:szCs w:val="24"/>
                <w:highlight w:val="none"/>
                <w:lang w:val="en-US" w:eastAsia="zh-CN"/>
              </w:rPr>
              <w:t>丹阳市埤城镇和镇江新区丁岗镇交界处，利用国家能源集团谏壁发电厂的配套灰场</w:t>
            </w:r>
            <w:r>
              <w:rPr>
                <w:rFonts w:hint="default" w:ascii="Times New Roman" w:hAnsi="Times New Roman" w:eastAsia="宋体" w:cs="Times New Roman"/>
                <w:color w:val="auto"/>
                <w:sz w:val="24"/>
                <w:szCs w:val="24"/>
              </w:rPr>
              <w:t>进行建设</w:t>
            </w:r>
            <w:r>
              <w:rPr>
                <w:rFonts w:hint="default" w:ascii="Times New Roman" w:hAnsi="Times New Roman" w:eastAsia="宋体" w:cs="Times New Roman"/>
                <w:color w:val="auto"/>
                <w:kern w:val="0"/>
                <w:sz w:val="24"/>
                <w:szCs w:val="24"/>
              </w:rPr>
              <w:t>，现状交通条件较好</w:t>
            </w:r>
            <w:r>
              <w:rPr>
                <w:rFonts w:hint="default" w:ascii="Times New Roman" w:hAnsi="Times New Roman" w:eastAsia="宋体" w:cs="Times New Roman"/>
                <w:color w:val="auto"/>
                <w:sz w:val="24"/>
                <w:szCs w:val="24"/>
              </w:rPr>
              <w:t>。本项目站址</w:t>
            </w:r>
            <w:r>
              <w:rPr>
                <w:rFonts w:hint="default" w:ascii="Times New Roman" w:hAnsi="Times New Roman" w:eastAsia="宋体" w:cs="Times New Roman"/>
                <w:color w:val="auto"/>
                <w:sz w:val="24"/>
                <w:szCs w:val="24"/>
                <w:lang w:val="en-US" w:eastAsia="zh-CN"/>
              </w:rPr>
              <w:t>中心</w:t>
            </w:r>
            <w:r>
              <w:rPr>
                <w:rFonts w:hint="default" w:ascii="Times New Roman" w:hAnsi="Times New Roman" w:eastAsia="宋体" w:cs="Times New Roman"/>
                <w:color w:val="auto"/>
                <w:sz w:val="24"/>
                <w:szCs w:val="24"/>
              </w:rPr>
              <w:t>位于北纬</w:t>
            </w:r>
            <w:r>
              <w:rPr>
                <w:rFonts w:hint="default" w:ascii="Times New Roman" w:hAnsi="Times New Roman" w:eastAsia="宋体" w:cs="Times New Roman"/>
                <w:color w:val="auto"/>
                <w:sz w:val="24"/>
                <w:szCs w:val="24"/>
                <w:lang w:val="en-US" w:eastAsia="zh-CN"/>
              </w:rPr>
              <w:t>32.0878</w:t>
            </w:r>
            <w:r>
              <w:rPr>
                <w:rFonts w:hint="default" w:ascii="Times New Roman" w:hAnsi="Times New Roman" w:eastAsia="宋体" w:cs="Times New Roman"/>
                <w:color w:val="auto"/>
                <w:sz w:val="24"/>
                <w:szCs w:val="24"/>
              </w:rPr>
              <w:t>°，东经</w:t>
            </w:r>
            <w:r>
              <w:rPr>
                <w:rFonts w:hint="default" w:ascii="Times New Roman" w:hAnsi="Times New Roman" w:eastAsia="宋体" w:cs="Times New Roman"/>
                <w:color w:val="auto"/>
                <w:sz w:val="24"/>
                <w:szCs w:val="24"/>
                <w:lang w:val="en-US" w:eastAsia="zh-CN"/>
              </w:rPr>
              <w:t>119.6672</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太阳辐射统计采用</w:t>
            </w:r>
            <w:r>
              <w:rPr>
                <w:rFonts w:hint="default" w:ascii="Times New Roman" w:hAnsi="Times New Roman" w:eastAsia="宋体" w:cs="Times New Roman"/>
                <w:snapToGrid w:val="0"/>
                <w:color w:val="auto"/>
                <w:sz w:val="24"/>
                <w:szCs w:val="24"/>
              </w:rPr>
              <w:t>Meteonorm软件推算</w:t>
            </w:r>
            <w:r>
              <w:rPr>
                <w:rFonts w:hint="default" w:ascii="Times New Roman" w:hAnsi="Times New Roman" w:eastAsia="宋体" w:cs="Times New Roman"/>
                <w:color w:val="auto"/>
                <w:sz w:val="24"/>
                <w:szCs w:val="24"/>
              </w:rPr>
              <w:t>数据，站址区域多年平均太阳辐射量为</w:t>
            </w:r>
            <w:r>
              <w:rPr>
                <w:rFonts w:hint="default" w:ascii="Times New Roman" w:hAnsi="Times New Roman" w:eastAsia="宋体" w:cs="Times New Roman"/>
                <w:snapToGrid w:val="0"/>
                <w:color w:val="auto"/>
                <w:sz w:val="24"/>
                <w:szCs w:val="24"/>
              </w:rPr>
              <w:t>4492.8</w:t>
            </w:r>
            <w:r>
              <w:rPr>
                <w:rFonts w:hint="default" w:ascii="Times New Roman" w:hAnsi="Times New Roman" w:eastAsia="宋体" w:cs="Times New Roman"/>
                <w:color w:val="auto"/>
                <w:sz w:val="24"/>
                <w:szCs w:val="24"/>
              </w:rPr>
              <w:t>MJ/m</w:t>
            </w:r>
            <w:r>
              <w:rPr>
                <w:rFonts w:hint="default" w:ascii="Times New Roman" w:hAnsi="Times New Roman" w:eastAsia="宋体" w:cs="Times New Roman"/>
                <w:color w:val="auto"/>
                <w:sz w:val="24"/>
                <w:szCs w:val="24"/>
                <w:vertAlign w:val="superscript"/>
              </w:rPr>
              <w:t>2</w:t>
            </w:r>
            <w:r>
              <w:rPr>
                <w:rFonts w:hint="default" w:ascii="Times New Roman" w:hAnsi="Times New Roman" w:eastAsia="宋体" w:cs="Times New Roman"/>
                <w:color w:val="auto"/>
                <w:sz w:val="24"/>
                <w:szCs w:val="24"/>
              </w:rPr>
              <w:t>。从全国太阳辐射资源分布情况来看，项目地太阳辐射属于资源较丰富区，能够为光伏电站提供充足的光照资源</w:t>
            </w:r>
            <w:r>
              <w:rPr>
                <w:rFonts w:hint="eastAsia" w:cs="Times New Roman"/>
                <w:color w:val="auto"/>
                <w:sz w:val="24"/>
                <w:szCs w:val="24"/>
                <w:lang w:eastAsia="zh-CN"/>
              </w:rPr>
              <w:t>；</w:t>
            </w:r>
            <w:r>
              <w:rPr>
                <w:rFonts w:hint="default" w:ascii="Times New Roman" w:hAnsi="Times New Roman" w:eastAsia="宋体" w:cs="Times New Roman"/>
                <w:color w:val="0000FF"/>
                <w:kern w:val="0"/>
                <w:sz w:val="24"/>
                <w:szCs w:val="24"/>
              </w:rPr>
              <w:t>其建设、运行均对周边生态环境影响较小</w:t>
            </w:r>
            <w:r>
              <w:rPr>
                <w:rFonts w:hint="eastAsia" w:cs="Times New Roman"/>
                <w:color w:val="0000FF"/>
                <w:kern w:val="0"/>
                <w:sz w:val="24"/>
                <w:szCs w:val="24"/>
                <w:lang w:eastAsia="zh-CN"/>
              </w:rPr>
              <w:t>。</w:t>
            </w:r>
            <w:r>
              <w:rPr>
                <w:rFonts w:hint="default" w:ascii="Times New Roman" w:hAnsi="Times New Roman" w:eastAsia="宋体" w:cs="Times New Roman"/>
                <w:color w:val="auto"/>
                <w:sz w:val="24"/>
                <w:szCs w:val="24"/>
              </w:rPr>
              <w:t>因此，本项目选址是可行的</w:t>
            </w:r>
            <w:r>
              <w:rPr>
                <w:rFonts w:hint="default" w:ascii="Times New Roman" w:hAnsi="Times New Roman" w:eastAsia="宋体" w:cs="Times New Roman"/>
                <w:color w:val="auto"/>
                <w:sz w:val="24"/>
                <w:szCs w:val="24"/>
                <w:highlight w:val="none"/>
                <w:lang w:eastAsia="zh-CN"/>
              </w:rPr>
              <w:t>。</w:t>
            </w:r>
          </w:p>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color w:val="auto"/>
                <w:sz w:val="24"/>
                <w:szCs w:val="24"/>
                <w:highlight w:val="none"/>
                <w:lang w:eastAsia="zh-CN"/>
              </w:rPr>
            </w:pPr>
            <w:r>
              <w:rPr>
                <w:rFonts w:hint="default" w:ascii="Times New Roman" w:hAnsi="Times New Roman" w:eastAsia="宋体" w:cs="Times New Roman"/>
                <w:b w:val="0"/>
                <w:bCs/>
                <w:color w:val="auto"/>
                <w:sz w:val="24"/>
                <w:szCs w:val="24"/>
                <w:highlight w:val="none"/>
                <w:lang w:eastAsia="zh-CN"/>
              </w:rPr>
              <w:t>4、环境质量现状结论</w:t>
            </w:r>
          </w:p>
          <w:p>
            <w:pPr>
              <w:pStyle w:val="158"/>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（1）空气环境质量</w:t>
            </w:r>
          </w:p>
          <w:p>
            <w:pPr>
              <w:keepNext w:val="0"/>
              <w:keepLines w:val="0"/>
              <w:pageBreakBefore w:val="0"/>
              <w:tabs>
                <w:tab w:val="left" w:pos="1200"/>
              </w:tabs>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highlight w:val="none"/>
              </w:rPr>
              <w:t>201</w:t>
            </w:r>
            <w:r>
              <w:rPr>
                <w:rFonts w:hint="default" w:ascii="Times New Roman" w:hAnsi="Times New Roman" w:eastAsia="宋体" w:cs="Times New Roman"/>
                <w:color w:val="auto"/>
                <w:sz w:val="24"/>
                <w:szCs w:val="24"/>
                <w:highlight w:val="none"/>
                <w:lang w:val="en-US" w:eastAsia="zh-CN"/>
              </w:rPr>
              <w:t>9</w:t>
            </w:r>
            <w:r>
              <w:rPr>
                <w:rFonts w:hint="default" w:ascii="Times New Roman" w:hAnsi="Times New Roman" w:eastAsia="宋体" w:cs="Times New Roman"/>
                <w:color w:val="auto"/>
                <w:sz w:val="24"/>
                <w:szCs w:val="24"/>
                <w:highlight w:val="none"/>
              </w:rPr>
              <w:t>年，镇江市区</w:t>
            </w:r>
            <w:r>
              <w:rPr>
                <w:rFonts w:hint="default" w:ascii="Times New Roman" w:hAnsi="Times New Roman" w:eastAsia="宋体" w:cs="Times New Roman"/>
                <w:color w:val="auto"/>
                <w:sz w:val="24"/>
                <w:szCs w:val="24"/>
              </w:rPr>
              <w:t>环境空气中PM</w:t>
            </w:r>
            <w:r>
              <w:rPr>
                <w:rFonts w:hint="default" w:ascii="Times New Roman" w:hAnsi="Times New Roman" w:eastAsia="宋体" w:cs="Times New Roman"/>
                <w:color w:val="auto"/>
                <w:sz w:val="24"/>
                <w:szCs w:val="24"/>
                <w:vertAlign w:val="subscript"/>
              </w:rPr>
              <w:t>2.5</w:t>
            </w:r>
            <w:r>
              <w:rPr>
                <w:rFonts w:hint="default" w:ascii="Times New Roman" w:hAnsi="Times New Roman" w:eastAsia="宋体" w:cs="Times New Roman"/>
                <w:color w:val="auto"/>
                <w:sz w:val="24"/>
                <w:szCs w:val="24"/>
              </w:rPr>
              <w:t>、PM</w:t>
            </w:r>
            <w:r>
              <w:rPr>
                <w:rFonts w:hint="default" w:ascii="Times New Roman" w:hAnsi="Times New Roman" w:eastAsia="宋体" w:cs="Times New Roman"/>
                <w:color w:val="auto"/>
                <w:sz w:val="24"/>
                <w:szCs w:val="24"/>
                <w:vertAlign w:val="subscript"/>
              </w:rPr>
              <w:t>10</w:t>
            </w:r>
            <w:r>
              <w:rPr>
                <w:rFonts w:hint="default" w:ascii="Times New Roman" w:hAnsi="Times New Roman" w:eastAsia="宋体" w:cs="Times New Roman"/>
                <w:color w:val="auto"/>
                <w:sz w:val="24"/>
                <w:szCs w:val="24"/>
              </w:rPr>
              <w:t>、二氧化硫、二氧化氮年均浓度分别为45μg/m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、72μg/m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、9μg/m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和33μg/m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；一氧化碳和臭氧日最大8小时滑动平均浓度（以下简称臭氧浓度）分别为0.7 mg/m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和107μg/m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。与2018年相比，二氧化硫和一氧化碳浓度持平，二氧化氮和PM</w:t>
            </w:r>
            <w:r>
              <w:rPr>
                <w:rFonts w:hint="default" w:ascii="Times New Roman" w:hAnsi="Times New Roman" w:eastAsia="宋体" w:cs="Times New Roman"/>
                <w:color w:val="auto"/>
                <w:sz w:val="24"/>
                <w:szCs w:val="24"/>
                <w:vertAlign w:val="subscript"/>
              </w:rPr>
              <w:t>2.5</w:t>
            </w:r>
            <w:r>
              <w:rPr>
                <w:rFonts w:hint="default" w:ascii="Times New Roman" w:hAnsi="Times New Roman" w:eastAsia="宋体" w:cs="Times New Roman"/>
                <w:color w:val="auto"/>
                <w:sz w:val="24"/>
                <w:szCs w:val="24"/>
              </w:rPr>
              <w:t>浓度分别下降5.7%和11.8%，PM</w:t>
            </w:r>
            <w:r>
              <w:rPr>
                <w:rFonts w:hint="default" w:ascii="Times New Roman" w:hAnsi="Times New Roman" w:eastAsia="宋体" w:cs="Times New Roman"/>
                <w:color w:val="auto"/>
                <w:sz w:val="24"/>
                <w:szCs w:val="24"/>
                <w:vertAlign w:val="subscript"/>
              </w:rPr>
              <w:t>10</w:t>
            </w:r>
            <w:r>
              <w:rPr>
                <w:rFonts w:hint="default" w:ascii="Times New Roman" w:hAnsi="Times New Roman" w:eastAsia="宋体" w:cs="Times New Roman"/>
                <w:color w:val="auto"/>
                <w:sz w:val="24"/>
                <w:szCs w:val="24"/>
              </w:rPr>
              <w:t>和臭氧浓度分别上升2.9%和7.0%。按照《环境空气质量标准》（GB3095-2012）二级标准进行年评价，PM</w:t>
            </w:r>
            <w:r>
              <w:rPr>
                <w:rFonts w:hint="default" w:ascii="Times New Roman" w:hAnsi="Times New Roman" w:eastAsia="宋体" w:cs="Times New Roman"/>
                <w:color w:val="auto"/>
                <w:sz w:val="24"/>
                <w:szCs w:val="24"/>
                <w:vertAlign w:val="subscript"/>
              </w:rPr>
              <w:t>2.5</w:t>
            </w:r>
            <w:r>
              <w:rPr>
                <w:rFonts w:hint="default" w:ascii="Times New Roman" w:hAnsi="Times New Roman" w:eastAsia="宋体" w:cs="Times New Roman"/>
                <w:color w:val="auto"/>
                <w:sz w:val="24"/>
                <w:szCs w:val="24"/>
              </w:rPr>
              <w:t>、PM</w:t>
            </w:r>
            <w:r>
              <w:rPr>
                <w:rFonts w:hint="default" w:ascii="Times New Roman" w:hAnsi="Times New Roman" w:eastAsia="宋体" w:cs="Times New Roman"/>
                <w:color w:val="auto"/>
                <w:sz w:val="24"/>
                <w:szCs w:val="24"/>
                <w:vertAlign w:val="subscript"/>
              </w:rPr>
              <w:t>10</w:t>
            </w:r>
            <w:r>
              <w:rPr>
                <w:rFonts w:hint="default" w:ascii="Times New Roman" w:hAnsi="Times New Roman" w:eastAsia="宋体" w:cs="Times New Roman"/>
                <w:color w:val="auto"/>
                <w:sz w:val="24"/>
                <w:szCs w:val="24"/>
              </w:rPr>
              <w:t xml:space="preserve">均未达标，空气质量总体未达标。 </w:t>
            </w:r>
          </w:p>
          <w:p>
            <w:pPr>
              <w:pStyle w:val="158"/>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（2）水环境质量</w:t>
            </w:r>
          </w:p>
          <w:p>
            <w:pPr>
              <w:pStyle w:val="158"/>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2019年，全市地表水环境质量总体为良好。</w:t>
            </w:r>
          </w:p>
          <w:p>
            <w:pPr>
              <w:pStyle w:val="158"/>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（3）土壤环境质量</w:t>
            </w:r>
          </w:p>
          <w:p>
            <w:pPr>
              <w:pStyle w:val="158"/>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2019年，</w:t>
            </w:r>
            <w:r>
              <w:rPr>
                <w:rFonts w:hint="default" w:ascii="Times New Roman" w:hAnsi="Times New Roman" w:eastAsia="宋体" w:cs="Times New Roman"/>
                <w:color w:val="auto"/>
                <w:sz w:val="24"/>
                <w:szCs w:val="24"/>
                <w:lang w:val="en-US" w:eastAsia="zh-CN"/>
              </w:rPr>
              <w:t>镇江</w:t>
            </w:r>
            <w:r>
              <w:rPr>
                <w:rFonts w:hint="default" w:ascii="Times New Roman" w:hAnsi="Times New Roman" w:eastAsia="宋体" w:cs="Times New Roman"/>
                <w:color w:val="auto"/>
                <w:sz w:val="24"/>
                <w:szCs w:val="24"/>
              </w:rPr>
              <w:t xml:space="preserve">市对国家网11个土壤基础点位开展了土壤环境质量监测。11个土壤基础点位中，有9个符合《土壤环境质量农用地土壤污染风险管控标准（试行）》（GB15618-2018）风险筛选限值要求，达标率为81.8%。超标点位中，处于轻微污染、轻度污染点位个数各1个，占比均为9.1%，无中度污染和重度污染点位。无机超标项目主要为镉、铜和铅，有机超标项目为滴滴涕总量。 </w:t>
            </w:r>
          </w:p>
          <w:p>
            <w:pPr>
              <w:pStyle w:val="158"/>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（4）声环境质量</w:t>
            </w:r>
          </w:p>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201</w:t>
            </w:r>
            <w:r>
              <w:rPr>
                <w:rFonts w:hint="default" w:ascii="Times New Roman" w:hAnsi="Times New Roman" w:eastAsia="宋体" w:cs="Times New Roman"/>
                <w:color w:val="auto"/>
                <w:sz w:val="24"/>
                <w:szCs w:val="24"/>
                <w:lang w:val="en-US" w:eastAsia="zh-CN"/>
              </w:rPr>
              <w:t>9</w:t>
            </w:r>
            <w:r>
              <w:rPr>
                <w:rFonts w:hint="default" w:ascii="Times New Roman" w:hAnsi="Times New Roman" w:eastAsia="宋体" w:cs="Times New Roman"/>
                <w:color w:val="auto"/>
                <w:sz w:val="24"/>
                <w:szCs w:val="24"/>
              </w:rPr>
              <w:t>年，全市声环境质量总体</w:t>
            </w:r>
            <w:r>
              <w:rPr>
                <w:rFonts w:hint="default" w:ascii="Times New Roman" w:hAnsi="Times New Roman" w:eastAsia="宋体" w:cs="Times New Roman"/>
                <w:color w:val="auto"/>
                <w:sz w:val="24"/>
                <w:szCs w:val="24"/>
                <w:lang w:val="en-US" w:eastAsia="zh-CN"/>
              </w:rPr>
              <w:t>较好</w:t>
            </w:r>
            <w:r>
              <w:rPr>
                <w:rFonts w:hint="default" w:ascii="Times New Roman" w:hAnsi="Times New Roman" w:eastAsia="宋体" w:cs="Times New Roman"/>
                <w:color w:val="auto"/>
                <w:sz w:val="24"/>
                <w:szCs w:val="24"/>
              </w:rPr>
              <w:t>，昼间和夜间声环境质量基本保持稳定。</w:t>
            </w:r>
          </w:p>
          <w:p>
            <w:pPr>
              <w:pStyle w:val="158"/>
              <w:keepNext w:val="0"/>
              <w:keepLines w:val="0"/>
              <w:pageBreakBefore w:val="0"/>
              <w:widowControl/>
              <w:numPr>
                <w:ilvl w:val="0"/>
                <w:numId w:val="10"/>
              </w:numPr>
              <w:kinsoku/>
              <w:wordWrap/>
              <w:overflowPunct/>
              <w:topLinePunct w:val="0"/>
              <w:autoSpaceDE/>
              <w:autoSpaceDN/>
              <w:bidi w:val="0"/>
              <w:adjustRightInd w:val="0"/>
              <w:snapToGrid w:val="0"/>
              <w:spacing w:line="360" w:lineRule="auto"/>
              <w:ind w:firstLine="480" w:firstLineChars="200"/>
              <w:textAlignment w:val="auto"/>
              <w:outlineLvl w:val="9"/>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生态环境</w:t>
            </w:r>
          </w:p>
          <w:p>
            <w:pPr>
              <w:pStyle w:val="158"/>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textAlignment w:val="auto"/>
              <w:outlineLvl w:val="9"/>
              <w:rPr>
                <w:rFonts w:hint="default"/>
                <w:color w:val="auto"/>
              </w:rPr>
            </w:pPr>
            <w:r>
              <w:rPr>
                <w:rFonts w:hint="eastAsia" w:ascii="Times New Roman" w:hAnsi="Times New Roman" w:eastAsia="宋体" w:cs="Times New Roman"/>
                <w:color w:val="auto"/>
                <w:sz w:val="24"/>
                <w:szCs w:val="24"/>
              </w:rPr>
              <w:t>生态遥感监测结果显示，2019年全市生态环境状况指数为63.1，各市、区生态环境状况指数处于59.9～64.9之间，生态环境状况均处于良好状态。</w:t>
            </w:r>
          </w:p>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color w:val="auto"/>
                <w:sz w:val="24"/>
                <w:szCs w:val="24"/>
                <w:highlight w:val="none"/>
                <w:lang w:eastAsia="zh-CN"/>
              </w:rPr>
            </w:pPr>
            <w:r>
              <w:rPr>
                <w:rFonts w:hint="default" w:ascii="Times New Roman" w:hAnsi="Times New Roman" w:eastAsia="宋体" w:cs="Times New Roman"/>
                <w:b w:val="0"/>
                <w:bCs/>
                <w:color w:val="auto"/>
                <w:sz w:val="24"/>
                <w:szCs w:val="24"/>
                <w:highlight w:val="none"/>
                <w:lang w:eastAsia="zh-CN"/>
              </w:rPr>
              <w:t>5、环境影响分析</w:t>
            </w:r>
          </w:p>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napToGrid w:val="0"/>
                <w:color w:val="auto"/>
                <w:kern w:val="0"/>
                <w:sz w:val="24"/>
                <w:szCs w:val="24"/>
                <w:highlight w:val="none"/>
                <w:lang w:eastAsia="zh-CN"/>
              </w:rPr>
            </w:pPr>
            <w:r>
              <w:rPr>
                <w:rFonts w:hint="default" w:ascii="Times New Roman" w:hAnsi="Times New Roman" w:eastAsia="宋体" w:cs="Times New Roman"/>
                <w:snapToGrid w:val="0"/>
                <w:color w:val="auto"/>
                <w:kern w:val="0"/>
                <w:sz w:val="24"/>
                <w:szCs w:val="24"/>
                <w:highlight w:val="none"/>
                <w:lang w:eastAsia="zh-CN"/>
              </w:rPr>
              <w:t>（1）施工期环境影响分析</w:t>
            </w:r>
          </w:p>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napToGrid w:val="0"/>
                <w:color w:val="auto"/>
                <w:kern w:val="0"/>
                <w:sz w:val="24"/>
                <w:szCs w:val="24"/>
                <w:highlight w:val="none"/>
                <w:lang w:eastAsia="zh-CN"/>
              </w:rPr>
            </w:pPr>
            <w:r>
              <w:rPr>
                <w:rFonts w:hint="default" w:ascii="Times New Roman" w:hAnsi="Times New Roman" w:eastAsia="宋体" w:cs="Times New Roman"/>
                <w:snapToGrid w:val="0"/>
                <w:color w:val="auto"/>
                <w:kern w:val="0"/>
                <w:sz w:val="24"/>
                <w:szCs w:val="24"/>
                <w:highlight w:val="none"/>
                <w:lang w:eastAsia="zh-CN"/>
              </w:rPr>
              <w:t>本工程建设过程中，施工扬尘、噪声、垃圾、废水将会对周围环境产生不利影响，但采取相应控制措施后，可减小影响范围，减轻污染程度。</w:t>
            </w:r>
          </w:p>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napToGrid w:val="0"/>
                <w:color w:val="auto"/>
                <w:kern w:val="0"/>
                <w:sz w:val="24"/>
                <w:szCs w:val="24"/>
                <w:highlight w:val="none"/>
                <w:lang w:eastAsia="zh-CN"/>
              </w:rPr>
            </w:pPr>
            <w:r>
              <w:rPr>
                <w:rFonts w:hint="default" w:ascii="Times New Roman" w:hAnsi="Times New Roman" w:eastAsia="宋体" w:cs="Times New Roman"/>
                <w:snapToGrid w:val="0"/>
                <w:color w:val="auto"/>
                <w:kern w:val="0"/>
                <w:sz w:val="24"/>
                <w:szCs w:val="24"/>
                <w:highlight w:val="none"/>
                <w:lang w:eastAsia="zh-CN"/>
              </w:rPr>
              <w:t>（2）运行期环境影响分析</w:t>
            </w:r>
          </w:p>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大气</w:t>
            </w:r>
          </w:p>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本项目为利用光伏组件将太阳能转化为电能，太阳能利用属于清洁能源，运营过程中无废气产生，对大气环境无不利影响。</w:t>
            </w:r>
          </w:p>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rPr>
              <w:t>）地表水</w:t>
            </w:r>
          </w:p>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运行期</w:t>
            </w:r>
            <w:r>
              <w:rPr>
                <w:rFonts w:hint="default" w:ascii="Times New Roman" w:hAnsi="Times New Roman" w:eastAsia="宋体" w:cs="Times New Roman"/>
                <w:color w:val="auto"/>
                <w:sz w:val="24"/>
                <w:szCs w:val="24"/>
                <w:lang w:val="en-US" w:eastAsia="zh-CN"/>
              </w:rPr>
              <w:t>无</w:t>
            </w:r>
            <w:r>
              <w:rPr>
                <w:rFonts w:hint="default" w:ascii="Times New Roman" w:hAnsi="Times New Roman" w:eastAsia="宋体" w:cs="Times New Roman"/>
                <w:color w:val="auto"/>
                <w:sz w:val="24"/>
                <w:szCs w:val="24"/>
              </w:rPr>
              <w:t>生活污水</w:t>
            </w:r>
            <w:r>
              <w:rPr>
                <w:rFonts w:hint="default" w:ascii="Times New Roman" w:hAnsi="Times New Roman" w:eastAsia="宋体" w:cs="Times New Roman"/>
                <w:color w:val="auto"/>
                <w:kern w:val="0"/>
                <w:sz w:val="24"/>
                <w:szCs w:val="24"/>
                <w:lang w:val="en-US" w:eastAsia="zh-CN"/>
              </w:rPr>
              <w:t>产生</w:t>
            </w:r>
            <w:r>
              <w:rPr>
                <w:rFonts w:hint="default" w:ascii="Times New Roman" w:hAnsi="Times New Roman" w:eastAsia="宋体" w:cs="Times New Roman"/>
                <w:color w:val="auto"/>
                <w:sz w:val="24"/>
                <w:szCs w:val="24"/>
              </w:rPr>
              <w:t>；电池组件清洗废水散排就地蒸发</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不外排</w:t>
            </w:r>
            <w:r>
              <w:rPr>
                <w:rFonts w:hint="default" w:ascii="Times New Roman" w:hAnsi="Times New Roman" w:eastAsia="宋体" w:cs="Times New Roman"/>
                <w:color w:val="auto"/>
                <w:sz w:val="24"/>
                <w:szCs w:val="24"/>
              </w:rPr>
              <w:t>，故工程运行对区域地表水基本不会产生影响。</w:t>
            </w:r>
          </w:p>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rPr>
              <w:t>）声环境</w:t>
            </w:r>
          </w:p>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产生噪声的主要设备有：光伏阵列运行时无明显噪声，变压器、逆变器，应选用低噪声设备，并合理进行总平面布置。确保厂界噪声达到《工业企业厂界环境噪声排放标准》（GB12348-2008）中3类标准。</w:t>
            </w:r>
          </w:p>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4</w:t>
            </w:r>
            <w:r>
              <w:rPr>
                <w:rFonts w:hint="default" w:ascii="Times New Roman" w:hAnsi="Times New Roman" w:eastAsia="宋体" w:cs="Times New Roman"/>
                <w:color w:val="auto"/>
                <w:sz w:val="24"/>
                <w:szCs w:val="24"/>
              </w:rPr>
              <w:t>）固废</w:t>
            </w:r>
          </w:p>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运行期无</w:t>
            </w:r>
            <w:r>
              <w:rPr>
                <w:rFonts w:hint="default" w:ascii="Times New Roman" w:hAnsi="Times New Roman" w:eastAsia="宋体" w:cs="Times New Roman"/>
                <w:color w:val="auto"/>
                <w:sz w:val="24"/>
                <w:szCs w:val="24"/>
              </w:rPr>
              <w:t>生活垃圾</w:t>
            </w:r>
            <w:r>
              <w:rPr>
                <w:rFonts w:hint="default" w:ascii="Times New Roman" w:hAnsi="Times New Roman" w:eastAsia="宋体" w:cs="Times New Roman"/>
                <w:color w:val="auto"/>
                <w:sz w:val="24"/>
                <w:szCs w:val="24"/>
                <w:lang w:val="en-US" w:eastAsia="zh-CN"/>
              </w:rPr>
              <w:t>产生</w:t>
            </w:r>
            <w:r>
              <w:rPr>
                <w:rFonts w:hint="default" w:ascii="Times New Roman" w:hAnsi="Times New Roman" w:eastAsia="宋体" w:cs="Times New Roman"/>
                <w:color w:val="auto"/>
                <w:sz w:val="24"/>
                <w:szCs w:val="24"/>
              </w:rPr>
              <w:t>；废旧</w:t>
            </w:r>
            <w:r>
              <w:rPr>
                <w:rFonts w:hint="default" w:ascii="Times New Roman" w:hAnsi="Times New Roman" w:eastAsia="宋体" w:cs="Times New Roman"/>
                <w:color w:val="auto"/>
                <w:sz w:val="24"/>
                <w:szCs w:val="24"/>
                <w:lang w:val="en-US" w:eastAsia="zh-CN"/>
              </w:rPr>
              <w:t>太阳能电池板</w:t>
            </w:r>
            <w:r>
              <w:rPr>
                <w:rFonts w:hint="default" w:ascii="Times New Roman" w:hAnsi="Times New Roman" w:eastAsia="宋体" w:cs="Times New Roman"/>
                <w:color w:val="auto"/>
                <w:sz w:val="24"/>
                <w:szCs w:val="24"/>
              </w:rPr>
              <w:t>由厂家回收；废蓄电池、废变压器油：按照《危险废物转移联单管理办法》委托有危险废物处置资质的单位回收运输。</w:t>
            </w:r>
          </w:p>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本工程固废均妥善处置，不会造成二次污染。</w:t>
            </w:r>
          </w:p>
          <w:p>
            <w:pPr>
              <w:keepNext w:val="0"/>
              <w:keepLines w:val="0"/>
              <w:pageBreakBefore w:val="0"/>
              <w:numPr>
                <w:ilvl w:val="0"/>
                <w:numId w:val="11"/>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环境风险</w:t>
            </w:r>
          </w:p>
          <w:p>
            <w:pPr>
              <w:keepNext w:val="0"/>
              <w:keepLines w:val="0"/>
              <w:pageBreakBefore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kern w:val="0"/>
                <w:sz w:val="24"/>
                <w:szCs w:val="24"/>
              </w:rPr>
              <w:t>本项目在严格按照国家及地方有关规定，做好安全防范措施前提下，发生事故可能性较小，对周围环境风险较小。</w:t>
            </w:r>
          </w:p>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val="0"/>
                <w:color w:val="auto"/>
                <w:sz w:val="24"/>
                <w:szCs w:val="24"/>
                <w:highlight w:val="none"/>
              </w:rPr>
            </w:pPr>
            <w:r>
              <w:rPr>
                <w:rFonts w:hint="eastAsia" w:cs="Times New Roman"/>
                <w:b w:val="0"/>
                <w:bCs w:val="0"/>
                <w:color w:val="auto"/>
                <w:sz w:val="24"/>
                <w:szCs w:val="24"/>
                <w:highlight w:val="none"/>
                <w:lang w:val="en-US" w:eastAsia="zh-CN"/>
              </w:rPr>
              <w:t>6</w:t>
            </w:r>
            <w:r>
              <w:rPr>
                <w:rFonts w:hint="default" w:ascii="Times New Roman" w:hAnsi="Times New Roman" w:eastAsia="宋体" w:cs="Times New Roman"/>
                <w:b w:val="0"/>
                <w:bCs w:val="0"/>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rPr>
              <w:t>总量控制</w:t>
            </w:r>
          </w:p>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kern w:val="0"/>
                <w:sz w:val="24"/>
                <w:szCs w:val="24"/>
                <w:highlight w:val="none"/>
                <w:lang w:eastAsia="zh-CN"/>
              </w:rPr>
            </w:pPr>
            <w:r>
              <w:rPr>
                <w:rFonts w:hint="default" w:ascii="Times New Roman" w:hAnsi="Times New Roman" w:eastAsia="宋体" w:cs="Times New Roman"/>
                <w:color w:val="auto"/>
                <w:sz w:val="24"/>
                <w:szCs w:val="24"/>
                <w:highlight w:val="none"/>
                <w:lang w:eastAsia="zh-CN"/>
              </w:rPr>
              <w:t>根据《“十三五”全国主要污染物排放总量控制规划”》，“十三五”期间总量控制的指标为：废气中的二氧化硫、氮氧化物，废水中的化学需氧量、氨氮。本项目不涉及上述污染物的排放，不需申请主要污染物总量指标。</w:t>
            </w:r>
          </w:p>
          <w:p>
            <w:pPr>
              <w:keepNext w:val="0"/>
              <w:keepLines w:val="0"/>
              <w:pageBreakBefore w:val="0"/>
              <w:kinsoku/>
              <w:wordWrap/>
              <w:overflowPunct/>
              <w:topLinePunct w:val="0"/>
              <w:autoSpaceDE/>
              <w:autoSpaceDN/>
              <w:bidi w:val="0"/>
              <w:adjustRightInd w:val="0"/>
              <w:snapToGrid w:val="0"/>
              <w:spacing w:line="360" w:lineRule="auto"/>
              <w:ind w:firstLine="482" w:firstLineChars="200"/>
              <w:textAlignment w:val="auto"/>
              <w:rPr>
                <w:rFonts w:eastAsia="PMingLiU"/>
                <w:b/>
                <w:color w:val="auto"/>
                <w:sz w:val="24"/>
                <w:highlight w:val="yellow"/>
              </w:rPr>
            </w:pPr>
            <w:r>
              <w:rPr>
                <w:rFonts w:hint="default" w:ascii="Times New Roman" w:hAnsi="Times New Roman" w:eastAsia="宋体" w:cs="Times New Roman"/>
                <w:b/>
                <w:color w:val="auto"/>
                <w:sz w:val="24"/>
                <w:szCs w:val="24"/>
              </w:rPr>
              <w:t>综上所述，从环保角度看，本工程在拟建地的建设是可行的。</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cs="Times New Roman"/>
                <w:b/>
                <w:color w:val="auto"/>
                <w:sz w:val="24"/>
                <w:highlight w:val="none"/>
              </w:rPr>
            </w:pPr>
            <w:r>
              <w:rPr>
                <w:rFonts w:hint="eastAsia" w:cs="Times New Roman"/>
                <w:b/>
                <w:color w:val="auto"/>
                <w:sz w:val="24"/>
                <w:highlight w:val="none"/>
                <w:lang w:val="en-US" w:eastAsia="zh-CN"/>
              </w:rPr>
              <w:t>7</w:t>
            </w:r>
            <w:r>
              <w:rPr>
                <w:rFonts w:hint="default" w:ascii="Times New Roman" w:hAnsi="Times New Roman" w:cs="Times New Roman"/>
                <w:b/>
                <w:color w:val="auto"/>
                <w:sz w:val="24"/>
                <w:highlight w:val="none"/>
              </w:rPr>
              <w:t>、 建设项目环保设施“三同时”验收一览表</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PMingLiU" w:cs="Times New Roman"/>
                <w:color w:val="auto"/>
                <w:sz w:val="24"/>
                <w:highlight w:val="none"/>
              </w:rPr>
            </w:pPr>
            <w:r>
              <w:rPr>
                <w:rFonts w:hint="default" w:ascii="Times New Roman" w:hAnsi="Times New Roman" w:cs="Times New Roman"/>
                <w:color w:val="auto"/>
                <w:sz w:val="24"/>
                <w:highlight w:val="none"/>
              </w:rPr>
              <w:t xml:space="preserve"> 建设项目环保设施“三同时”验收一览表见表</w:t>
            </w:r>
            <w:r>
              <w:rPr>
                <w:rFonts w:hint="default" w:ascii="Times New Roman" w:hAnsi="Times New Roman" w:cs="Times New Roman"/>
                <w:color w:val="auto"/>
                <w:sz w:val="24"/>
                <w:highlight w:val="none"/>
                <w:lang w:val="en-US" w:eastAsia="zh-CN"/>
              </w:rPr>
              <w:t>19</w:t>
            </w:r>
            <w:r>
              <w:rPr>
                <w:rFonts w:hint="default" w:ascii="Times New Roman" w:hAnsi="Times New Roman" w:cs="Times New Roman"/>
                <w:color w:val="auto"/>
                <w:sz w:val="24"/>
                <w:highlight w:val="none"/>
              </w:rPr>
              <w:t>。</w:t>
            </w:r>
          </w:p>
          <w:p>
            <w:pPr>
              <w:pStyle w:val="106"/>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表</w:t>
            </w:r>
            <w:r>
              <w:rPr>
                <w:rFonts w:hint="default" w:ascii="Times New Roman" w:hAnsi="Times New Roman" w:cs="Times New Roman"/>
                <w:color w:val="auto"/>
                <w:sz w:val="24"/>
                <w:szCs w:val="24"/>
                <w:highlight w:val="none"/>
                <w:lang w:val="en-US" w:eastAsia="zh-CN"/>
              </w:rPr>
              <w:t>19</w:t>
            </w:r>
            <w:r>
              <w:rPr>
                <w:rFonts w:hint="default" w:ascii="Times New Roman" w:hAnsi="Times New Roman" w:cs="Times New Roman"/>
                <w:color w:val="auto"/>
                <w:sz w:val="24"/>
                <w:szCs w:val="24"/>
                <w:highlight w:val="none"/>
              </w:rPr>
              <w:t xml:space="preserve"> 建设项目</w:t>
            </w:r>
            <w:r>
              <w:rPr>
                <w:rFonts w:hint="default" w:ascii="Times New Roman" w:hAnsi="Times New Roman" w:cs="Times New Roman"/>
                <w:color w:val="auto"/>
                <w:sz w:val="24"/>
                <w:szCs w:val="24"/>
                <w:highlight w:val="none"/>
                <w:lang w:val="en-US" w:eastAsia="zh-CN"/>
              </w:rPr>
              <w:t>环保设施</w:t>
            </w:r>
            <w:r>
              <w:rPr>
                <w:rFonts w:hint="default" w:ascii="Times New Roman" w:hAnsi="Times New Roman" w:cs="Times New Roman"/>
                <w:color w:val="auto"/>
                <w:sz w:val="24"/>
                <w:szCs w:val="24"/>
                <w:highlight w:val="none"/>
              </w:rPr>
              <w:t>“三同时”验收一览表</w:t>
            </w:r>
          </w:p>
          <w:tbl>
            <w:tblPr>
              <w:tblStyle w:val="30"/>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348"/>
              <w:gridCol w:w="430"/>
              <w:gridCol w:w="1966"/>
              <w:gridCol w:w="325"/>
              <w:gridCol w:w="1452"/>
              <w:gridCol w:w="1737"/>
              <w:gridCol w:w="1291"/>
              <w:gridCol w:w="12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41" w:type="pct"/>
                  <w:gridSpan w:val="2"/>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项目</w:t>
                  </w:r>
                </w:p>
              </w:tc>
              <w:tc>
                <w:tcPr>
                  <w:tcW w:w="1120" w:type="pct"/>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主要环境保护措施</w:t>
                  </w:r>
                </w:p>
              </w:tc>
              <w:tc>
                <w:tcPr>
                  <w:tcW w:w="180" w:type="pct"/>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数量</w:t>
                  </w:r>
                </w:p>
              </w:tc>
              <w:tc>
                <w:tcPr>
                  <w:tcW w:w="829" w:type="pct"/>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措施效果</w:t>
                  </w:r>
                </w:p>
              </w:tc>
              <w:tc>
                <w:tcPr>
                  <w:tcW w:w="951" w:type="pct"/>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执行标准</w:t>
                  </w:r>
                </w:p>
              </w:tc>
              <w:tc>
                <w:tcPr>
                  <w:tcW w:w="738" w:type="pct"/>
                  <w:vAlign w:val="center"/>
                </w:tcPr>
                <w:p>
                  <w:pPr>
                    <w:pStyle w:val="191"/>
                    <w:spacing w:line="240" w:lineRule="exact"/>
                    <w:jc w:val="center"/>
                    <w:rPr>
                      <w:rFonts w:hint="default" w:ascii="Times New Roman" w:hAnsi="Times New Roman" w:eastAsia="宋体" w:cs="Times New Roman"/>
                      <w:color w:val="auto"/>
                      <w:kern w:val="0"/>
                      <w:sz w:val="18"/>
                      <w:szCs w:val="18"/>
                      <w:lang w:val="en-GB" w:eastAsia="zh-TW" w:bidi="ar-SA"/>
                    </w:rPr>
                  </w:pPr>
                  <w:r>
                    <w:rPr>
                      <w:rFonts w:hint="default" w:ascii="Times New Roman" w:hAnsi="Times New Roman" w:cs="Times New Roman"/>
                      <w:color w:val="auto"/>
                      <w:sz w:val="18"/>
                      <w:szCs w:val="18"/>
                    </w:rPr>
                    <w:t>环保投资（万元）</w:t>
                  </w:r>
                </w:p>
              </w:tc>
              <w:tc>
                <w:tcPr>
                  <w:tcW w:w="738" w:type="pct"/>
                  <w:vAlign w:val="center"/>
                </w:tcPr>
                <w:p>
                  <w:pPr>
                    <w:pStyle w:val="191"/>
                    <w:spacing w:line="240" w:lineRule="exact"/>
                    <w:jc w:val="center"/>
                    <w:rPr>
                      <w:rFonts w:hint="default" w:ascii="Times New Roman" w:hAnsi="Times New Roman" w:eastAsia="宋体" w:cs="Times New Roman"/>
                      <w:color w:val="auto"/>
                      <w:kern w:val="0"/>
                      <w:sz w:val="18"/>
                      <w:szCs w:val="18"/>
                      <w:lang w:val="en-GB" w:eastAsia="zh-TW" w:bidi="ar-SA"/>
                    </w:rPr>
                  </w:pPr>
                  <w:r>
                    <w:rPr>
                      <w:rFonts w:hint="default" w:ascii="Times New Roman" w:hAnsi="Times New Roman" w:cs="Times New Roman"/>
                      <w:color w:val="auto"/>
                      <w:sz w:val="18"/>
                      <w:szCs w:val="18"/>
                    </w:rPr>
                    <w:t>完成时间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3" w:hRule="atLeast"/>
                <w:jc w:val="center"/>
              </w:trPr>
              <w:tc>
                <w:tcPr>
                  <w:tcW w:w="205" w:type="pct"/>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噪声</w:t>
                  </w:r>
                </w:p>
              </w:tc>
              <w:tc>
                <w:tcPr>
                  <w:tcW w:w="236" w:type="pct"/>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变压器、逆变器</w:t>
                  </w:r>
                </w:p>
              </w:tc>
              <w:tc>
                <w:tcPr>
                  <w:tcW w:w="1120" w:type="pct"/>
                  <w:vAlign w:val="center"/>
                </w:tcPr>
                <w:p>
                  <w:pPr>
                    <w:jc w:val="center"/>
                    <w:rPr>
                      <w:rFonts w:hint="default" w:ascii="Times New Roman" w:hAnsi="Times New Roman" w:cs="Times New Roman"/>
                      <w:color w:val="auto"/>
                      <w:szCs w:val="21"/>
                    </w:rPr>
                  </w:pPr>
                  <w:r>
                    <w:rPr>
                      <w:rFonts w:hint="default" w:ascii="Times New Roman" w:hAnsi="Times New Roman" w:cs="Times New Roman"/>
                      <w:bCs/>
                      <w:color w:val="auto"/>
                      <w:szCs w:val="21"/>
                    </w:rPr>
                    <w:t>应选用低噪声设备，并合理进行总平面布置</w:t>
                  </w:r>
                  <w:r>
                    <w:rPr>
                      <w:rFonts w:hint="default" w:ascii="Times New Roman" w:hAnsi="Times New Roman" w:cs="Times New Roman"/>
                      <w:color w:val="auto"/>
                      <w:szCs w:val="21"/>
                    </w:rPr>
                    <w:t>。</w:t>
                  </w:r>
                </w:p>
              </w:tc>
              <w:tc>
                <w:tcPr>
                  <w:tcW w:w="180" w:type="pct"/>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829" w:type="pct"/>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厂界噪声达标</w:t>
                  </w:r>
                </w:p>
              </w:tc>
              <w:tc>
                <w:tcPr>
                  <w:tcW w:w="951" w:type="pct"/>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厂界噪声执行《工业企业厂界环境噪声排放标准》（GB12348-2008）中3类标准</w:t>
                  </w:r>
                </w:p>
              </w:tc>
              <w:tc>
                <w:tcPr>
                  <w:tcW w:w="738" w:type="pct"/>
                  <w:vAlign w:val="center"/>
                </w:tcPr>
                <w:p>
                  <w:pPr>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w:t>
                  </w:r>
                </w:p>
              </w:tc>
              <w:tc>
                <w:tcPr>
                  <w:tcW w:w="738" w:type="pct"/>
                  <w:vMerge w:val="restart"/>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 w:val="18"/>
                      <w:szCs w:val="18"/>
                    </w:rPr>
                    <w:t>与建设项目同步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3" w:hRule="atLeast"/>
                <w:jc w:val="center"/>
              </w:trPr>
              <w:tc>
                <w:tcPr>
                  <w:tcW w:w="205" w:type="pct"/>
                  <w:vMerge w:val="restart"/>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固废</w:t>
                  </w:r>
                </w:p>
              </w:tc>
              <w:tc>
                <w:tcPr>
                  <w:tcW w:w="236" w:type="pct"/>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废旧太阳能电池板</w:t>
                  </w:r>
                </w:p>
                <w:p>
                  <w:pPr>
                    <w:jc w:val="center"/>
                    <w:rPr>
                      <w:rFonts w:hint="default" w:ascii="Times New Roman" w:hAnsi="Times New Roman" w:eastAsia="宋体" w:cs="Times New Roman"/>
                      <w:color w:val="auto"/>
                      <w:kern w:val="2"/>
                      <w:sz w:val="21"/>
                      <w:szCs w:val="21"/>
                      <w:lang w:val="en-GB" w:eastAsia="zh-TW" w:bidi="ar-SA"/>
                    </w:rPr>
                  </w:pPr>
                </w:p>
              </w:tc>
              <w:tc>
                <w:tcPr>
                  <w:tcW w:w="1120" w:type="pct"/>
                  <w:vAlign w:val="center"/>
                </w:tcPr>
                <w:p>
                  <w:pPr>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kern w:val="2"/>
                      <w:sz w:val="21"/>
                      <w:szCs w:val="21"/>
                      <w:lang w:val="en-US" w:eastAsia="zh-CN" w:bidi="ar-SA"/>
                    </w:rPr>
                    <w:t>/</w:t>
                  </w:r>
                </w:p>
              </w:tc>
              <w:tc>
                <w:tcPr>
                  <w:tcW w:w="180" w:type="pct"/>
                  <w:vAlign w:val="center"/>
                </w:tcPr>
                <w:p>
                  <w:pPr>
                    <w:jc w:val="center"/>
                    <w:rPr>
                      <w:rFonts w:hint="default" w:ascii="Times New Roman" w:hAnsi="Times New Roman" w:eastAsia="宋体" w:cs="Times New Roman"/>
                      <w:color w:val="auto"/>
                      <w:kern w:val="2"/>
                      <w:sz w:val="21"/>
                      <w:szCs w:val="21"/>
                      <w:lang w:val="en-GB" w:eastAsia="zh-TW" w:bidi="ar-SA"/>
                    </w:rPr>
                  </w:pPr>
                  <w:r>
                    <w:rPr>
                      <w:rFonts w:hint="default" w:ascii="Times New Roman" w:hAnsi="Times New Roman" w:cs="Times New Roman"/>
                      <w:color w:val="auto"/>
                      <w:szCs w:val="21"/>
                      <w:lang w:val="en-US" w:eastAsia="zh-CN"/>
                    </w:rPr>
                    <w:t>161</w:t>
                  </w:r>
                  <w:r>
                    <w:rPr>
                      <w:rFonts w:hint="default" w:ascii="Times New Roman" w:hAnsi="Times New Roman" w:cs="Times New Roman"/>
                      <w:color w:val="auto"/>
                      <w:szCs w:val="21"/>
                    </w:rPr>
                    <w:t>块/a</w:t>
                  </w:r>
                </w:p>
              </w:tc>
              <w:tc>
                <w:tcPr>
                  <w:tcW w:w="829" w:type="pct"/>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厂家回收</w:t>
                  </w:r>
                </w:p>
              </w:tc>
              <w:tc>
                <w:tcPr>
                  <w:tcW w:w="951" w:type="pct"/>
                  <w:vAlign w:val="center"/>
                </w:tcPr>
                <w:p>
                  <w:pPr>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不产生二次污染</w:t>
                  </w:r>
                </w:p>
              </w:tc>
              <w:tc>
                <w:tcPr>
                  <w:tcW w:w="738" w:type="pct"/>
                  <w:vAlign w:val="center"/>
                </w:tcPr>
                <w:p>
                  <w:pPr>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w:t>
                  </w:r>
                </w:p>
              </w:tc>
              <w:tc>
                <w:tcPr>
                  <w:tcW w:w="738" w:type="pct"/>
                  <w:vMerge w:val="continue"/>
                  <w:vAlign w:val="center"/>
                </w:tcPr>
                <w:p>
                  <w:pPr>
                    <w:jc w:val="center"/>
                    <w:rPr>
                      <w:rFonts w:hint="default" w:ascii="Times New Roman" w:hAnsi="Times New Roman" w:cs="Times New Roman"/>
                      <w:color w:val="auto"/>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47" w:hRule="atLeast"/>
                <w:jc w:val="center"/>
              </w:trPr>
              <w:tc>
                <w:tcPr>
                  <w:tcW w:w="205" w:type="pct"/>
                  <w:vMerge w:val="continue"/>
                  <w:vAlign w:val="center"/>
                </w:tcPr>
                <w:p>
                  <w:pPr>
                    <w:jc w:val="center"/>
                    <w:rPr>
                      <w:rFonts w:hint="default" w:ascii="Times New Roman" w:hAnsi="Times New Roman" w:cs="Times New Roman"/>
                      <w:color w:val="auto"/>
                      <w:szCs w:val="21"/>
                    </w:rPr>
                  </w:pPr>
                </w:p>
              </w:tc>
              <w:tc>
                <w:tcPr>
                  <w:tcW w:w="236" w:type="pct"/>
                  <w:vMerge w:val="restart"/>
                  <w:tcBorders>
                    <w:top w:val="single" w:color="000000"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废</w:t>
                  </w:r>
                  <w:r>
                    <w:rPr>
                      <w:rFonts w:hint="default" w:ascii="Times New Roman" w:hAnsi="Times New Roman" w:cs="Times New Roman"/>
                      <w:color w:val="auto"/>
                      <w:szCs w:val="21"/>
                      <w:lang w:val="en-US" w:eastAsia="zh-CN"/>
                    </w:rPr>
                    <w:t>变压器</w:t>
                  </w:r>
                  <w:r>
                    <w:rPr>
                      <w:rFonts w:hint="default" w:ascii="Times New Roman" w:hAnsi="Times New Roman" w:cs="Times New Roman"/>
                      <w:color w:val="auto"/>
                      <w:szCs w:val="21"/>
                    </w:rPr>
                    <w:t>油、废蓄电池</w:t>
                  </w:r>
                </w:p>
              </w:tc>
              <w:tc>
                <w:tcPr>
                  <w:tcW w:w="1120" w:type="pct"/>
                  <w:tcBorders>
                    <w:top w:val="single" w:color="000000" w:sz="4" w:space="0"/>
                  </w:tcBorders>
                  <w:vAlign w:val="center"/>
                </w:tcPr>
                <w:p>
                  <w:pPr>
                    <w:jc w:val="center"/>
                    <w:rPr>
                      <w:rFonts w:hint="default" w:ascii="Times New Roman" w:hAnsi="Times New Roman" w:eastAsia="宋体" w:cs="Times New Roman"/>
                      <w:bCs/>
                      <w:color w:val="auto"/>
                      <w:kern w:val="2"/>
                      <w:sz w:val="21"/>
                      <w:szCs w:val="21"/>
                      <w:lang w:val="en-GB" w:eastAsia="zh-TW" w:bidi="ar-SA"/>
                    </w:rPr>
                  </w:pPr>
                  <w:r>
                    <w:rPr>
                      <w:rFonts w:hint="default" w:ascii="Times New Roman" w:hAnsi="Times New Roman" w:cs="Times New Roman"/>
                      <w:bCs/>
                      <w:color w:val="auto"/>
                      <w:szCs w:val="21"/>
                    </w:rPr>
                    <w:t>危废暂存间</w:t>
                  </w:r>
                </w:p>
              </w:tc>
              <w:tc>
                <w:tcPr>
                  <w:tcW w:w="180" w:type="pct"/>
                  <w:tcBorders>
                    <w:top w:val="single" w:color="000000" w:sz="4" w:space="0"/>
                  </w:tcBorders>
                  <w:vAlign w:val="center"/>
                </w:tcPr>
                <w:p>
                  <w:pPr>
                    <w:jc w:val="center"/>
                    <w:rPr>
                      <w:rFonts w:hint="default" w:ascii="Times New Roman" w:hAnsi="Times New Roman" w:eastAsia="宋体" w:cs="Times New Roman"/>
                      <w:color w:val="auto"/>
                      <w:kern w:val="2"/>
                      <w:sz w:val="21"/>
                      <w:szCs w:val="21"/>
                      <w:lang w:val="en-GB" w:eastAsia="zh-TW" w:bidi="ar-SA"/>
                    </w:rPr>
                  </w:pPr>
                  <w:r>
                    <w:rPr>
                      <w:rFonts w:hint="default" w:ascii="Times New Roman" w:hAnsi="Times New Roman" w:cs="Times New Roman"/>
                      <w:color w:val="auto"/>
                      <w:szCs w:val="21"/>
                    </w:rPr>
                    <w:t>1间</w:t>
                  </w:r>
                </w:p>
              </w:tc>
              <w:tc>
                <w:tcPr>
                  <w:tcW w:w="829" w:type="pct"/>
                  <w:vMerge w:val="restart"/>
                  <w:tcBorders>
                    <w:top w:val="single" w:color="000000" w:sz="4" w:space="0"/>
                  </w:tcBorders>
                  <w:vAlign w:val="center"/>
                </w:tcPr>
                <w:p>
                  <w:pPr>
                    <w:jc w:val="center"/>
                    <w:rPr>
                      <w:rFonts w:hint="default" w:ascii="Times New Roman" w:hAnsi="Times New Roman" w:eastAsia="宋体" w:cs="Times New Roman"/>
                      <w:color w:val="auto"/>
                      <w:kern w:val="2"/>
                      <w:sz w:val="21"/>
                      <w:szCs w:val="21"/>
                      <w:lang w:val="en-GB" w:eastAsia="zh-TW" w:bidi="ar-SA"/>
                    </w:rPr>
                  </w:pPr>
                  <w:r>
                    <w:rPr>
                      <w:rFonts w:hint="default" w:ascii="Times New Roman" w:hAnsi="Times New Roman" w:cs="Times New Roman"/>
                      <w:color w:val="auto"/>
                      <w:szCs w:val="21"/>
                    </w:rPr>
                    <w:t>事故油池及危废暂存间应防渗、防风、防雨，执行危险废物转移五联单制度，由有资质单位回收</w:t>
                  </w:r>
                </w:p>
              </w:tc>
              <w:tc>
                <w:tcPr>
                  <w:tcW w:w="951" w:type="pct"/>
                  <w:vMerge w:val="restart"/>
                  <w:tcBorders>
                    <w:top w:val="single" w:color="000000" w:sz="4" w:space="0"/>
                  </w:tcBorders>
                  <w:vAlign w:val="center"/>
                </w:tcPr>
                <w:p>
                  <w:pPr>
                    <w:jc w:val="center"/>
                    <w:rPr>
                      <w:rFonts w:hint="default" w:ascii="Times New Roman" w:hAnsi="Times New Roman" w:eastAsia="宋体" w:cs="Times New Roman"/>
                      <w:bCs/>
                      <w:color w:val="auto"/>
                      <w:kern w:val="2"/>
                      <w:sz w:val="21"/>
                      <w:szCs w:val="21"/>
                      <w:lang w:val="en-GB" w:eastAsia="zh-TW" w:bidi="ar-SA"/>
                    </w:rPr>
                  </w:pPr>
                  <w:r>
                    <w:rPr>
                      <w:rFonts w:hint="default" w:ascii="Times New Roman" w:hAnsi="Times New Roman" w:cs="Times New Roman"/>
                      <w:bCs/>
                      <w:color w:val="auto"/>
                      <w:szCs w:val="21"/>
                    </w:rPr>
                    <w:t>《危险废物贮存污染控制标准》(GB18597-2001)及2013年修改单，</w:t>
                  </w:r>
                  <w:r>
                    <w:rPr>
                      <w:rFonts w:hint="default" w:ascii="Times New Roman" w:hAnsi="Times New Roman" w:cs="Times New Roman"/>
                      <w:color w:val="auto"/>
                      <w:szCs w:val="21"/>
                    </w:rPr>
                    <w:t>危险废物转移五联单制度</w:t>
                  </w:r>
                </w:p>
              </w:tc>
              <w:tc>
                <w:tcPr>
                  <w:tcW w:w="738" w:type="pct"/>
                  <w:tcBorders>
                    <w:top w:val="single" w:color="000000" w:sz="4" w:space="0"/>
                  </w:tcBorders>
                  <w:vAlign w:val="center"/>
                </w:tcPr>
                <w:p>
                  <w:pPr>
                    <w:jc w:val="center"/>
                    <w:rPr>
                      <w:rFonts w:hint="default" w:ascii="Times New Roman" w:hAnsi="Times New Roman" w:eastAsia="宋体" w:cs="Times New Roman"/>
                      <w:bCs/>
                      <w:color w:val="auto"/>
                      <w:szCs w:val="21"/>
                      <w:lang w:val="en-US" w:eastAsia="zh-CN"/>
                    </w:rPr>
                  </w:pPr>
                  <w:r>
                    <w:rPr>
                      <w:rFonts w:hint="default" w:ascii="Times New Roman" w:hAnsi="Times New Roman" w:cs="Times New Roman"/>
                      <w:bCs/>
                      <w:color w:val="auto"/>
                      <w:szCs w:val="21"/>
                      <w:lang w:val="en-US" w:eastAsia="zh-CN"/>
                    </w:rPr>
                    <w:t>10</w:t>
                  </w:r>
                </w:p>
              </w:tc>
              <w:tc>
                <w:tcPr>
                  <w:tcW w:w="738" w:type="pct"/>
                  <w:vMerge w:val="continue"/>
                  <w:vAlign w:val="center"/>
                </w:tcPr>
                <w:p>
                  <w:pPr>
                    <w:jc w:val="center"/>
                    <w:rPr>
                      <w:rFonts w:hint="default" w:ascii="Times New Roman" w:hAnsi="Times New Roman" w:cs="Times New Roman"/>
                      <w:bCs/>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74" w:hRule="atLeast"/>
                <w:jc w:val="center"/>
              </w:trPr>
              <w:tc>
                <w:tcPr>
                  <w:tcW w:w="205" w:type="pct"/>
                  <w:vMerge w:val="continue"/>
                  <w:vAlign w:val="center"/>
                </w:tcPr>
                <w:p>
                  <w:pPr>
                    <w:jc w:val="center"/>
                    <w:rPr>
                      <w:rFonts w:hint="default" w:ascii="Times New Roman" w:hAnsi="Times New Roman" w:cs="Times New Roman"/>
                      <w:color w:val="auto"/>
                      <w:szCs w:val="21"/>
                    </w:rPr>
                  </w:pPr>
                </w:p>
              </w:tc>
              <w:tc>
                <w:tcPr>
                  <w:tcW w:w="236" w:type="pct"/>
                  <w:vMerge w:val="continue"/>
                  <w:vAlign w:val="center"/>
                </w:tcPr>
                <w:p>
                  <w:pPr>
                    <w:jc w:val="center"/>
                    <w:rPr>
                      <w:rFonts w:hint="default" w:ascii="Times New Roman" w:hAnsi="Times New Roman" w:cs="Times New Roman"/>
                      <w:color w:val="auto"/>
                      <w:szCs w:val="21"/>
                    </w:rPr>
                  </w:pPr>
                </w:p>
              </w:tc>
              <w:tc>
                <w:tcPr>
                  <w:tcW w:w="1120" w:type="pct"/>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容积为</w:t>
                  </w:r>
                  <w:r>
                    <w:rPr>
                      <w:rFonts w:hint="default" w:ascii="Times New Roman" w:hAnsi="Times New Roman" w:cs="Times New Roman"/>
                      <w:bCs/>
                      <w:color w:val="auto"/>
                      <w:szCs w:val="21"/>
                      <w:lang w:val="en-US" w:eastAsia="zh-CN"/>
                    </w:rPr>
                    <w:t>1.68</w:t>
                  </w:r>
                  <w:r>
                    <w:rPr>
                      <w:rFonts w:hint="default" w:ascii="Times New Roman" w:hAnsi="Times New Roman" w:cs="Times New Roman"/>
                      <w:bCs/>
                      <w:color w:val="auto"/>
                      <w:szCs w:val="21"/>
                    </w:rPr>
                    <w:t>m</w:t>
                  </w:r>
                  <w:r>
                    <w:rPr>
                      <w:rFonts w:hint="default" w:ascii="Times New Roman" w:hAnsi="Times New Roman" w:cs="Times New Roman"/>
                      <w:bCs/>
                      <w:color w:val="auto"/>
                      <w:szCs w:val="21"/>
                      <w:vertAlign w:val="superscript"/>
                    </w:rPr>
                    <w:t>3</w:t>
                  </w:r>
                  <w:r>
                    <w:rPr>
                      <w:rFonts w:hint="default" w:ascii="Times New Roman" w:hAnsi="Times New Roman" w:cs="Times New Roman"/>
                      <w:bCs/>
                      <w:color w:val="auto"/>
                      <w:szCs w:val="21"/>
                    </w:rPr>
                    <w:t>的事故油池</w:t>
                  </w:r>
                </w:p>
              </w:tc>
              <w:tc>
                <w:tcPr>
                  <w:tcW w:w="180" w:type="pct"/>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w:t>
                  </w:r>
                  <w:r>
                    <w:rPr>
                      <w:rFonts w:hint="default" w:ascii="Times New Roman" w:hAnsi="Times New Roman" w:cs="Times New Roman"/>
                      <w:color w:val="auto"/>
                      <w:szCs w:val="21"/>
                      <w:lang w:val="en-US" w:eastAsia="zh-CN"/>
                    </w:rPr>
                    <w:t>0</w:t>
                  </w:r>
                  <w:r>
                    <w:rPr>
                      <w:rFonts w:hint="default" w:ascii="Times New Roman" w:hAnsi="Times New Roman" w:cs="Times New Roman"/>
                      <w:color w:val="auto"/>
                      <w:szCs w:val="21"/>
                    </w:rPr>
                    <w:t>个</w:t>
                  </w:r>
                </w:p>
              </w:tc>
              <w:tc>
                <w:tcPr>
                  <w:tcW w:w="829" w:type="pct"/>
                  <w:vMerge w:val="continue"/>
                  <w:vAlign w:val="center"/>
                </w:tcPr>
                <w:p>
                  <w:pPr>
                    <w:jc w:val="center"/>
                    <w:rPr>
                      <w:rFonts w:hint="default" w:ascii="Times New Roman" w:hAnsi="Times New Roman" w:cs="Times New Roman"/>
                      <w:color w:val="auto"/>
                      <w:szCs w:val="21"/>
                    </w:rPr>
                  </w:pPr>
                </w:p>
              </w:tc>
              <w:tc>
                <w:tcPr>
                  <w:tcW w:w="951" w:type="pct"/>
                  <w:vMerge w:val="continue"/>
                  <w:vAlign w:val="center"/>
                </w:tcPr>
                <w:p>
                  <w:pPr>
                    <w:jc w:val="center"/>
                    <w:rPr>
                      <w:rFonts w:hint="default" w:ascii="Times New Roman" w:hAnsi="Times New Roman" w:cs="Times New Roman"/>
                      <w:bCs/>
                      <w:color w:val="auto"/>
                      <w:szCs w:val="21"/>
                    </w:rPr>
                  </w:pPr>
                </w:p>
              </w:tc>
              <w:tc>
                <w:tcPr>
                  <w:tcW w:w="738" w:type="pct"/>
                  <w:vAlign w:val="center"/>
                </w:tcPr>
                <w:p>
                  <w:pPr>
                    <w:jc w:val="center"/>
                    <w:rPr>
                      <w:rFonts w:hint="default" w:ascii="Times New Roman" w:hAnsi="Times New Roman" w:eastAsia="宋体" w:cs="Times New Roman"/>
                      <w:bCs/>
                      <w:color w:val="auto"/>
                      <w:szCs w:val="21"/>
                      <w:lang w:val="en-US" w:eastAsia="zh-CN"/>
                    </w:rPr>
                  </w:pPr>
                  <w:r>
                    <w:rPr>
                      <w:rFonts w:hint="default" w:ascii="Times New Roman" w:hAnsi="Times New Roman" w:cs="Times New Roman"/>
                      <w:bCs/>
                      <w:color w:val="auto"/>
                      <w:szCs w:val="21"/>
                      <w:lang w:val="en-US" w:eastAsia="zh-CN"/>
                    </w:rPr>
                    <w:t>6</w:t>
                  </w:r>
                </w:p>
              </w:tc>
              <w:tc>
                <w:tcPr>
                  <w:tcW w:w="738" w:type="pct"/>
                  <w:vMerge w:val="continue"/>
                  <w:vAlign w:val="center"/>
                </w:tcPr>
                <w:p>
                  <w:pPr>
                    <w:jc w:val="center"/>
                    <w:rPr>
                      <w:rFonts w:hint="default" w:ascii="Times New Roman" w:hAnsi="Times New Roman" w:cs="Times New Roman"/>
                      <w:bCs/>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66" w:hRule="atLeast"/>
                <w:jc w:val="center"/>
              </w:trPr>
              <w:tc>
                <w:tcPr>
                  <w:tcW w:w="205" w:type="pct"/>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生态</w:t>
                  </w:r>
                </w:p>
              </w:tc>
              <w:tc>
                <w:tcPr>
                  <w:tcW w:w="236" w:type="pct"/>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生态环境</w:t>
                  </w:r>
                </w:p>
              </w:tc>
              <w:tc>
                <w:tcPr>
                  <w:tcW w:w="1120" w:type="pct"/>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1）项目占地区域无废弃土石方及建筑垃圾的堆放；</w:t>
                  </w:r>
                </w:p>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2）光伏组件区域地面的</w:t>
                  </w:r>
                  <w:r>
                    <w:rPr>
                      <w:rFonts w:hint="default" w:ascii="Times New Roman" w:hAnsi="Times New Roman" w:cs="Times New Roman"/>
                      <w:color w:val="auto"/>
                      <w:sz w:val="24"/>
                    </w:rPr>
                    <w:t>裸露</w:t>
                  </w:r>
                  <w:r>
                    <w:rPr>
                      <w:rFonts w:hint="default" w:ascii="Times New Roman" w:hAnsi="Times New Roman" w:cs="Times New Roman"/>
                      <w:color w:val="auto"/>
                      <w:szCs w:val="21"/>
                    </w:rPr>
                    <w:t>地面播撒草籽，恢复植被；</w:t>
                  </w:r>
                </w:p>
                <w:p>
                  <w:pPr>
                    <w:jc w:val="center"/>
                    <w:rPr>
                      <w:rFonts w:hint="default" w:ascii="Times New Roman" w:hAnsi="Times New Roman" w:eastAsia="宋体" w:cs="Times New Roman"/>
                      <w:bCs/>
                      <w:color w:val="auto"/>
                      <w:szCs w:val="21"/>
                      <w:lang w:eastAsia="zh-CN"/>
                    </w:rPr>
                  </w:pPr>
                  <w:r>
                    <w:rPr>
                      <w:rFonts w:hint="default" w:ascii="Times New Roman" w:hAnsi="Times New Roman" w:cs="Times New Roman"/>
                      <w:color w:val="auto"/>
                      <w:szCs w:val="21"/>
                    </w:rPr>
                    <w:t>3）开关站内设置绿化带</w:t>
                  </w:r>
                  <w:r>
                    <w:rPr>
                      <w:rFonts w:hint="default" w:ascii="Times New Roman" w:hAnsi="Times New Roman" w:cs="Times New Roman"/>
                      <w:color w:val="auto"/>
                      <w:szCs w:val="21"/>
                      <w:lang w:eastAsia="zh-CN"/>
                    </w:rPr>
                    <w:t>。</w:t>
                  </w:r>
                </w:p>
              </w:tc>
              <w:tc>
                <w:tcPr>
                  <w:tcW w:w="180" w:type="pct"/>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829" w:type="pct"/>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951" w:type="pct"/>
                  <w:vAlign w:val="center"/>
                </w:tcPr>
                <w:p>
                  <w:pPr>
                    <w:jc w:val="center"/>
                    <w:rPr>
                      <w:rFonts w:hint="default" w:ascii="Times New Roman" w:hAnsi="Times New Roman" w:cs="Times New Roman"/>
                      <w:bCs/>
                      <w:color w:val="auto"/>
                      <w:szCs w:val="21"/>
                    </w:rPr>
                  </w:pPr>
                  <w:r>
                    <w:rPr>
                      <w:rFonts w:hint="default" w:ascii="Times New Roman" w:hAnsi="Times New Roman" w:cs="Times New Roman"/>
                      <w:color w:val="auto"/>
                      <w:szCs w:val="21"/>
                    </w:rPr>
                    <w:t>场地平整，植被自然恢复</w:t>
                  </w:r>
                </w:p>
              </w:tc>
              <w:tc>
                <w:tcPr>
                  <w:tcW w:w="738" w:type="pct"/>
                  <w:vAlign w:val="center"/>
                </w:tcPr>
                <w:p>
                  <w:pPr>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3</w:t>
                  </w:r>
                </w:p>
              </w:tc>
              <w:tc>
                <w:tcPr>
                  <w:tcW w:w="738" w:type="pct"/>
                  <w:vMerge w:val="continue"/>
                  <w:vAlign w:val="center"/>
                </w:tcPr>
                <w:p>
                  <w:pPr>
                    <w:jc w:val="center"/>
                    <w:rPr>
                      <w:rFonts w:hint="default" w:ascii="Times New Roman" w:hAnsi="Times New Roman" w:cs="Times New Roman"/>
                      <w:color w:val="auto"/>
                      <w:szCs w:val="21"/>
                    </w:rPr>
                  </w:pP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auto"/>
                <w:sz w:val="24"/>
                <w:szCs w:val="24"/>
              </w:rPr>
            </w:pPr>
            <w:r>
              <w:rPr>
                <w:rFonts w:hint="eastAsia" w:cs="Times New Roman"/>
                <w:b/>
                <w:bCs/>
                <w:color w:val="auto"/>
                <w:sz w:val="24"/>
                <w:szCs w:val="24"/>
                <w:lang w:val="en-US" w:eastAsia="zh-CN"/>
              </w:rPr>
              <w:t>二</w:t>
            </w:r>
            <w:r>
              <w:rPr>
                <w:rFonts w:hint="default" w:ascii="Times New Roman" w:hAnsi="Times New Roman" w:eastAsia="宋体" w:cs="Times New Roman"/>
                <w:b/>
                <w:bCs/>
                <w:color w:val="auto"/>
                <w:sz w:val="24"/>
                <w:szCs w:val="24"/>
              </w:rPr>
              <w:t>、建议</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1、建设单位应认真贯彻执行有关建设项目环境保护管理文件的精神，建立健全各项环保规章制度，严格执行“三同时”。</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2、在施工期间加强施工管理，合理安排作业时间，以减轻施工作业噪声对周围环境的影响。</w:t>
            </w:r>
          </w:p>
          <w:p>
            <w:pPr>
              <w:pStyle w:val="15"/>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highlight w:val="yellow"/>
                <w:lang w:eastAsia="zh-CN"/>
              </w:rPr>
            </w:pPr>
            <w:r>
              <w:rPr>
                <w:rFonts w:hint="default" w:ascii="Times New Roman" w:hAnsi="Times New Roman" w:eastAsia="宋体" w:cs="Times New Roman"/>
                <w:color w:val="auto"/>
                <w:sz w:val="24"/>
                <w:szCs w:val="24"/>
              </w:rPr>
              <w:t>3、项目投产后产生的固废应有专人负责，及时的收集，妥善保存于固定的暂存处及时清运。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0" w:hRule="atLeast"/>
          <w:jc w:val="center"/>
        </w:trPr>
        <w:tc>
          <w:tcPr>
            <w:tcW w:w="5000" w:type="pct"/>
            <w:vAlign w:val="top"/>
          </w:tcPr>
          <w:p>
            <w:pPr>
              <w:rPr>
                <w:b/>
                <w:bCs/>
                <w:color w:val="auto"/>
                <w:sz w:val="24"/>
                <w:highlight w:val="none"/>
              </w:rPr>
            </w:pPr>
            <w:r>
              <w:rPr>
                <w:b/>
                <w:bCs/>
                <w:color w:val="auto"/>
                <w:sz w:val="24"/>
                <w:highlight w:val="none"/>
              </w:rPr>
              <w:t>预审意见:</w:t>
            </w:r>
          </w:p>
          <w:p>
            <w:pPr>
              <w:rPr>
                <w:b/>
                <w:bCs/>
                <w:color w:val="auto"/>
                <w:sz w:val="24"/>
                <w:highlight w:val="none"/>
              </w:rPr>
            </w:pPr>
          </w:p>
          <w:p>
            <w:pPr>
              <w:rPr>
                <w:b/>
                <w:bCs/>
                <w:color w:val="auto"/>
                <w:sz w:val="24"/>
                <w:highlight w:val="none"/>
              </w:rPr>
            </w:pPr>
          </w:p>
          <w:p>
            <w:pPr>
              <w:rPr>
                <w:b/>
                <w:bCs/>
                <w:color w:val="auto"/>
                <w:sz w:val="24"/>
                <w:highlight w:val="none"/>
              </w:rPr>
            </w:pPr>
          </w:p>
          <w:p>
            <w:pPr>
              <w:rPr>
                <w:b/>
                <w:bCs/>
                <w:color w:val="auto"/>
                <w:sz w:val="24"/>
                <w:highlight w:val="none"/>
              </w:rPr>
            </w:pPr>
          </w:p>
          <w:p>
            <w:pPr>
              <w:rPr>
                <w:b/>
                <w:bCs/>
                <w:color w:val="auto"/>
                <w:sz w:val="24"/>
                <w:highlight w:val="none"/>
              </w:rPr>
            </w:pPr>
          </w:p>
          <w:p>
            <w:pPr>
              <w:rPr>
                <w:b/>
                <w:bCs/>
                <w:color w:val="auto"/>
                <w:sz w:val="24"/>
                <w:highlight w:val="none"/>
              </w:rPr>
            </w:pPr>
          </w:p>
          <w:p>
            <w:pPr>
              <w:rPr>
                <w:b/>
                <w:bCs/>
                <w:color w:val="auto"/>
                <w:sz w:val="24"/>
                <w:highlight w:val="none"/>
              </w:rPr>
            </w:pPr>
          </w:p>
          <w:p>
            <w:pPr>
              <w:rPr>
                <w:b/>
                <w:bCs/>
                <w:color w:val="auto"/>
                <w:sz w:val="24"/>
                <w:highlight w:val="none"/>
              </w:rPr>
            </w:pPr>
          </w:p>
          <w:p>
            <w:pPr>
              <w:rPr>
                <w:b/>
                <w:bCs/>
                <w:color w:val="auto"/>
                <w:sz w:val="24"/>
                <w:highlight w:val="none"/>
              </w:rPr>
            </w:pPr>
          </w:p>
          <w:p>
            <w:pPr>
              <w:rPr>
                <w:b/>
                <w:bCs/>
                <w:color w:val="auto"/>
                <w:sz w:val="24"/>
                <w:highlight w:val="none"/>
              </w:rPr>
            </w:pPr>
          </w:p>
          <w:p>
            <w:pPr>
              <w:rPr>
                <w:b/>
                <w:bCs/>
                <w:color w:val="auto"/>
                <w:sz w:val="24"/>
                <w:highlight w:val="none"/>
                <w:lang w:eastAsia="zh-CN"/>
              </w:rPr>
            </w:pPr>
          </w:p>
          <w:p>
            <w:pPr>
              <w:rPr>
                <w:b/>
                <w:bCs/>
                <w:color w:val="auto"/>
                <w:sz w:val="24"/>
                <w:highlight w:val="none"/>
                <w:lang w:eastAsia="zh-CN"/>
              </w:rPr>
            </w:pPr>
          </w:p>
          <w:p>
            <w:pPr>
              <w:rPr>
                <w:b/>
                <w:bCs/>
                <w:color w:val="auto"/>
                <w:sz w:val="24"/>
                <w:highlight w:val="none"/>
                <w:lang w:eastAsia="zh-CN"/>
              </w:rPr>
            </w:pPr>
          </w:p>
          <w:p>
            <w:pPr>
              <w:rPr>
                <w:b/>
                <w:bCs/>
                <w:color w:val="auto"/>
                <w:sz w:val="24"/>
                <w:highlight w:val="none"/>
              </w:rPr>
            </w:pPr>
            <w:r>
              <w:rPr>
                <w:b/>
                <w:bCs/>
                <w:color w:val="auto"/>
                <w:sz w:val="24"/>
                <w:highlight w:val="none"/>
              </w:rPr>
              <w:t xml:space="preserve">                                                          公   章</w:t>
            </w:r>
          </w:p>
          <w:p>
            <w:pPr>
              <w:rPr>
                <w:b/>
                <w:bCs/>
                <w:color w:val="auto"/>
                <w:sz w:val="24"/>
                <w:highlight w:val="none"/>
              </w:rPr>
            </w:pPr>
            <w:r>
              <w:rPr>
                <w:b/>
                <w:bCs/>
                <w:color w:val="auto"/>
                <w:sz w:val="24"/>
                <w:highlight w:val="none"/>
              </w:rPr>
              <w:t xml:space="preserve"> 经办人:</w:t>
            </w:r>
          </w:p>
          <w:p>
            <w:pPr>
              <w:rPr>
                <w:b/>
                <w:bCs/>
                <w:color w:val="auto"/>
                <w:sz w:val="24"/>
                <w:highlight w:val="none"/>
              </w:rPr>
            </w:pPr>
            <w:r>
              <w:rPr>
                <w:b/>
                <w:bCs/>
                <w:color w:val="auto"/>
                <w:sz w:val="24"/>
                <w:highlight w:val="none"/>
              </w:rPr>
              <w:t xml:space="preserve">                                                       年    月    日</w:t>
            </w:r>
          </w:p>
          <w:p>
            <w:pPr>
              <w:rPr>
                <w:b/>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9" w:hRule="atLeast"/>
          <w:jc w:val="center"/>
        </w:trPr>
        <w:tc>
          <w:tcPr>
            <w:tcW w:w="5000" w:type="pct"/>
            <w:vAlign w:val="top"/>
          </w:tcPr>
          <w:p>
            <w:pPr>
              <w:rPr>
                <w:color w:val="auto"/>
                <w:sz w:val="24"/>
                <w:highlight w:val="none"/>
              </w:rPr>
            </w:pPr>
            <w:r>
              <w:rPr>
                <w:color w:val="auto"/>
                <w:sz w:val="24"/>
                <w:highlight w:val="none"/>
              </w:rPr>
              <w:t xml:space="preserve"> </w:t>
            </w:r>
          </w:p>
          <w:p>
            <w:pPr>
              <w:rPr>
                <w:b/>
                <w:bCs/>
                <w:color w:val="auto"/>
                <w:sz w:val="24"/>
                <w:highlight w:val="none"/>
              </w:rPr>
            </w:pPr>
            <w:r>
              <w:rPr>
                <w:color w:val="auto"/>
                <w:sz w:val="24"/>
                <w:highlight w:val="none"/>
              </w:rPr>
              <w:t xml:space="preserve"> </w:t>
            </w:r>
            <w:r>
              <w:rPr>
                <w:b/>
                <w:bCs/>
                <w:color w:val="auto"/>
                <w:sz w:val="24"/>
                <w:highlight w:val="none"/>
              </w:rPr>
              <w:t>下一级环境保护行政主管部门审查意见:</w:t>
            </w:r>
          </w:p>
          <w:p>
            <w:pPr>
              <w:rPr>
                <w:b/>
                <w:bCs/>
                <w:color w:val="auto"/>
                <w:sz w:val="24"/>
                <w:highlight w:val="none"/>
              </w:rPr>
            </w:pPr>
          </w:p>
          <w:p>
            <w:pPr>
              <w:rPr>
                <w:b/>
                <w:bCs/>
                <w:color w:val="auto"/>
                <w:sz w:val="24"/>
                <w:highlight w:val="none"/>
              </w:rPr>
            </w:pPr>
          </w:p>
          <w:p>
            <w:pPr>
              <w:rPr>
                <w:b/>
                <w:bCs/>
                <w:color w:val="auto"/>
                <w:sz w:val="24"/>
                <w:highlight w:val="none"/>
              </w:rPr>
            </w:pPr>
          </w:p>
          <w:p>
            <w:pPr>
              <w:rPr>
                <w:b/>
                <w:bCs/>
                <w:color w:val="auto"/>
                <w:sz w:val="24"/>
                <w:highlight w:val="none"/>
              </w:rPr>
            </w:pPr>
          </w:p>
          <w:p>
            <w:pPr>
              <w:rPr>
                <w:b/>
                <w:bCs/>
                <w:color w:val="auto"/>
                <w:sz w:val="24"/>
                <w:highlight w:val="none"/>
              </w:rPr>
            </w:pPr>
          </w:p>
          <w:p>
            <w:pPr>
              <w:rPr>
                <w:b/>
                <w:bCs/>
                <w:color w:val="auto"/>
                <w:sz w:val="24"/>
                <w:highlight w:val="none"/>
              </w:rPr>
            </w:pPr>
          </w:p>
          <w:p>
            <w:pPr>
              <w:rPr>
                <w:b/>
                <w:bCs/>
                <w:color w:val="auto"/>
                <w:sz w:val="24"/>
                <w:highlight w:val="none"/>
              </w:rPr>
            </w:pPr>
          </w:p>
          <w:p>
            <w:pPr>
              <w:rPr>
                <w:b/>
                <w:bCs/>
                <w:color w:val="auto"/>
                <w:sz w:val="24"/>
                <w:highlight w:val="none"/>
              </w:rPr>
            </w:pPr>
          </w:p>
          <w:p>
            <w:pPr>
              <w:rPr>
                <w:b/>
                <w:bCs/>
                <w:color w:val="auto"/>
                <w:sz w:val="24"/>
                <w:highlight w:val="none"/>
              </w:rPr>
            </w:pPr>
          </w:p>
          <w:p>
            <w:pPr>
              <w:rPr>
                <w:b/>
                <w:bCs/>
                <w:color w:val="auto"/>
                <w:sz w:val="24"/>
                <w:highlight w:val="none"/>
              </w:rPr>
            </w:pPr>
          </w:p>
          <w:p>
            <w:pPr>
              <w:rPr>
                <w:b/>
                <w:bCs/>
                <w:color w:val="auto"/>
                <w:sz w:val="24"/>
                <w:highlight w:val="none"/>
                <w:lang w:eastAsia="zh-CN"/>
              </w:rPr>
            </w:pPr>
          </w:p>
          <w:p>
            <w:pPr>
              <w:rPr>
                <w:b/>
                <w:bCs/>
                <w:color w:val="auto"/>
                <w:sz w:val="24"/>
                <w:highlight w:val="none"/>
                <w:lang w:eastAsia="zh-CN"/>
              </w:rPr>
            </w:pPr>
          </w:p>
          <w:p>
            <w:pPr>
              <w:rPr>
                <w:b/>
                <w:bCs/>
                <w:color w:val="auto"/>
                <w:sz w:val="24"/>
                <w:highlight w:val="none"/>
              </w:rPr>
            </w:pPr>
          </w:p>
          <w:p>
            <w:pPr>
              <w:rPr>
                <w:b/>
                <w:bCs/>
                <w:color w:val="auto"/>
                <w:sz w:val="24"/>
                <w:highlight w:val="none"/>
              </w:rPr>
            </w:pPr>
          </w:p>
          <w:p>
            <w:pPr>
              <w:rPr>
                <w:b/>
                <w:bCs/>
                <w:color w:val="auto"/>
                <w:sz w:val="24"/>
                <w:highlight w:val="none"/>
              </w:rPr>
            </w:pPr>
          </w:p>
          <w:p>
            <w:pPr>
              <w:rPr>
                <w:b/>
                <w:bCs/>
                <w:color w:val="auto"/>
                <w:sz w:val="24"/>
                <w:highlight w:val="none"/>
              </w:rPr>
            </w:pPr>
            <w:r>
              <w:rPr>
                <w:b/>
                <w:bCs/>
                <w:color w:val="auto"/>
                <w:sz w:val="24"/>
                <w:highlight w:val="none"/>
              </w:rPr>
              <w:t xml:space="preserve"> </w:t>
            </w:r>
          </w:p>
          <w:p>
            <w:pPr>
              <w:rPr>
                <w:b/>
                <w:bCs/>
                <w:color w:val="auto"/>
                <w:sz w:val="24"/>
                <w:highlight w:val="none"/>
              </w:rPr>
            </w:pPr>
            <w:r>
              <w:rPr>
                <w:b/>
                <w:bCs/>
                <w:color w:val="auto"/>
                <w:sz w:val="24"/>
                <w:highlight w:val="none"/>
              </w:rPr>
              <w:t xml:space="preserve">                                                         公   章</w:t>
            </w:r>
          </w:p>
          <w:p>
            <w:pPr>
              <w:rPr>
                <w:b/>
                <w:bCs/>
                <w:color w:val="auto"/>
                <w:sz w:val="24"/>
                <w:highlight w:val="none"/>
              </w:rPr>
            </w:pPr>
            <w:r>
              <w:rPr>
                <w:b/>
                <w:bCs/>
                <w:color w:val="auto"/>
                <w:sz w:val="24"/>
                <w:highlight w:val="none"/>
              </w:rPr>
              <w:t xml:space="preserve"> 经办人:</w:t>
            </w:r>
          </w:p>
          <w:p>
            <w:pPr>
              <w:rPr>
                <w:b/>
                <w:bCs/>
                <w:color w:val="auto"/>
                <w:sz w:val="24"/>
                <w:highlight w:val="none"/>
              </w:rPr>
            </w:pPr>
            <w:r>
              <w:rPr>
                <w:b/>
                <w:bCs/>
                <w:color w:val="auto"/>
                <w:sz w:val="24"/>
                <w:highlight w:val="none"/>
              </w:rPr>
              <w:t xml:space="preserve">                                                      年    月    日</w:t>
            </w:r>
          </w:p>
          <w:p>
            <w:pPr>
              <w:rPr>
                <w:b/>
                <w:bCs/>
                <w:color w:val="auto"/>
                <w:sz w:val="24"/>
                <w:highlight w:val="none"/>
              </w:rPr>
            </w:pPr>
          </w:p>
          <w:p>
            <w:pPr>
              <w:rPr>
                <w:b/>
                <w:color w:val="auto"/>
                <w:sz w:val="24"/>
                <w:highlight w:val="none"/>
                <w:lang w:eastAsia="zh-CN"/>
              </w:rPr>
            </w:pPr>
          </w:p>
          <w:p>
            <w:pPr>
              <w:rPr>
                <w:b/>
                <w:color w:val="auto"/>
                <w:sz w:val="24"/>
                <w:highlight w:val="none"/>
                <w:lang w:eastAsia="zh-CN"/>
              </w:rPr>
            </w:pPr>
          </w:p>
        </w:tc>
      </w:tr>
    </w:tbl>
    <w:p>
      <w:pPr>
        <w:spacing w:line="360" w:lineRule="auto"/>
        <w:rPr>
          <w:color w:val="auto"/>
          <w:highlight w:val="yellow"/>
        </w:rPr>
      </w:pPr>
      <w:r>
        <w:rPr>
          <w:b/>
          <w:color w:val="auto"/>
          <w:sz w:val="28"/>
          <w:highlight w:val="none"/>
        </w:rPr>
        <w:t xml:space="preserve">          </w:t>
      </w:r>
      <w:r>
        <w:rPr>
          <w:b/>
          <w:color w:val="auto"/>
          <w:sz w:val="28"/>
          <w:highlight w:val="none"/>
          <w:lang w:eastAsia="zh-CN"/>
        </w:rPr>
        <w:t xml:space="preserve">         </w:t>
      </w:r>
      <w:r>
        <w:rPr>
          <w:b/>
          <w:color w:val="auto"/>
          <w:sz w:val="28"/>
          <w:highlight w:val="none"/>
        </w:rPr>
        <w:t xml:space="preserve">                  </w:t>
      </w:r>
      <w:r>
        <w:rPr>
          <w:rFonts w:hint="eastAsia"/>
          <w:color w:val="auto"/>
          <w:sz w:val="28"/>
          <w:highlight w:val="none"/>
          <w:lang w:val="en-US" w:eastAsia="zh-CN"/>
        </w:rPr>
        <w:t xml:space="preserve"> </w:t>
      </w:r>
    </w:p>
    <w:p>
      <w:pPr>
        <w:rPr>
          <w:color w:val="auto"/>
          <w:highlight w:val="yellow"/>
        </w:rPr>
        <w:sectPr>
          <w:headerReference r:id="rId7" w:type="default"/>
          <w:footerReference r:id="rId8" w:type="default"/>
          <w:pgSz w:w="11906" w:h="16838"/>
          <w:pgMar w:top="720" w:right="1506" w:bottom="720" w:left="1580" w:header="567" w:footer="709" w:gutter="0"/>
          <w:pgBorders>
            <w:top w:val="none" w:sz="0" w:space="0"/>
            <w:left w:val="none" w:sz="0" w:space="0"/>
            <w:bottom w:val="none" w:sz="0" w:space="0"/>
            <w:right w:val="none" w:sz="0" w:space="0"/>
          </w:pgBorders>
          <w:pgNumType w:fmt="decimal" w:start="1"/>
          <w:cols w:space="425" w:num="1"/>
          <w:docGrid w:type="lines" w:linePitch="312" w:charSpace="0"/>
        </w:sectPr>
      </w:pPr>
    </w:p>
    <w:p>
      <w:pPr>
        <w:pStyle w:val="160"/>
        <w:rPr>
          <w:rFonts w:hint="eastAsia" w:eastAsia="宋体"/>
          <w:color w:val="auto"/>
          <w:highlight w:val="none"/>
          <w:lang w:eastAsia="zh-CN"/>
        </w:rPr>
      </w:pPr>
      <w:r>
        <w:rPr>
          <w:color w:val="auto"/>
          <w:sz w:val="24"/>
        </w:rPr>
        <mc:AlternateContent>
          <mc:Choice Requires="wps">
            <w:drawing>
              <wp:anchor distT="0" distB="0" distL="114300" distR="114300" simplePos="0" relativeHeight="251803648" behindDoc="0" locked="0" layoutInCell="1" allowOverlap="1">
                <wp:simplePos x="0" y="0"/>
                <wp:positionH relativeFrom="column">
                  <wp:posOffset>405130</wp:posOffset>
                </wp:positionH>
                <wp:positionV relativeFrom="paragraph">
                  <wp:posOffset>5266690</wp:posOffset>
                </wp:positionV>
                <wp:extent cx="1064260" cy="366395"/>
                <wp:effectExtent l="0" t="0" r="2540" b="14605"/>
                <wp:wrapNone/>
                <wp:docPr id="196" name="文本框 196"/>
                <wp:cNvGraphicFramePr/>
                <a:graphic xmlns:a="http://schemas.openxmlformats.org/drawingml/2006/main">
                  <a:graphicData uri="http://schemas.microsoft.com/office/word/2010/wordprocessingShape">
                    <wps:wsp>
                      <wps:cNvSpPr txBox="1"/>
                      <wps:spPr>
                        <a:xfrm>
                          <a:off x="1172210" y="5842635"/>
                          <a:ext cx="1064260" cy="366395"/>
                        </a:xfrm>
                        <a:prstGeom prst="rect">
                          <a:avLst/>
                        </a:prstGeom>
                        <a:solidFill>
                          <a:srgbClr val="F2FAFC"/>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color w:val="0000FF"/>
                                <w:sz w:val="21"/>
                                <w:szCs w:val="21"/>
                                <w:lang w:val="en-US" w:eastAsia="zh-CN"/>
                                <w14:textOutline w14:w="9525">
                                  <w14:solidFill>
                                    <w14:srgbClr w14:val="0000FF"/>
                                  </w14:solidFill>
                                  <w14:round/>
                                </w14:textOutline>
                              </w:rPr>
                            </w:pPr>
                            <w:r>
                              <w:rPr>
                                <w:rFonts w:hint="eastAsia"/>
                                <w:color w:val="0000FF"/>
                                <w:sz w:val="21"/>
                                <w:szCs w:val="21"/>
                                <w:lang w:val="en-US" w:eastAsia="zh-CN"/>
                                <w14:textOutline w14:w="9525">
                                  <w14:solidFill>
                                    <w14:srgbClr w14:val="0000FF"/>
                                  </w14:solidFill>
                                  <w14:round/>
                                </w14:textOutline>
                              </w:rPr>
                              <w:t>★本工程位置</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9pt;margin-top:414.7pt;height:28.85pt;width:83.8pt;z-index:251803648;mso-width-relative:page;mso-height-relative:page;" fillcolor="#F2FAFC" filled="t" stroked="f" coordsize="21600,21600" o:gfxdata="UEsDBAoAAAAAAIdO4kAAAAAAAAAAAAAAAAAEAAAAZHJzL1BLAwQUAAAACACHTuJAmTPCEtkAAAAK&#10;AQAADwAAAGRycy9kb3ducmV2LnhtbE2PzU7DMBCE70i8g7VI3KjjFKUmjVMJpN449AchcXPjbRwR&#10;21HspO3bs5zgtjs7mvm22lxdz2YcYxe8ArHIgKFvgul8q+DjuH2SwGLS3ug+eFRwwwib+v6u0qUJ&#10;F7/H+ZBaRiE+llqBTWkoOY+NRafjIgzo6XYOo9OJ1rHlZtQXCnc9z7Os4E53nhqsHvDNYvN9mJyC&#10;1+nrZs0K9+87N+6kmLefhRRKPT6IbA0s4TX9meEXn9ChJqZTmLyJrFdQLIk8KZD5yzMwMuRLQcOJ&#10;FLkSwOuK/3+h/gFQSwMEFAAAAAgAh07iQI4PiSlCAgAAUQQAAA4AAABkcnMvZTJvRG9jLnhtbK1U&#10;yW7bMBC9F+g/ELzXWrwkNiwHrgMVBYImgFv0TFOUJYDisCRtyf2A9g9y6qX3fpe/o0PKTtzlVPRC&#10;z/I0y5sZz2+6RpK9MLYGldFkEFMiFIeiVtuMfnifv7qmxDqmCiZBiYwehKU3i5cv5q2eiRQqkIUw&#10;BIMoO2t1Rivn9CyKLK9Ew+wAtFDoLME0zKFqtlFhWIvRGxmlcTyJWjCFNsCFtWi97Z10EeKXpeDu&#10;viytcERmFGtz4TXh3fg3WszZbGuYrmp+KoP9QxUNqxUmfQp1yxwjO1P/EaqpuQELpRtwaCIoy5qL&#10;0AN2k8S/dbOumBahFyTH6iea7P8Ly9/tHwypC5zddEKJYg0O6fj49fjtx/H7F+KNSFGr7QyRa41Y&#10;172GDuFnu0Wj77wrTeN/sSfi/clVmiZI+SGj4+tROhmOe7JF5wj3gHiCVgRwRAwnk+E0AKLnSNpY&#10;90ZAQ7yQUYPDDByz/Z11WBVCzxCf2IKsi7yWMihmu1lJQ/YMB5+n+TJf+fT4yS8wqUibUawtDpEV&#10;+O97nFQI9433DXrJdZvuxMYGigOSYaDfKKt5XmOVd8y6B2ZwhbAxPAt3j08pAZPASaKkAvP5b3aP&#10;x8mil5IWVzKj9tOOGUGJfKtw5tNkNPI7HJTR+CpFxVx6NpcetWtWgM0neICaB9HjnTyLpYHmI17P&#10;0mdFF1Mcc2fUncWV6w8Fr4+L5TKAcGs1c3dqrbkP7alWsNw5KOswEk9Tz82JPdzbQPvpxvxhXOoB&#10;9fxPsPgJ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mTPCEtkAAAAKAQAADwAAAAAAAAABACAAAAAi&#10;AAAAZHJzL2Rvd25yZXYueG1sUEsBAhQAFAAAAAgAh07iQI4PiSlCAgAAUQQAAA4AAAAAAAAAAQAg&#10;AAAAKAEAAGRycy9lMm9Eb2MueG1sUEsFBgAAAAAGAAYAWQEAANwFAAAAAA==&#10;">
                <v:fill on="t" focussize="0,0"/>
                <v:stroke on="f" weight="0.5pt"/>
                <v:imagedata o:title=""/>
                <o:lock v:ext="edit" aspectratio="f"/>
                <v:textbox>
                  <w:txbxContent>
                    <w:p>
                      <w:pPr>
                        <w:rPr>
                          <w:rFonts w:hint="default" w:eastAsia="宋体"/>
                          <w:color w:val="0000FF"/>
                          <w:sz w:val="21"/>
                          <w:szCs w:val="21"/>
                          <w:lang w:val="en-US" w:eastAsia="zh-CN"/>
                          <w14:textOutline w14:w="9525">
                            <w14:solidFill>
                              <w14:srgbClr w14:val="0000FF"/>
                            </w14:solidFill>
                            <w14:round/>
                          </w14:textOutline>
                        </w:rPr>
                      </w:pPr>
                      <w:r>
                        <w:rPr>
                          <w:rFonts w:hint="eastAsia"/>
                          <w:color w:val="0000FF"/>
                          <w:sz w:val="21"/>
                          <w:szCs w:val="21"/>
                          <w:lang w:val="en-US" w:eastAsia="zh-CN"/>
                          <w14:textOutline w14:w="9525">
                            <w14:solidFill>
                              <w14:srgbClr w14:val="0000FF"/>
                            </w14:solidFill>
                            <w14:round/>
                          </w14:textOutline>
                        </w:rPr>
                        <w:t>★本工程位置</w:t>
                      </w:r>
                    </w:p>
                    <w:p/>
                  </w:txbxContent>
                </v:textbox>
              </v:shape>
            </w:pict>
          </mc:Fallback>
        </mc:AlternateContent>
      </w:r>
      <w:r>
        <w:rPr>
          <w:color w:val="auto"/>
          <w:sz w:val="24"/>
        </w:rPr>
        <mc:AlternateContent>
          <mc:Choice Requires="wps">
            <w:drawing>
              <wp:anchor distT="0" distB="0" distL="114300" distR="114300" simplePos="0" relativeHeight="251802624" behindDoc="0" locked="0" layoutInCell="1" allowOverlap="1">
                <wp:simplePos x="0" y="0"/>
                <wp:positionH relativeFrom="column">
                  <wp:posOffset>6588760</wp:posOffset>
                </wp:positionH>
                <wp:positionV relativeFrom="paragraph">
                  <wp:posOffset>4201795</wp:posOffset>
                </wp:positionV>
                <wp:extent cx="1802130" cy="454660"/>
                <wp:effectExtent l="0" t="0" r="0" b="0"/>
                <wp:wrapNone/>
                <wp:docPr id="195" name="文本框 195"/>
                <wp:cNvGraphicFramePr/>
                <a:graphic xmlns:a="http://schemas.openxmlformats.org/drawingml/2006/main">
                  <a:graphicData uri="http://schemas.microsoft.com/office/word/2010/wordprocessingShape">
                    <wps:wsp>
                      <wps:cNvSpPr txBox="1"/>
                      <wps:spPr>
                        <a:xfrm>
                          <a:off x="7268210" y="4935855"/>
                          <a:ext cx="1802130" cy="4546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color w:val="0000FF"/>
                                <w:sz w:val="32"/>
                                <w:szCs w:val="32"/>
                                <w:lang w:val="en-US" w:eastAsia="zh-CN"/>
                                <w14:textOutline w14:w="9525">
                                  <w14:solidFill>
                                    <w14:srgbClr w14:val="0000FF"/>
                                  </w14:solidFill>
                                  <w14:round/>
                                </w14:textOutline>
                              </w:rPr>
                            </w:pPr>
                            <w:r>
                              <w:rPr>
                                <w:rFonts w:hint="eastAsia"/>
                                <w:color w:val="0000FF"/>
                                <w:sz w:val="48"/>
                                <w:szCs w:val="48"/>
                                <w:lang w:val="en-US" w:eastAsia="zh-CN"/>
                                <w14:textOutline w14:w="9525">
                                  <w14:solidFill>
                                    <w14:srgbClr w14:val="0000FF"/>
                                  </w14:solidFill>
                                  <w14:round/>
                                </w14:textOutline>
                              </w:rPr>
                              <w:t>★</w:t>
                            </w:r>
                            <w:r>
                              <w:rPr>
                                <w:rFonts w:hint="eastAsia"/>
                                <w:color w:val="0000FF"/>
                                <w:sz w:val="36"/>
                                <w:szCs w:val="36"/>
                                <w:lang w:val="en-US" w:eastAsia="zh-CN"/>
                                <w14:textOutline w14:w="9525">
                                  <w14:solidFill>
                                    <w14:srgbClr w14:val="0000FF"/>
                                  </w14:solidFill>
                                  <w14:round/>
                                </w14:textOutline>
                              </w:rPr>
                              <w:t>本工程位置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18.8pt;margin-top:330.85pt;height:35.8pt;width:141.9pt;z-index:251802624;mso-width-relative:page;mso-height-relative:page;" filled="f" stroked="f" coordsize="21600,21600" o:gfxdata="UEsDBAoAAAAAAIdO4kAAAAAAAAAAAAAAAAAEAAAAZHJzL1BLAwQUAAAACACHTuJAgWmpzt0AAAAN&#10;AQAADwAAAGRycy9kb3ducmV2LnhtbE2Py07DMBBF90j8gzVI7KidBJIqxKlQpAoJwaKlG3aT2E0i&#10;7HGI3Qd8Pe4KlldzdO+ZanW2hh317EdHEpKFAKapc2qkXsLufX23BOYDkkLjSEv41h5W9fVVhaVy&#10;J9ro4zb0LJaQL1HCEMJUcu67QVv0Czdpire9my2GGOeeqxlPsdwangqRc4sjxYUBJ90MuvvcHqyE&#10;l2b9hps2tcsf0zy/7p+mr93Hg5S3N4l4BBb0OfzBcNGP6lBHp9YdSHlmYhZZkUdWQp4nBbALkqXJ&#10;PbBWQpFlGfC64v+/qH8BUEsDBBQAAAAIAIdO4kB2fR2SLAIAACgEAAAOAAAAZHJzL2Uyb0RvYy54&#10;bWytU8uO0zAU3SPxD5b3NI8+po2ajsqMipAqZqSCWLuO3UTyC9ttUj4A/oAVG/Z813wH107bqYAV&#10;YuNc+56c+zp3fttJgQ7MukarEmeDFCOmqK4atSvxh/erV1OMnCeqIkIrVuIjc/h28fLFvDUFy3Wt&#10;RcUsAhLlitaUuPbeFEniaM0kcQNtmAIn11YSD1e7SypLWmCXIsnTdJK02lbGasqcg9f73okXkZ9z&#10;Rv0D5455JEoMufl42nhuw5ks5qTYWWLqhp7SIP+QhSSNgqAXqnviCdrb5g8q2VCrneZ+QLVMNOcN&#10;ZbEGqCZLf6tmUxPDYi3QHGcubXL/j5a+Ozxa1FQwu9kYI0UkDOnp29en7z+ffnxB4RFa1BpXAHJj&#10;AOu717oD+PndwWOovONWhi/UhMB/k0+meQYtP5Z4NBuOp+PIRArWeUQDwTTNsyEAaECMR5NJnEby&#10;zGSs82+YligYJbYwzNhjclg7D1kB9AwJgZVeNULEgQqF2hJPhuM0/nDxwB9CwY+hnj7vYPlu252K&#10;3OrqCDVa3QvFGbpqIPiaOP9ILCgD8gW1+wc4uNAQRJ8sjGptP//tPeBhYODFqAWlldh92hPLMBJv&#10;FYxylo1GQZrxMhrf5HCx157ttUft5Z0GMWewV4ZGM+C9OJvcavkRlmIZooKLKAqxS+zP5p3v9Q9L&#10;RdlyGUEgRkP8Wm0MDdR9O5d7r3kTOx3a1Pfm1D2QYxzAaXWC3q/vEfW84It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gWmpzt0AAAANAQAADwAAAAAAAAABACAAAAAiAAAAZHJzL2Rvd25yZXYueG1s&#10;UEsBAhQAFAAAAAgAh07iQHZ9HZIsAgAAKAQAAA4AAAAAAAAAAQAgAAAALAEAAGRycy9lMm9Eb2Mu&#10;eG1sUEsFBgAAAAAGAAYAWQEAAMoFAAAAAA==&#10;">
                <v:fill on="f" focussize="0,0"/>
                <v:stroke on="f" weight="0.5pt"/>
                <v:imagedata o:title=""/>
                <o:lock v:ext="edit" aspectratio="f"/>
                <v:textbox>
                  <w:txbxContent>
                    <w:p>
                      <w:pPr>
                        <w:rPr>
                          <w:rFonts w:hint="default" w:eastAsia="宋体"/>
                          <w:color w:val="0000FF"/>
                          <w:sz w:val="32"/>
                          <w:szCs w:val="32"/>
                          <w:lang w:val="en-US" w:eastAsia="zh-CN"/>
                          <w14:textOutline w14:w="9525">
                            <w14:solidFill>
                              <w14:srgbClr w14:val="0000FF"/>
                            </w14:solidFill>
                            <w14:round/>
                          </w14:textOutline>
                        </w:rPr>
                      </w:pPr>
                      <w:r>
                        <w:rPr>
                          <w:rFonts w:hint="eastAsia"/>
                          <w:color w:val="0000FF"/>
                          <w:sz w:val="48"/>
                          <w:szCs w:val="48"/>
                          <w:lang w:val="en-US" w:eastAsia="zh-CN"/>
                          <w14:textOutline w14:w="9525">
                            <w14:solidFill>
                              <w14:srgbClr w14:val="0000FF"/>
                            </w14:solidFill>
                            <w14:round/>
                          </w14:textOutline>
                        </w:rPr>
                        <w:t>★</w:t>
                      </w:r>
                      <w:r>
                        <w:rPr>
                          <w:rFonts w:hint="eastAsia"/>
                          <w:color w:val="0000FF"/>
                          <w:sz w:val="36"/>
                          <w:szCs w:val="36"/>
                          <w:lang w:val="en-US" w:eastAsia="zh-CN"/>
                          <w14:textOutline w14:w="9525">
                            <w14:solidFill>
                              <w14:srgbClr w14:val="0000FF"/>
                            </w14:solidFill>
                            <w14:round/>
                          </w14:textOutline>
                        </w:rPr>
                        <w:t>本工程位置</w:t>
                      </w:r>
                    </w:p>
                  </w:txbxContent>
                </v:textbox>
              </v:shape>
            </w:pict>
          </mc:Fallback>
        </mc:AlternateContent>
      </w:r>
      <w:r>
        <w:rPr>
          <w:rFonts w:hint="eastAsia" w:eastAsia="宋体"/>
          <w:color w:val="auto"/>
          <w:highlight w:val="none"/>
          <w:lang w:eastAsia="zh-CN"/>
        </w:rPr>
        <w:drawing>
          <wp:inline distT="0" distB="0" distL="114300" distR="114300">
            <wp:extent cx="9277985" cy="6035675"/>
            <wp:effectExtent l="0" t="0" r="18415" b="3175"/>
            <wp:docPr id="16" name="图片 16" descr="图3.1-1谏壁发电厂地理位置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图3.1-1谏壁发电厂地理位置图"/>
                    <pic:cNvPicPr>
                      <a:picLocks noChangeAspect="1"/>
                    </pic:cNvPicPr>
                  </pic:nvPicPr>
                  <pic:blipFill>
                    <a:blip r:embed="rId11"/>
                    <a:srcRect b="4784"/>
                    <a:stretch>
                      <a:fillRect/>
                    </a:stretch>
                  </pic:blipFill>
                  <pic:spPr>
                    <a:xfrm>
                      <a:off x="0" y="0"/>
                      <a:ext cx="9277985" cy="6035675"/>
                    </a:xfrm>
                    <a:prstGeom prst="rect">
                      <a:avLst/>
                    </a:prstGeom>
                  </pic:spPr>
                </pic:pic>
              </a:graphicData>
            </a:graphic>
          </wp:inline>
        </w:drawing>
      </w:r>
    </w:p>
    <w:p>
      <w:pPr>
        <w:pStyle w:val="160"/>
        <w:outlineLvl w:val="0"/>
        <w:rPr>
          <w:rFonts w:hint="eastAsia"/>
          <w:color w:val="auto"/>
          <w:highlight w:val="none"/>
        </w:rPr>
      </w:pPr>
      <w:r>
        <w:rPr>
          <w:rFonts w:hint="eastAsia"/>
          <w:color w:val="auto"/>
          <w:highlight w:val="none"/>
        </w:rPr>
        <w:t>附图1</w:t>
      </w:r>
      <w:r>
        <w:rPr>
          <w:color w:val="auto"/>
          <w:highlight w:val="none"/>
        </w:rPr>
        <w:t xml:space="preserve">   </w:t>
      </w:r>
      <w:r>
        <w:rPr>
          <w:rFonts w:hint="eastAsia"/>
          <w:color w:val="auto"/>
          <w:highlight w:val="none"/>
          <w:lang w:val="en-US" w:eastAsia="zh-CN"/>
        </w:rPr>
        <w:t>本工程</w:t>
      </w:r>
      <w:r>
        <w:rPr>
          <w:rFonts w:hint="eastAsia"/>
          <w:color w:val="auto"/>
          <w:highlight w:val="none"/>
        </w:rPr>
        <w:t>地理位置图</w:t>
      </w:r>
    </w:p>
    <w:p>
      <w:pPr>
        <w:pStyle w:val="15"/>
        <w:rPr>
          <w:color w:val="auto"/>
          <w:highlight w:val="none"/>
        </w:rPr>
        <w:sectPr>
          <w:footerReference r:id="rId9" w:type="default"/>
          <w:pgSz w:w="16838" w:h="11906" w:orient="landscape"/>
          <w:pgMar w:top="720" w:right="720" w:bottom="720" w:left="720" w:header="567" w:footer="709" w:gutter="0"/>
          <w:pgBorders>
            <w:top w:val="none" w:sz="0" w:space="0"/>
            <w:left w:val="none" w:sz="0" w:space="0"/>
            <w:bottom w:val="none" w:sz="0" w:space="0"/>
            <w:right w:val="none" w:sz="0" w:space="0"/>
          </w:pgBorders>
          <w:pgNumType w:fmt="decimal" w:start="1"/>
          <w:cols w:space="425" w:num="1"/>
          <w:docGrid w:type="lines" w:linePitch="312" w:charSpace="0"/>
        </w:sectPr>
      </w:pPr>
    </w:p>
    <w:p>
      <w:pPr>
        <w:pStyle w:val="160"/>
        <w:rPr>
          <w:rFonts w:hint="eastAsia" w:eastAsia="宋体"/>
          <w:color w:val="auto"/>
          <w:highlight w:val="none"/>
          <w:lang w:eastAsia="zh-CN"/>
        </w:rPr>
      </w:pPr>
      <w:r>
        <w:rPr>
          <w:rFonts w:hint="eastAsia" w:eastAsia="宋体"/>
          <w:color w:val="auto"/>
          <w:highlight w:val="none"/>
          <w:lang w:eastAsia="zh-CN"/>
        </w:rPr>
        <w:drawing>
          <wp:anchor distT="0" distB="0" distL="114300" distR="114300" simplePos="0" relativeHeight="251805696" behindDoc="0" locked="0" layoutInCell="1" allowOverlap="1">
            <wp:simplePos x="0" y="0"/>
            <wp:positionH relativeFrom="column">
              <wp:posOffset>1703705</wp:posOffset>
            </wp:positionH>
            <wp:positionV relativeFrom="paragraph">
              <wp:posOffset>-201295</wp:posOffset>
            </wp:positionV>
            <wp:extent cx="6626860" cy="6383655"/>
            <wp:effectExtent l="0" t="0" r="2540" b="17145"/>
            <wp:wrapNone/>
            <wp:docPr id="2" name="图片 2" descr="附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附图2"/>
                    <pic:cNvPicPr>
                      <a:picLocks noChangeAspect="1"/>
                    </pic:cNvPicPr>
                  </pic:nvPicPr>
                  <pic:blipFill>
                    <a:blip r:embed="rId12"/>
                    <a:stretch>
                      <a:fillRect/>
                    </a:stretch>
                  </pic:blipFill>
                  <pic:spPr>
                    <a:xfrm>
                      <a:off x="0" y="0"/>
                      <a:ext cx="6626860" cy="6383655"/>
                    </a:xfrm>
                    <a:prstGeom prst="rect">
                      <a:avLst/>
                    </a:prstGeom>
                  </pic:spPr>
                </pic:pic>
              </a:graphicData>
            </a:graphic>
          </wp:anchor>
        </w:drawing>
      </w: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pStyle w:val="160"/>
        <w:rPr>
          <w:rFonts w:hint="eastAsia" w:eastAsia="宋体"/>
          <w:color w:val="auto"/>
          <w:highlight w:val="none"/>
          <w:lang w:eastAsia="zh-CN"/>
        </w:rPr>
      </w:pPr>
    </w:p>
    <w:p>
      <w:pPr>
        <w:pStyle w:val="160"/>
        <w:outlineLvl w:val="0"/>
        <w:rPr>
          <w:rFonts w:hint="default" w:eastAsia="宋体"/>
          <w:color w:val="auto"/>
          <w:highlight w:val="none"/>
          <w:lang w:val="en-US" w:eastAsia="zh-CN"/>
        </w:rPr>
      </w:pPr>
      <w:r>
        <w:rPr>
          <w:rFonts w:hint="eastAsia"/>
          <w:color w:val="auto"/>
          <w:highlight w:val="none"/>
        </w:rPr>
        <w:t>附图2</w:t>
      </w:r>
      <w:r>
        <w:rPr>
          <w:color w:val="auto"/>
          <w:highlight w:val="none"/>
        </w:rPr>
        <w:t xml:space="preserve">   </w:t>
      </w:r>
      <w:r>
        <w:rPr>
          <w:rFonts w:hint="eastAsia"/>
          <w:color w:val="auto"/>
          <w:highlight w:val="none"/>
          <w:lang w:val="en-US" w:eastAsia="zh-CN"/>
        </w:rPr>
        <w:t>周边情况图</w:t>
      </w:r>
    </w:p>
    <w:p>
      <w:pPr>
        <w:pStyle w:val="160"/>
        <w:rPr>
          <w:color w:val="auto"/>
          <w:highlight w:val="none"/>
        </w:rPr>
        <w:sectPr>
          <w:pgSz w:w="16838" w:h="11906" w:orient="landscape"/>
          <w:pgMar w:top="567" w:right="720" w:bottom="567" w:left="720" w:header="567" w:footer="567" w:gutter="0"/>
          <w:pgBorders>
            <w:top w:val="none" w:sz="0" w:space="0"/>
            <w:left w:val="none" w:sz="0" w:space="0"/>
            <w:bottom w:val="none" w:sz="0" w:space="0"/>
            <w:right w:val="none" w:sz="0" w:space="0"/>
          </w:pgBorders>
          <w:pgNumType w:fmt="decimal"/>
          <w:cols w:space="425" w:num="1"/>
          <w:docGrid w:type="lines" w:linePitch="312" w:charSpace="0"/>
        </w:sectPr>
      </w:pPr>
    </w:p>
    <w:p>
      <w:pPr>
        <w:bidi w:val="0"/>
        <w:rPr>
          <w:rFonts w:hint="eastAsia" w:eastAsia="宋体"/>
          <w:lang w:eastAsia="zh-CN"/>
        </w:rPr>
      </w:pPr>
    </w:p>
    <w:p>
      <w:pPr>
        <w:bidi w:val="0"/>
        <w:rPr>
          <w:rFonts w:hint="eastAsia"/>
        </w:rPr>
      </w:pPr>
      <w:r>
        <w:rPr>
          <w:rFonts w:hint="eastAsia" w:eastAsia="宋体"/>
          <w:lang w:eastAsia="zh-CN"/>
        </w:rPr>
        <w:drawing>
          <wp:anchor distT="0" distB="0" distL="114300" distR="114300" simplePos="0" relativeHeight="251806720" behindDoc="0" locked="0" layoutInCell="1" allowOverlap="1">
            <wp:simplePos x="0" y="0"/>
            <wp:positionH relativeFrom="column">
              <wp:posOffset>215265</wp:posOffset>
            </wp:positionH>
            <wp:positionV relativeFrom="paragraph">
              <wp:posOffset>59690</wp:posOffset>
            </wp:positionV>
            <wp:extent cx="6151245" cy="8709660"/>
            <wp:effectExtent l="0" t="0" r="1905" b="15240"/>
            <wp:wrapNone/>
            <wp:docPr id="14" name="图片 14" descr="A3---附图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A3---附图3"/>
                    <pic:cNvPicPr>
                      <a:picLocks noChangeAspect="1"/>
                    </pic:cNvPicPr>
                  </pic:nvPicPr>
                  <pic:blipFill>
                    <a:blip r:embed="rId13"/>
                    <a:stretch>
                      <a:fillRect/>
                    </a:stretch>
                  </pic:blipFill>
                  <pic:spPr>
                    <a:xfrm>
                      <a:off x="0" y="0"/>
                      <a:ext cx="6151245" cy="8709660"/>
                    </a:xfrm>
                    <a:prstGeom prst="rect">
                      <a:avLst/>
                    </a:prstGeom>
                  </pic:spPr>
                </pic:pic>
              </a:graphicData>
            </a:graphic>
          </wp:anchor>
        </w:drawing>
      </w: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pStyle w:val="2"/>
        <w:rPr>
          <w:rFonts w:hint="eastAsia"/>
        </w:rPr>
      </w:pPr>
    </w:p>
    <w:p>
      <w:pPr>
        <w:bidi w:val="0"/>
        <w:rPr>
          <w:rFonts w:hint="eastAsia"/>
        </w:rPr>
      </w:pPr>
    </w:p>
    <w:p>
      <w:pPr>
        <w:bidi w:val="0"/>
        <w:rPr>
          <w:rFonts w:hint="eastAsia"/>
        </w:rPr>
      </w:pPr>
    </w:p>
    <w:p>
      <w:pPr>
        <w:bidi w:val="0"/>
        <w:rPr>
          <w:rFonts w:hint="eastAsia"/>
        </w:rPr>
      </w:pPr>
    </w:p>
    <w:p>
      <w:pPr>
        <w:pStyle w:val="160"/>
        <w:outlineLvl w:val="0"/>
        <w:rPr>
          <w:rFonts w:hint="eastAsia"/>
          <w:color w:val="auto"/>
          <w:highlight w:val="none"/>
        </w:rPr>
      </w:pPr>
    </w:p>
    <w:p>
      <w:pPr>
        <w:pStyle w:val="160"/>
        <w:outlineLvl w:val="0"/>
        <w:rPr>
          <w:rFonts w:hint="eastAsia" w:eastAsia="宋体"/>
          <w:color w:val="auto"/>
          <w:highlight w:val="none"/>
          <w:lang w:eastAsia="zh-CN"/>
        </w:rPr>
      </w:pPr>
      <w:r>
        <w:rPr>
          <w:rFonts w:hint="eastAsia"/>
          <w:color w:val="auto"/>
          <w:highlight w:val="none"/>
        </w:rPr>
        <w:t>附图</w:t>
      </w:r>
      <w:r>
        <w:rPr>
          <w:rFonts w:hint="eastAsia"/>
          <w:color w:val="auto"/>
          <w:highlight w:val="none"/>
          <w:lang w:val="en-US" w:eastAsia="zh-CN"/>
        </w:rPr>
        <w:t>3</w:t>
      </w:r>
      <w:r>
        <w:rPr>
          <w:color w:val="auto"/>
          <w:highlight w:val="none"/>
        </w:rPr>
        <w:t xml:space="preserve"> </w:t>
      </w:r>
      <w:r>
        <w:rPr>
          <w:rFonts w:hint="eastAsia"/>
          <w:color w:val="auto"/>
          <w:highlight w:val="none"/>
        </w:rPr>
        <w:t>本工程光伏区总平面布置图</w:t>
      </w:r>
    </w:p>
    <w:p>
      <w:pPr>
        <w:pStyle w:val="15"/>
        <w:rPr>
          <w:rFonts w:hint="eastAsia"/>
          <w:color w:val="auto"/>
          <w:highlight w:val="none"/>
          <w:lang w:eastAsia="zh-CN"/>
        </w:rPr>
        <w:sectPr>
          <w:pgSz w:w="11906" w:h="16838"/>
          <w:pgMar w:top="720" w:right="567" w:bottom="720" w:left="567" w:header="567" w:footer="567" w:gutter="0"/>
          <w:pgBorders>
            <w:top w:val="none" w:sz="0" w:space="0"/>
            <w:left w:val="none" w:sz="0" w:space="0"/>
            <w:bottom w:val="none" w:sz="0" w:space="0"/>
            <w:right w:val="none" w:sz="0" w:space="0"/>
          </w:pgBorders>
          <w:pgNumType w:fmt="decimal"/>
          <w:cols w:space="425" w:num="1"/>
          <w:docGrid w:type="lines" w:linePitch="312" w:charSpace="0"/>
        </w:sectPr>
      </w:pPr>
    </w:p>
    <w:p>
      <w:pPr>
        <w:pStyle w:val="15"/>
        <w:jc w:val="center"/>
        <w:rPr>
          <w:rFonts w:hint="eastAsia"/>
          <w:color w:val="auto"/>
          <w:highlight w:val="none"/>
          <w:lang w:eastAsia="zh-CN"/>
        </w:rPr>
      </w:pPr>
    </w:p>
    <w:p>
      <w:pPr>
        <w:pStyle w:val="15"/>
        <w:jc w:val="center"/>
        <w:rPr>
          <w:rFonts w:hint="eastAsia"/>
          <w:color w:val="auto"/>
          <w:highlight w:val="none"/>
          <w:lang w:eastAsia="zh-CN"/>
        </w:rPr>
      </w:pPr>
      <w:r>
        <w:rPr>
          <w:rFonts w:hint="eastAsia"/>
          <w:color w:val="auto"/>
          <w:highlight w:val="none"/>
          <w:lang w:eastAsia="zh-CN"/>
        </w:rPr>
        <w:drawing>
          <wp:inline distT="0" distB="0" distL="114300" distR="114300">
            <wp:extent cx="9276080" cy="5597525"/>
            <wp:effectExtent l="0" t="0" r="1270" b="3175"/>
            <wp:docPr id="9" name="图片 9" descr="附图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附图4"/>
                    <pic:cNvPicPr>
                      <a:picLocks noChangeAspect="1"/>
                    </pic:cNvPicPr>
                  </pic:nvPicPr>
                  <pic:blipFill>
                    <a:blip r:embed="rId14"/>
                    <a:srcRect t="7126" b="7523"/>
                    <a:stretch>
                      <a:fillRect/>
                    </a:stretch>
                  </pic:blipFill>
                  <pic:spPr>
                    <a:xfrm>
                      <a:off x="0" y="0"/>
                      <a:ext cx="9276080" cy="5597525"/>
                    </a:xfrm>
                    <a:prstGeom prst="rect">
                      <a:avLst/>
                    </a:prstGeom>
                  </pic:spPr>
                </pic:pic>
              </a:graphicData>
            </a:graphic>
          </wp:inline>
        </w:drawing>
      </w:r>
    </w:p>
    <w:p>
      <w:pPr>
        <w:pStyle w:val="15"/>
        <w:jc w:val="center"/>
        <w:rPr>
          <w:rFonts w:hint="eastAsia"/>
          <w:color w:val="auto"/>
          <w:highlight w:val="none"/>
          <w:lang w:eastAsia="zh-CN"/>
        </w:rPr>
      </w:pPr>
    </w:p>
    <w:p>
      <w:pPr>
        <w:pStyle w:val="160"/>
        <w:outlineLvl w:val="0"/>
        <w:rPr>
          <w:rFonts w:hint="eastAsia" w:ascii="Times New Roman" w:hAnsi="Times New Roman" w:cs="Times New Roman"/>
          <w:color w:val="auto"/>
          <w:highlight w:val="none"/>
          <w:lang w:eastAsia="zh-CN"/>
        </w:rPr>
      </w:pPr>
      <w:r>
        <w:rPr>
          <w:rFonts w:hint="eastAsia"/>
          <w:color w:val="auto"/>
          <w:highlight w:val="none"/>
        </w:rPr>
        <w:t>附图</w:t>
      </w:r>
      <w:r>
        <w:rPr>
          <w:rFonts w:hint="eastAsia"/>
          <w:color w:val="auto"/>
          <w:highlight w:val="none"/>
          <w:lang w:val="en-US" w:eastAsia="zh-CN"/>
        </w:rPr>
        <w:t>4</w:t>
      </w:r>
      <w:r>
        <w:rPr>
          <w:rFonts w:hint="eastAsia"/>
          <w:color w:val="auto"/>
          <w:highlight w:val="none"/>
        </w:rPr>
        <w:t xml:space="preserve">  </w:t>
      </w:r>
      <w:r>
        <w:rPr>
          <w:rFonts w:hint="eastAsia" w:ascii="Times New Roman" w:hAnsi="Times New Roman" w:cs="Times New Roman"/>
          <w:color w:val="auto"/>
          <w:highlight w:val="none"/>
        </w:rPr>
        <w:t>本工程35kV开关站总平面布置图</w:t>
      </w:r>
    </w:p>
    <w:p>
      <w:pPr>
        <w:pStyle w:val="15"/>
        <w:jc w:val="center"/>
        <w:rPr>
          <w:rFonts w:hint="eastAsia"/>
          <w:color w:val="auto"/>
          <w:highlight w:val="none"/>
          <w:lang w:eastAsia="zh-CN"/>
        </w:rPr>
        <w:sectPr>
          <w:pgSz w:w="16838" w:h="11906" w:orient="landscape"/>
          <w:pgMar w:top="567" w:right="720" w:bottom="567" w:left="720" w:header="567" w:footer="567" w:gutter="0"/>
          <w:pgBorders>
            <w:top w:val="none" w:sz="0" w:space="0"/>
            <w:left w:val="none" w:sz="0" w:space="0"/>
            <w:bottom w:val="none" w:sz="0" w:space="0"/>
            <w:right w:val="none" w:sz="0" w:space="0"/>
          </w:pgBorders>
          <w:pgNumType w:fmt="decimal"/>
          <w:cols w:space="425" w:num="1"/>
          <w:docGrid w:type="lines" w:linePitch="312" w:charSpace="0"/>
        </w:sectPr>
      </w:pPr>
    </w:p>
    <w:p>
      <w:pPr>
        <w:jc w:val="center"/>
        <w:rPr>
          <w:rFonts w:hint="eastAsia" w:eastAsia="宋体"/>
          <w:color w:val="auto"/>
          <w:highlight w:val="none"/>
          <w:lang w:eastAsia="zh-CN"/>
        </w:rPr>
      </w:pPr>
      <w:r>
        <w:rPr>
          <w:rFonts w:hint="eastAsia" w:eastAsia="宋体"/>
          <w:color w:val="auto"/>
          <w:highlight w:val="none"/>
          <w:lang w:eastAsia="zh-CN"/>
        </w:rPr>
        <w:drawing>
          <wp:inline distT="0" distB="0" distL="114300" distR="114300">
            <wp:extent cx="9061450" cy="5927090"/>
            <wp:effectExtent l="0" t="0" r="6350" b="16510"/>
            <wp:docPr id="11" name="图片 11" descr="附图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附图5"/>
                    <pic:cNvPicPr>
                      <a:picLocks noChangeAspect="1"/>
                    </pic:cNvPicPr>
                  </pic:nvPicPr>
                  <pic:blipFill>
                    <a:blip r:embed="rId15"/>
                    <a:stretch>
                      <a:fillRect/>
                    </a:stretch>
                  </pic:blipFill>
                  <pic:spPr>
                    <a:xfrm>
                      <a:off x="0" y="0"/>
                      <a:ext cx="9061450" cy="5927090"/>
                    </a:xfrm>
                    <a:prstGeom prst="rect">
                      <a:avLst/>
                    </a:prstGeom>
                  </pic:spPr>
                </pic:pic>
              </a:graphicData>
            </a:graphic>
          </wp:inline>
        </w:drawing>
      </w:r>
    </w:p>
    <w:p>
      <w:pPr>
        <w:pStyle w:val="160"/>
        <w:outlineLvl w:val="0"/>
        <w:rPr>
          <w:rFonts w:hint="eastAsia"/>
          <w:color w:val="auto"/>
          <w:highlight w:val="none"/>
          <w:lang w:val="en-US" w:eastAsia="zh-CN"/>
        </w:rPr>
      </w:pPr>
      <w:r>
        <w:rPr>
          <w:rFonts w:hint="eastAsia"/>
          <w:color w:val="auto"/>
          <w:highlight w:val="none"/>
        </w:rPr>
        <w:t>附图</w:t>
      </w:r>
      <w:r>
        <w:rPr>
          <w:rFonts w:hint="eastAsia"/>
          <w:color w:val="auto"/>
          <w:highlight w:val="none"/>
          <w:lang w:val="en-US" w:eastAsia="zh-CN"/>
        </w:rPr>
        <w:t>5</w:t>
      </w:r>
      <w:r>
        <w:rPr>
          <w:color w:val="auto"/>
          <w:highlight w:val="none"/>
        </w:rPr>
        <w:t xml:space="preserve"> </w:t>
      </w:r>
      <w:r>
        <w:rPr>
          <w:rFonts w:hint="eastAsia"/>
          <w:color w:val="auto"/>
          <w:highlight w:val="none"/>
        </w:rPr>
        <w:t>生态红线区规划图</w:t>
      </w:r>
      <w:r>
        <w:rPr>
          <w:rFonts w:hint="eastAsia"/>
          <w:color w:val="auto"/>
          <w:highlight w:val="none"/>
          <w:lang w:eastAsia="zh-CN"/>
        </w:rPr>
        <w:t>（</w:t>
      </w:r>
      <w:r>
        <w:rPr>
          <w:rFonts w:hint="eastAsia"/>
          <w:color w:val="auto"/>
          <w:highlight w:val="none"/>
          <w:lang w:val="en-US" w:eastAsia="zh-CN"/>
        </w:rPr>
        <w:t>原2013版）</w:t>
      </w:r>
    </w:p>
    <w:p>
      <w:pPr>
        <w:rPr>
          <w:rFonts w:hint="eastAsia"/>
          <w:color w:val="auto"/>
          <w:highlight w:val="none"/>
          <w:lang w:val="en-US" w:eastAsia="zh-CN"/>
        </w:rPr>
      </w:pPr>
    </w:p>
    <w:p>
      <w:pPr>
        <w:bidi w:val="0"/>
        <w:rPr>
          <w:rFonts w:hint="default"/>
          <w:lang w:val="en-US" w:eastAsia="zh-CN"/>
        </w:rPr>
      </w:pPr>
    </w:p>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lang w:val="en-US" w:eastAsia="zh-CN"/>
        </w:rPr>
      </w:pPr>
      <w:r>
        <w:rPr>
          <w:rFonts w:hint="default"/>
          <w:lang w:val="en-US" w:eastAsia="zh-CN"/>
        </w:rPr>
        <w:drawing>
          <wp:inline distT="0" distB="0" distL="114300" distR="114300">
            <wp:extent cx="10017125" cy="5441950"/>
            <wp:effectExtent l="0" t="0" r="3175" b="6350"/>
            <wp:docPr id="12" name="图片 12" descr="附图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附图6"/>
                    <pic:cNvPicPr>
                      <a:picLocks noChangeAspect="1"/>
                    </pic:cNvPicPr>
                  </pic:nvPicPr>
                  <pic:blipFill>
                    <a:blip r:embed="rId16"/>
                    <a:srcRect t="4226" b="7672"/>
                    <a:stretch>
                      <a:fillRect/>
                    </a:stretch>
                  </pic:blipFill>
                  <pic:spPr>
                    <a:xfrm>
                      <a:off x="0" y="0"/>
                      <a:ext cx="10017125" cy="5441950"/>
                    </a:xfrm>
                    <a:prstGeom prst="rect">
                      <a:avLst/>
                    </a:prstGeom>
                  </pic:spPr>
                </pic:pic>
              </a:graphicData>
            </a:graphic>
          </wp:inline>
        </w:drawing>
      </w:r>
    </w:p>
    <w:p>
      <w:pPr>
        <w:pStyle w:val="160"/>
        <w:outlineLvl w:val="0"/>
        <w:rPr>
          <w:rFonts w:hint="eastAsia"/>
          <w:color w:val="auto"/>
          <w:highlight w:val="none"/>
          <w:lang w:val="en-US" w:eastAsia="zh-CN"/>
        </w:rPr>
      </w:pPr>
      <w:r>
        <w:rPr>
          <w:rFonts w:hint="eastAsia"/>
          <w:color w:val="auto"/>
          <w:highlight w:val="none"/>
        </w:rPr>
        <w:t>附图</w:t>
      </w:r>
      <w:r>
        <w:rPr>
          <w:rFonts w:hint="eastAsia"/>
          <w:color w:val="auto"/>
          <w:highlight w:val="none"/>
          <w:lang w:val="en-US" w:eastAsia="zh-CN"/>
        </w:rPr>
        <w:t>6</w:t>
      </w:r>
      <w:r>
        <w:rPr>
          <w:color w:val="auto"/>
          <w:highlight w:val="none"/>
        </w:rPr>
        <w:t xml:space="preserve"> </w:t>
      </w:r>
      <w:r>
        <w:rPr>
          <w:rFonts w:hint="eastAsia"/>
          <w:color w:val="auto"/>
          <w:highlight w:val="none"/>
        </w:rPr>
        <w:t>生态红线区规划图</w:t>
      </w:r>
      <w:r>
        <w:rPr>
          <w:rFonts w:hint="eastAsia"/>
          <w:color w:val="auto"/>
          <w:highlight w:val="none"/>
          <w:lang w:eastAsia="zh-CN"/>
        </w:rPr>
        <w:t>（</w:t>
      </w:r>
      <w:r>
        <w:rPr>
          <w:rFonts w:hint="eastAsia"/>
          <w:color w:val="auto"/>
          <w:highlight w:val="none"/>
          <w:lang w:val="en-US" w:eastAsia="zh-CN"/>
        </w:rPr>
        <w:t>2020版）</w:t>
      </w:r>
    </w:p>
    <w:p>
      <w:pPr>
        <w:widowControl/>
        <w:jc w:val="left"/>
        <w:rPr>
          <w:b/>
          <w:color w:val="auto"/>
          <w:sz w:val="24"/>
          <w:highlight w:val="yellow"/>
        </w:rPr>
      </w:pPr>
    </w:p>
    <w:sectPr>
      <w:pgSz w:w="16838" w:h="11906" w:orient="landscape"/>
      <w:pgMar w:top="567" w:right="720" w:bottom="567" w:left="720" w:header="567" w:footer="567"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Arial Unicode MS">
    <w:altName w:val="宋体"/>
    <w:panose1 w:val="020B0604020202020204"/>
    <w:charset w:val="86"/>
    <w:family w:val="swiss"/>
    <w:pitch w:val="default"/>
    <w:sig w:usb0="00000000" w:usb1="00000000" w:usb2="0000003F" w:usb3="00000000" w:csb0="603F01FF" w:csb1="FFFF0000"/>
  </w:font>
  <w:font w:name="Impact">
    <w:panose1 w:val="020B0806030902050204"/>
    <w:charset w:val="00"/>
    <w:family w:val="swiss"/>
    <w:pitch w:val="default"/>
    <w:sig w:usb0="00000287" w:usb1="00000000" w:usb2="00000000" w:usb3="00000000" w:csb0="2000009F" w:csb1="DFD70000"/>
  </w:font>
  <w:font w:name="方正报宋简体">
    <w:altName w:val="黑体"/>
    <w:panose1 w:val="00000000000000000000"/>
    <w:charset w:val="86"/>
    <w:family w:val="script"/>
    <w:pitch w:val="default"/>
    <w:sig w:usb0="00000000" w:usb1="00000000" w:usb2="00000010" w:usb3="00000000" w:csb0="00040000" w:csb1="00000000"/>
  </w:font>
  <w:font w:name="等线">
    <w:panose1 w:val="02010600030101010101"/>
    <w:charset w:val="86"/>
    <w:family w:val="auto"/>
    <w:pitch w:val="default"/>
    <w:sig w:usb0="A00002BF" w:usb1="38CF7CFA" w:usb2="00000016" w:usb3="00000000" w:csb0="0004000F" w:csb1="00000000"/>
  </w:font>
  <w:font w:name="PMingLiU">
    <w:altName w:val="PMingLiU-ExtB"/>
    <w:panose1 w:val="02020500000000000000"/>
    <w:charset w:val="88"/>
    <w:family w:val="roman"/>
    <w:pitch w:val="default"/>
    <w:sig w:usb0="00000000" w:usb1="00000000" w:usb2="00000016" w:usb3="00000000" w:csb0="00100001"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P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right="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right="360"/>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- 3 -</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bJgcoSAgAAEwQAAA4AAABkcnMvZTJvRG9jLnhtbK1TTY7TMBjdI3EH&#10;y3uatIhRVDUdlRkVIVXMSAWxdh2nieQ/2W6TcgC4ASs27DlXz8Gz03QQsEJsnBd//+97Xtz2SpKj&#10;cL41uqTTSU6J0NxUrd6X9MP79YuCEh+Yrpg0WpT0JDy9XT5/tujsXMxMY2QlHEES7eedLWkTgp1n&#10;meeNUMxPjBUaxto4xQJ+3T6rHOuQXclsluc3WWdcZZ3hwnvc3g9Gukz561rw8FDXXgQiS4reQjpd&#10;OnfxzJYLNt87ZpuWX9pg/9CFYq1G0WuqexYYObj2j1Sq5c54U4cJNyozdd1ykWbANNP8t2m2DbMi&#10;zQJyvL3S5P9fWv7u+OhIW5UUi9JMYUXnr1/O336cv38mRaSns34Or62FX+hfmx5rHu89LuPUfe1U&#10;/GIeAjuIPl3JFX0gPAYVs6LIYeKwjT/Inz2FW+fDG2EUiaCkDttLpLLjxofBdXSJ1bRZt1KmDUpN&#10;upLevHyVp4CrBcmlRo04xNBsRKHf9ZfJdqY6YTBnBmV4y9ctim+YD4/MQQpoGPIODzhqaVDEXBAl&#10;jXGf/nYf/bEhWCnpIK2SamifEvlWY3NRhSNwI9iNQB/UnYFWp3g2lieIABfkCGtn1EdofhVrwMQ0&#10;R6WShhHehUHeeDNcrFbJ6WBdu2+GAOjOsrDRW8tjmUikt6tDAJmJ40jQwMqFNygvbenySqK0f/1P&#10;Xk9vefk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ObJgcoSAgAAEwQAAA4AAAAAAAAAAQAg&#10;AAAAHwEAAGRycy9lMm9Eb2MueG1sUEsFBgAAAAAGAAYAWQEAAKMFAAAAAA==&#10;">
              <v:fill on="f" focussize="0,0"/>
              <v:stroke on="f" weight="0.5pt"/>
              <v:imagedata o:title=""/>
              <o:lock v:ext="edit" aspectratio="f"/>
              <v:textbox inset="0mm,0mm,0mm,0mm" style="mso-fit-shape-to-text:t;">
                <w:txbxContent>
                  <w:p>
                    <w:pPr>
                      <w:pStyle w:val="1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- 3 -</w:t>
                    </w:r>
                    <w:r>
                      <w:rPr>
                        <w:rFonts w:hint="eastAsia"/>
                        <w:lang w:eastAsia="zh-CN"/>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right="360"/>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- 1 -</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QmRUUAgAAEwQAAA4AAABkcnMvZTJvRG9jLnhtbK1TTY7TMBTeI3EH&#10;y3uatKijqmo6KjMqQqqYkQpi7Tp2Y8n2s2y3STkA3IAVG/acq+eYZ6fpIGCF2Dhf/P6/93lx2xlN&#10;jsIHBbai41FJibAcamX3Ff34Yf1qRkmIzNZMgxUVPYlAb5cvXyxaNxcTaEDXwhNMYsO8dRVtYnTz&#10;ogi8EYaFEThh0SjBGxbx1++L2rMWsxtdTMrypmjB184DFyHg7X1vpMucX0rB44OUQUSiK4q9xXz6&#10;fO7SWSwXbL73zDWKX9pg/9CFYcpi0WuqexYZOXj1RyqjuIcAMo44mAKkVFzkGXCacfnbNNuGOZFn&#10;QXKCu9IU/l9a/v746ImqKzqlxDKDKzp/+3r+/vP84wuZJnpaF+botXXoF7s30OGah/uAl2nqTnqT&#10;vjgPQTsSfbqSK7pIeAqaTWazEk0cbcMP5i+ew50P8a0AQxKoqMftZVLZcRNi7zq4pGoW1krrvEFt&#10;SVvRm9fTMgdcLZhcW6yRhuibTSh2u+4y2Q7qEw7moVdGcHytsPiGhfjIPEoBG0Z5xwc8pAYsAhdE&#10;SQP+89/ukz9uCK2UtCitilrUPiX6ncXNJRUOwA9gNwB7MHeAWh3js3E8QwzwUQ9QejCfUPOrVANN&#10;zHKsVNE4wLvYyxvfDBerVXY6OK/2TR+AunMsbuzW8VQmERnc6hCRzMxxIqhn5cIbKi9v6fJKkrR/&#10;/c9ez295+Q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XtCZFRQCAAATBAAADgAAAAAAAAAB&#10;ACAAAAAfAQAAZHJzL2Uyb0RvYy54bWxQSwUGAAAAAAYABgBZAQAApQUAAAAA&#10;">
              <v:fill on="f" focussize="0,0"/>
              <v:stroke on="f" weight="0.5pt"/>
              <v:imagedata o:title=""/>
              <o:lock v:ext="edit" aspectratio="f"/>
              <v:textbox inset="0mm,0mm,0mm,0mm" style="mso-fit-shape-to-text:t;">
                <w:txbxContent>
                  <w:p>
                    <w:pPr>
                      <w:pStyle w:val="1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- 1 -</w:t>
                    </w:r>
                    <w:r>
                      <w:rPr>
                        <w:rFonts w:hint="eastAsia"/>
                        <w:lang w:eastAsia="zh-CN"/>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right="360"/>
      <w:jc w:val="center"/>
      <w:rPr>
        <w:lang w:eastAsia="zh-CN"/>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- 5 -</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vSDC8VAgAAEwQAAA4AAABkcnMvZTJvRG9jLnhtbK1TTY7TMBTeI3EH&#10;y3uatAyjqmo6KjMqQqqYkQpi7Tp2Y8n2s2y3STkA3IAVG/acq+fg2Wk6aIYVYuN88fv/3uf5TWc0&#10;OQgfFNiKjkclJcJyqJXdVfTTx9WrKSUhMlszDVZU9CgCvVm8fDFv3UxMoAFdC08wiQ2z1lW0idHN&#10;iiLwRhgWRuCERaMEb1jEX78ras9azG50MSnL66IFXzsPXISAt3e9kS5yfikFj/dSBhGJrij2FvPp&#10;87lNZ7GYs9nOM9cofm6D/UMXhimLRS+p7lhkZO/Vs1RGcQ8BZBxxMAVIqbjIM+A04/LJNJuGOZFn&#10;QXKCu9AU/l9a/uHw4ImqK3pFiWUGV3T6/u3049fp51dylehpXZih18ahX+zeQodrHu4DXqapO+lN&#10;+uI8BO1I9PFCrugi4SloOplOSzRxtA0/mL94DHc+xHcCDEmgoh63l0llh3WIvevgkqpZWCmt8wa1&#10;JW1Fr1+/KXPAxYLJtcUaaYi+2YRit+3Ok22hPuJgHnplBMdXCouvWYgPzKMUsGGUd7zHQ2rAInBG&#10;lDTgv/ztPvnjhtBKSYvSqqhF7VOi31vcXFLhAPwAtgOwe3MLqNUxPhvHM8QAH/UApQfzGTW/TDXQ&#10;xCzHShWNA7yNvbzxzXCxXGanvfNq1/QBqDvH4tpuHE9lEpHBLfcRycwcJ4J6Vs68ofLyls6vJEn7&#10;z//s9fiWF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JvSDC8VAgAAEwQAAA4AAAAAAAAA&#10;AQAgAAAAHwEAAGRycy9lMm9Eb2MueG1sUEsFBgAAAAAGAAYAWQEAAKYFAAAAAA==&#10;">
              <v:fill on="f" focussize="0,0"/>
              <v:stroke on="f" weight="0.5pt"/>
              <v:imagedata o:title=""/>
              <o:lock v:ext="edit" aspectratio="f"/>
              <v:textbox inset="0mm,0mm,0mm,0mm" style="mso-fit-shape-to-text:t;">
                <w:txbxContent>
                  <w:p>
                    <w:pPr>
                      <w:pStyle w:val="1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- 5 -</w:t>
                    </w:r>
                    <w:r>
                      <w:rPr>
                        <w:rFonts w:hint="eastAsia"/>
                        <w:lang w:eastAsia="zh-CN"/>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rPr>
        <w:lang w:eastAsia="zh-CN"/>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97F2929"/>
    <w:multiLevelType w:val="singleLevel"/>
    <w:tmpl w:val="997F2929"/>
    <w:lvl w:ilvl="0" w:tentative="0">
      <w:start w:val="2"/>
      <w:numFmt w:val="decimal"/>
      <w:suff w:val="nothing"/>
      <w:lvlText w:val="%1、"/>
      <w:lvlJc w:val="left"/>
    </w:lvl>
  </w:abstractNum>
  <w:abstractNum w:abstractNumId="1">
    <w:nsid w:val="9C2918AB"/>
    <w:multiLevelType w:val="singleLevel"/>
    <w:tmpl w:val="9C2918AB"/>
    <w:lvl w:ilvl="0" w:tentative="0">
      <w:start w:val="5"/>
      <w:numFmt w:val="decimal"/>
      <w:suff w:val="nothing"/>
      <w:lvlText w:val="%1）"/>
      <w:lvlJc w:val="left"/>
    </w:lvl>
  </w:abstractNum>
  <w:abstractNum w:abstractNumId="2">
    <w:nsid w:val="B3FC0D75"/>
    <w:multiLevelType w:val="singleLevel"/>
    <w:tmpl w:val="B3FC0D75"/>
    <w:lvl w:ilvl="0" w:tentative="0">
      <w:start w:val="5"/>
      <w:numFmt w:val="decimal"/>
      <w:suff w:val="nothing"/>
      <w:lvlText w:val="（%1）"/>
      <w:lvlJc w:val="left"/>
    </w:lvl>
  </w:abstractNum>
  <w:abstractNum w:abstractNumId="3">
    <w:nsid w:val="00000000"/>
    <w:multiLevelType w:val="multilevel"/>
    <w:tmpl w:val="00000000"/>
    <w:lvl w:ilvl="0" w:tentative="0">
      <w:start w:val="1"/>
      <w:numFmt w:val="decimal"/>
      <w:suff w:val="nothing"/>
      <w:lvlText w:val="%1"/>
      <w:lvlJc w:val="left"/>
      <w:pPr>
        <w:ind w:left="568" w:firstLine="0"/>
      </w:pPr>
      <w:rPr>
        <w:rFonts w:hint="eastAsia" w:ascii="Times New Roman" w:hAnsi="Times New Roman" w:cs="Times New Roman"/>
        <w:bCs w:val="0"/>
        <w:i w:val="0"/>
        <w:iCs w:val="0"/>
        <w:caps w:val="0"/>
        <w:smallCaps w:val="0"/>
        <w:strike w:val="0"/>
        <w:dstrike w:val="0"/>
        <w:vanish w:val="0"/>
        <w:spacing w:val="0"/>
        <w:position w:val="0"/>
        <w:u w:val="none"/>
        <w:vertAlign w:val="baseline"/>
      </w:rPr>
    </w:lvl>
    <w:lvl w:ilvl="1" w:tentative="0">
      <w:start w:val="1"/>
      <w:numFmt w:val="decimal"/>
      <w:suff w:val="nothing"/>
      <w:lvlText w:val="%1.%2"/>
      <w:lvlJc w:val="left"/>
      <w:pPr>
        <w:ind w:left="1276" w:firstLine="0"/>
      </w:pPr>
    </w:lvl>
    <w:lvl w:ilvl="2" w:tentative="0">
      <w:start w:val="1"/>
      <w:numFmt w:val="decimal"/>
      <w:pStyle w:val="163"/>
      <w:suff w:val="nothing"/>
      <w:lvlText w:val="%1.%2.%3"/>
      <w:lvlJc w:val="left"/>
      <w:pPr>
        <w:ind w:left="0" w:firstLine="0"/>
      </w:pPr>
      <w:rPr>
        <w:rFonts w:hint="default" w:ascii="Times New Roman" w:hAnsi="Times New Roman" w:eastAsia="宋体"/>
        <w:b/>
        <w:i w:val="0"/>
        <w:sz w:val="28"/>
        <w:lang w:val="en-US" w:eastAsia="zh-CN"/>
      </w:rPr>
    </w:lvl>
    <w:lvl w:ilvl="3" w:tentative="0">
      <w:start w:val="1"/>
      <w:numFmt w:val="decimal"/>
      <w:pStyle w:val="164"/>
      <w:suff w:val="nothing"/>
      <w:lvlText w:val="%1.%2.%3.%4"/>
      <w:lvlJc w:val="left"/>
      <w:pPr>
        <w:ind w:left="284" w:firstLine="0"/>
      </w:pPr>
      <w:rPr>
        <w:rFonts w:hint="default" w:ascii="Times New Roman" w:hAnsi="Times New Roman" w:eastAsia="宋体"/>
        <w:b/>
        <w:i w:val="0"/>
        <w:sz w:val="28"/>
        <w:lang w:eastAsia="zh-CN"/>
      </w:rPr>
    </w:lvl>
    <w:lvl w:ilvl="4" w:tentative="0">
      <w:start w:val="1"/>
      <w:numFmt w:val="decimal"/>
      <w:lvlRestart w:val="0"/>
      <w:lvlText w:val="%1.%2.%3.%4.%5"/>
      <w:lvlJc w:val="left"/>
      <w:pPr>
        <w:ind w:left="2551" w:hanging="850"/>
      </w:pPr>
      <w:rPr>
        <w:rFonts w:hint="eastAsia"/>
      </w:rPr>
    </w:lvl>
    <w:lvl w:ilvl="5" w:tentative="0">
      <w:start w:val="1"/>
      <w:numFmt w:val="decimal"/>
      <w:lvlRestart w:val="2"/>
      <w:suff w:val="space"/>
      <w:lvlText w:val="表%1.%2-%6"/>
      <w:lvlJc w:val="center"/>
      <w:pPr>
        <w:ind w:left="2269" w:firstLine="0"/>
      </w:pPr>
      <w:rPr>
        <w:lang w:val="en-US"/>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4">
    <w:nsid w:val="11CA1579"/>
    <w:multiLevelType w:val="multilevel"/>
    <w:tmpl w:val="11CA1579"/>
    <w:lvl w:ilvl="0" w:tentative="0">
      <w:start w:val="1"/>
      <w:numFmt w:val="decimal"/>
      <w:pStyle w:val="137"/>
      <w:lvlText w:val="%1、"/>
      <w:lvlJc w:val="left"/>
      <w:pPr>
        <w:ind w:left="736" w:hanging="375"/>
      </w:pPr>
      <w:rPr>
        <w:rFonts w:hint="default" w:eastAsia="宋体"/>
        <w:b/>
      </w:rPr>
    </w:lvl>
    <w:lvl w:ilvl="1" w:tentative="0">
      <w:start w:val="1"/>
      <w:numFmt w:val="lowerLetter"/>
      <w:lvlText w:val="%2)"/>
      <w:lvlJc w:val="left"/>
      <w:pPr>
        <w:ind w:left="1201" w:hanging="420"/>
      </w:pPr>
    </w:lvl>
    <w:lvl w:ilvl="2" w:tentative="0">
      <w:start w:val="1"/>
      <w:numFmt w:val="lowerRoman"/>
      <w:lvlText w:val="%3."/>
      <w:lvlJc w:val="right"/>
      <w:pPr>
        <w:ind w:left="1621" w:hanging="420"/>
      </w:pPr>
    </w:lvl>
    <w:lvl w:ilvl="3" w:tentative="0">
      <w:start w:val="1"/>
      <w:numFmt w:val="decimal"/>
      <w:lvlText w:val="%4."/>
      <w:lvlJc w:val="left"/>
      <w:pPr>
        <w:ind w:left="2041" w:hanging="420"/>
      </w:pPr>
    </w:lvl>
    <w:lvl w:ilvl="4" w:tentative="0">
      <w:start w:val="1"/>
      <w:numFmt w:val="lowerLetter"/>
      <w:lvlText w:val="%5)"/>
      <w:lvlJc w:val="left"/>
      <w:pPr>
        <w:ind w:left="2461" w:hanging="420"/>
      </w:pPr>
    </w:lvl>
    <w:lvl w:ilvl="5" w:tentative="0">
      <w:start w:val="1"/>
      <w:numFmt w:val="lowerRoman"/>
      <w:lvlText w:val="%6."/>
      <w:lvlJc w:val="right"/>
      <w:pPr>
        <w:ind w:left="2881" w:hanging="420"/>
      </w:pPr>
    </w:lvl>
    <w:lvl w:ilvl="6" w:tentative="0">
      <w:start w:val="1"/>
      <w:numFmt w:val="decimal"/>
      <w:lvlText w:val="%7."/>
      <w:lvlJc w:val="left"/>
      <w:pPr>
        <w:ind w:left="3301" w:hanging="420"/>
      </w:pPr>
    </w:lvl>
    <w:lvl w:ilvl="7" w:tentative="0">
      <w:start w:val="1"/>
      <w:numFmt w:val="lowerLetter"/>
      <w:lvlText w:val="%8)"/>
      <w:lvlJc w:val="left"/>
      <w:pPr>
        <w:ind w:left="3721" w:hanging="420"/>
      </w:pPr>
    </w:lvl>
    <w:lvl w:ilvl="8" w:tentative="0">
      <w:start w:val="1"/>
      <w:numFmt w:val="lowerRoman"/>
      <w:lvlText w:val="%9."/>
      <w:lvlJc w:val="right"/>
      <w:pPr>
        <w:ind w:left="4141" w:hanging="420"/>
      </w:pPr>
    </w:lvl>
  </w:abstractNum>
  <w:abstractNum w:abstractNumId="5">
    <w:nsid w:val="3B8513D4"/>
    <w:multiLevelType w:val="multilevel"/>
    <w:tmpl w:val="3B8513D4"/>
    <w:lvl w:ilvl="0" w:tentative="0">
      <w:start w:val="1"/>
      <w:numFmt w:val="decimal"/>
      <w:lvlText w:val="表%1"/>
      <w:lvlJc w:val="left"/>
      <w:pPr>
        <w:tabs>
          <w:tab w:val="left" w:pos="851"/>
        </w:tabs>
        <w:ind w:left="9224" w:hanging="673"/>
      </w:pPr>
      <w:rPr>
        <w:rFonts w:hint="eastAsia"/>
        <w:b/>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557C2AF5"/>
    <w:multiLevelType w:val="multilevel"/>
    <w:tmpl w:val="557C2AF5"/>
    <w:lvl w:ilvl="0" w:tentative="0">
      <w:start w:val="1"/>
      <w:numFmt w:val="decimal"/>
      <w:pStyle w:val="92"/>
      <w:suff w:val="nothing"/>
      <w:lvlText w:val="图%1　"/>
      <w:lvlJc w:val="left"/>
      <w:pPr>
        <w:ind w:left="0" w:firstLine="0"/>
      </w:pPr>
      <w:rPr>
        <w:rFonts w:hint="eastAsia" w:ascii="黑体" w:hAnsi="Times New Roman" w:eastAsia="黑体"/>
        <w:b w:val="0"/>
        <w:i w:val="0"/>
        <w:sz w:val="21"/>
      </w:rPr>
    </w:lvl>
    <w:lvl w:ilvl="1" w:tentative="0">
      <w:start w:val="1"/>
      <w:numFmt w:val="decimal"/>
      <w:suff w:val="nothing"/>
      <w:lvlText w:val="%1%2　"/>
      <w:lvlJc w:val="left"/>
      <w:pPr>
        <w:ind w:left="0" w:firstLine="0"/>
      </w:pPr>
      <w:rPr>
        <w:rFonts w:hint="default" w:ascii="Times New Roman" w:hAnsi="Times New Roman" w:eastAsia="黑体"/>
        <w:b w:val="0"/>
        <w:i w:val="0"/>
        <w:sz w:val="21"/>
      </w:rPr>
    </w:lvl>
    <w:lvl w:ilvl="2" w:tentative="0">
      <w:start w:val="1"/>
      <w:numFmt w:val="decimal"/>
      <w:suff w:val="nothing"/>
      <w:lvlText w:val="%1%2.%3　"/>
      <w:lvlJc w:val="left"/>
      <w:pPr>
        <w:ind w:left="0" w:firstLine="0"/>
      </w:pPr>
      <w:rPr>
        <w:rFonts w:hint="default" w:ascii="Times New Roman" w:hAnsi="Times New Roman" w:eastAsia="黑体"/>
        <w:b w:val="0"/>
        <w:i w:val="0"/>
        <w:sz w:val="21"/>
      </w:rPr>
    </w:lvl>
    <w:lvl w:ilvl="3" w:tentative="0">
      <w:start w:val="1"/>
      <w:numFmt w:val="decimal"/>
      <w:suff w:val="nothing"/>
      <w:lvlText w:val="%1%2.%3.%4　"/>
      <w:lvlJc w:val="left"/>
      <w:pPr>
        <w:ind w:left="0" w:firstLine="0"/>
      </w:pPr>
      <w:rPr>
        <w:rFonts w:hint="default" w:ascii="Times New Roman" w:hAnsi="Times New Roman" w:eastAsia="黑体"/>
        <w:b w:val="0"/>
        <w:i w:val="0"/>
        <w:sz w:val="21"/>
      </w:rPr>
    </w:lvl>
    <w:lvl w:ilvl="4" w:tentative="0">
      <w:start w:val="1"/>
      <w:numFmt w:val="decimal"/>
      <w:suff w:val="nothing"/>
      <w:lvlText w:val="%1%2.%3.%4.%5　"/>
      <w:lvlJc w:val="left"/>
      <w:pPr>
        <w:ind w:left="0" w:firstLine="0"/>
      </w:pPr>
      <w:rPr>
        <w:rFonts w:hint="default" w:ascii="Times New Roman" w:hAnsi="Times New Roman" w:eastAsia="黑体"/>
        <w:b w:val="0"/>
        <w:i w:val="0"/>
        <w:sz w:val="21"/>
      </w:rPr>
    </w:lvl>
    <w:lvl w:ilvl="5" w:tentative="0">
      <w:start w:val="1"/>
      <w:numFmt w:val="decimal"/>
      <w:suff w:val="nothing"/>
      <w:lvlText w:val="%1%2.%3.%4.%5.%6　"/>
      <w:lvlJc w:val="left"/>
      <w:pPr>
        <w:ind w:left="0" w:firstLine="0"/>
      </w:pPr>
      <w:rPr>
        <w:rFonts w:hint="default" w:ascii="Times New Roman" w:hAnsi="Times New Roman" w:eastAsia="黑体"/>
        <w:b w:val="0"/>
        <w:i w:val="0"/>
        <w:sz w:val="21"/>
      </w:rPr>
    </w:lvl>
    <w:lvl w:ilvl="6" w:tentative="0">
      <w:start w:val="1"/>
      <w:numFmt w:val="decimal"/>
      <w:suff w:val="nothing"/>
      <w:lvlText w:val="%1%2.%3.%4.%5.%6.%7　"/>
      <w:lvlJc w:val="left"/>
      <w:pPr>
        <w:ind w:left="0" w:firstLine="0"/>
      </w:pPr>
      <w:rPr>
        <w:rFonts w:hint="default" w:ascii="Times New Roman"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7">
    <w:nsid w:val="5A455291"/>
    <w:multiLevelType w:val="multilevel"/>
    <w:tmpl w:val="5A455291"/>
    <w:lvl w:ilvl="0" w:tentative="0">
      <w:start w:val="1"/>
      <w:numFmt w:val="decimal"/>
      <w:pStyle w:val="3"/>
      <w:lvlText w:val="%1"/>
      <w:lvlJc w:val="left"/>
      <w:pPr>
        <w:tabs>
          <w:tab w:val="left" w:pos="425"/>
        </w:tabs>
        <w:ind w:left="425" w:hanging="425"/>
      </w:pPr>
      <w:rPr>
        <w:rFonts w:hint="eastAsia"/>
      </w:rPr>
    </w:lvl>
    <w:lvl w:ilvl="1" w:tentative="0">
      <w:start w:val="1"/>
      <w:numFmt w:val="decimal"/>
      <w:lvlText w:val="%1.%2"/>
      <w:lvlJc w:val="left"/>
      <w:pPr>
        <w:tabs>
          <w:tab w:val="left" w:pos="567"/>
        </w:tabs>
        <w:ind w:left="567" w:hanging="567"/>
      </w:pPr>
      <w:rPr>
        <w:rFonts w:hint="eastAsia"/>
      </w:rPr>
    </w:lvl>
    <w:lvl w:ilvl="2" w:tentative="0">
      <w:start w:val="1"/>
      <w:numFmt w:val="decimal"/>
      <w:lvlText w:val="%1.%2.%3"/>
      <w:lvlJc w:val="left"/>
      <w:pPr>
        <w:tabs>
          <w:tab w:val="left" w:pos="709"/>
        </w:tabs>
        <w:ind w:left="709" w:hanging="709"/>
      </w:pPr>
      <w:rPr>
        <w:rFonts w:hint="eastAsia"/>
      </w:rPr>
    </w:lvl>
    <w:lvl w:ilvl="3" w:tentative="0">
      <w:start w:val="1"/>
      <w:numFmt w:val="decimal"/>
      <w:lvlText w:val="%1.%2.%3.%4."/>
      <w:lvlJc w:val="left"/>
      <w:pPr>
        <w:tabs>
          <w:tab w:val="left" w:pos="851"/>
        </w:tabs>
        <w:ind w:left="85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8">
    <w:nsid w:val="646260FA"/>
    <w:multiLevelType w:val="multilevel"/>
    <w:tmpl w:val="646260FA"/>
    <w:lvl w:ilvl="0" w:tentative="0">
      <w:start w:val="1"/>
      <w:numFmt w:val="decimal"/>
      <w:pStyle w:val="146"/>
      <w:suff w:val="nothing"/>
      <w:lvlText w:val="表%1　"/>
      <w:lvlJc w:val="left"/>
      <w:pPr>
        <w:ind w:left="0" w:firstLine="0"/>
      </w:pPr>
      <w:rPr>
        <w:rFonts w:hint="eastAsia" w:ascii="黑体" w:hAnsi="Times New Roman" w:eastAsia="黑体"/>
        <w:b w:val="0"/>
        <w:i w:val="0"/>
        <w:color w:val="auto"/>
        <w:sz w:val="21"/>
      </w:rPr>
    </w:lvl>
    <w:lvl w:ilvl="1" w:tentative="0">
      <w:start w:val="1"/>
      <w:numFmt w:val="decimal"/>
      <w:lvlText w:val="%1.%2"/>
      <w:lvlJc w:val="left"/>
      <w:pPr>
        <w:tabs>
          <w:tab w:val="left" w:pos="992"/>
        </w:tabs>
        <w:ind w:left="992" w:hanging="567"/>
      </w:pPr>
      <w:rPr>
        <w:rFonts w:hint="eastAsia"/>
      </w:rPr>
    </w:lvl>
    <w:lvl w:ilvl="2" w:tentative="0">
      <w:start w:val="1"/>
      <w:numFmt w:val="decimal"/>
      <w:lvlText w:val="%1.%2.%3"/>
      <w:lvlJc w:val="left"/>
      <w:pPr>
        <w:tabs>
          <w:tab w:val="left" w:pos="1418"/>
        </w:tabs>
        <w:ind w:left="1418" w:hanging="567"/>
      </w:pPr>
      <w:rPr>
        <w:rFonts w:hint="eastAsia"/>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9">
    <w:nsid w:val="76904EB7"/>
    <w:multiLevelType w:val="singleLevel"/>
    <w:tmpl w:val="76904EB7"/>
    <w:lvl w:ilvl="0" w:tentative="0">
      <w:start w:val="1"/>
      <w:numFmt w:val="chineseCounting"/>
      <w:suff w:val="nothing"/>
      <w:lvlText w:val="%1、"/>
      <w:lvlJc w:val="left"/>
      <w:rPr>
        <w:rFonts w:hint="eastAsia"/>
      </w:rPr>
    </w:lvl>
  </w:abstractNum>
  <w:abstractNum w:abstractNumId="10">
    <w:nsid w:val="77E9BD4A"/>
    <w:multiLevelType w:val="singleLevel"/>
    <w:tmpl w:val="77E9BD4A"/>
    <w:lvl w:ilvl="0" w:tentative="0">
      <w:start w:val="7"/>
      <w:numFmt w:val="chineseCounting"/>
      <w:suff w:val="nothing"/>
      <w:lvlText w:val="%1、"/>
      <w:lvlJc w:val="left"/>
      <w:rPr>
        <w:rFonts w:hint="eastAsia"/>
      </w:rPr>
    </w:lvl>
  </w:abstractNum>
  <w:num w:numId="1">
    <w:abstractNumId w:val="7"/>
  </w:num>
  <w:num w:numId="2">
    <w:abstractNumId w:val="6"/>
  </w:num>
  <w:num w:numId="3">
    <w:abstractNumId w:val="4"/>
  </w:num>
  <w:num w:numId="4">
    <w:abstractNumId w:val="8"/>
  </w:num>
  <w:num w:numId="5">
    <w:abstractNumId w:val="3"/>
  </w:num>
  <w:num w:numId="6">
    <w:abstractNumId w:val="9"/>
  </w:num>
  <w:num w:numId="7">
    <w:abstractNumId w:val="5"/>
  </w:num>
  <w:num w:numId="8">
    <w:abstractNumId w:val="10"/>
  </w:num>
  <w:num w:numId="9">
    <w:abstractNumId w:val="0"/>
  </w:num>
  <w:num w:numId="10">
    <w:abstractNumId w:val="2"/>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val="1"/>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154B"/>
    <w:rsid w:val="00000844"/>
    <w:rsid w:val="000008DF"/>
    <w:rsid w:val="00000ABF"/>
    <w:rsid w:val="00000F0F"/>
    <w:rsid w:val="00001953"/>
    <w:rsid w:val="00002404"/>
    <w:rsid w:val="00002CF1"/>
    <w:rsid w:val="0000400D"/>
    <w:rsid w:val="00005751"/>
    <w:rsid w:val="00005ED9"/>
    <w:rsid w:val="00006614"/>
    <w:rsid w:val="00006F7E"/>
    <w:rsid w:val="000071B7"/>
    <w:rsid w:val="000071FA"/>
    <w:rsid w:val="00007561"/>
    <w:rsid w:val="00007945"/>
    <w:rsid w:val="00007BFB"/>
    <w:rsid w:val="00007DBB"/>
    <w:rsid w:val="00010A6B"/>
    <w:rsid w:val="00010EF7"/>
    <w:rsid w:val="000114DC"/>
    <w:rsid w:val="00011E69"/>
    <w:rsid w:val="000122F5"/>
    <w:rsid w:val="0001235E"/>
    <w:rsid w:val="000124D1"/>
    <w:rsid w:val="000128ED"/>
    <w:rsid w:val="000131C8"/>
    <w:rsid w:val="00013D09"/>
    <w:rsid w:val="00014416"/>
    <w:rsid w:val="00015AF4"/>
    <w:rsid w:val="00015E8D"/>
    <w:rsid w:val="00016837"/>
    <w:rsid w:val="00016908"/>
    <w:rsid w:val="00017049"/>
    <w:rsid w:val="0001737F"/>
    <w:rsid w:val="0002000F"/>
    <w:rsid w:val="00020354"/>
    <w:rsid w:val="000206BD"/>
    <w:rsid w:val="00021D29"/>
    <w:rsid w:val="00022114"/>
    <w:rsid w:val="000224C3"/>
    <w:rsid w:val="000225FB"/>
    <w:rsid w:val="00022AD2"/>
    <w:rsid w:val="00022DDE"/>
    <w:rsid w:val="00023505"/>
    <w:rsid w:val="00023DA3"/>
    <w:rsid w:val="00023FFD"/>
    <w:rsid w:val="0002625A"/>
    <w:rsid w:val="00026EF0"/>
    <w:rsid w:val="0002766F"/>
    <w:rsid w:val="00027A15"/>
    <w:rsid w:val="00027C62"/>
    <w:rsid w:val="00031019"/>
    <w:rsid w:val="000314D7"/>
    <w:rsid w:val="00031C15"/>
    <w:rsid w:val="0003279F"/>
    <w:rsid w:val="00032939"/>
    <w:rsid w:val="00032B5D"/>
    <w:rsid w:val="00032B6C"/>
    <w:rsid w:val="000331A9"/>
    <w:rsid w:val="000347F0"/>
    <w:rsid w:val="00034E32"/>
    <w:rsid w:val="000352A9"/>
    <w:rsid w:val="00035E30"/>
    <w:rsid w:val="00036129"/>
    <w:rsid w:val="0003618F"/>
    <w:rsid w:val="00036C4D"/>
    <w:rsid w:val="00037953"/>
    <w:rsid w:val="000402ED"/>
    <w:rsid w:val="00040403"/>
    <w:rsid w:val="000410CA"/>
    <w:rsid w:val="00042270"/>
    <w:rsid w:val="00042414"/>
    <w:rsid w:val="00042A0D"/>
    <w:rsid w:val="000430A7"/>
    <w:rsid w:val="000430DF"/>
    <w:rsid w:val="0004353E"/>
    <w:rsid w:val="00043A8C"/>
    <w:rsid w:val="00043C89"/>
    <w:rsid w:val="0004425C"/>
    <w:rsid w:val="000442C3"/>
    <w:rsid w:val="00044350"/>
    <w:rsid w:val="000445D6"/>
    <w:rsid w:val="000454BF"/>
    <w:rsid w:val="000470B7"/>
    <w:rsid w:val="000472AF"/>
    <w:rsid w:val="00047ED0"/>
    <w:rsid w:val="000504FB"/>
    <w:rsid w:val="000506D1"/>
    <w:rsid w:val="00051E3D"/>
    <w:rsid w:val="0005212B"/>
    <w:rsid w:val="0005215A"/>
    <w:rsid w:val="000522A3"/>
    <w:rsid w:val="00052B1A"/>
    <w:rsid w:val="00052FE9"/>
    <w:rsid w:val="0005336F"/>
    <w:rsid w:val="000535DA"/>
    <w:rsid w:val="00054074"/>
    <w:rsid w:val="00056212"/>
    <w:rsid w:val="00057910"/>
    <w:rsid w:val="0005796C"/>
    <w:rsid w:val="000579AB"/>
    <w:rsid w:val="00057D8C"/>
    <w:rsid w:val="00061DBD"/>
    <w:rsid w:val="000624BE"/>
    <w:rsid w:val="000627C3"/>
    <w:rsid w:val="00063100"/>
    <w:rsid w:val="0006391E"/>
    <w:rsid w:val="0006415C"/>
    <w:rsid w:val="00064211"/>
    <w:rsid w:val="0006430E"/>
    <w:rsid w:val="00064818"/>
    <w:rsid w:val="00064BBE"/>
    <w:rsid w:val="00064C48"/>
    <w:rsid w:val="000657E0"/>
    <w:rsid w:val="00065F6D"/>
    <w:rsid w:val="00066258"/>
    <w:rsid w:val="000663DE"/>
    <w:rsid w:val="000669A5"/>
    <w:rsid w:val="000670C1"/>
    <w:rsid w:val="000675C1"/>
    <w:rsid w:val="00067683"/>
    <w:rsid w:val="000677B4"/>
    <w:rsid w:val="00067B62"/>
    <w:rsid w:val="0007095D"/>
    <w:rsid w:val="00070AF6"/>
    <w:rsid w:val="0007124E"/>
    <w:rsid w:val="000724DB"/>
    <w:rsid w:val="0007280A"/>
    <w:rsid w:val="00072FD1"/>
    <w:rsid w:val="00073587"/>
    <w:rsid w:val="00074103"/>
    <w:rsid w:val="0007449E"/>
    <w:rsid w:val="00074CD0"/>
    <w:rsid w:val="00074E39"/>
    <w:rsid w:val="00075357"/>
    <w:rsid w:val="0007591A"/>
    <w:rsid w:val="00075DC3"/>
    <w:rsid w:val="00075DC8"/>
    <w:rsid w:val="0007721A"/>
    <w:rsid w:val="00077B85"/>
    <w:rsid w:val="00077FA4"/>
    <w:rsid w:val="000800B7"/>
    <w:rsid w:val="00080207"/>
    <w:rsid w:val="00080610"/>
    <w:rsid w:val="00080A4E"/>
    <w:rsid w:val="00080BFC"/>
    <w:rsid w:val="000817C1"/>
    <w:rsid w:val="00082337"/>
    <w:rsid w:val="000835AE"/>
    <w:rsid w:val="000843BB"/>
    <w:rsid w:val="00084BE2"/>
    <w:rsid w:val="00085C6E"/>
    <w:rsid w:val="00085FF5"/>
    <w:rsid w:val="00086D27"/>
    <w:rsid w:val="00086DFE"/>
    <w:rsid w:val="000873EA"/>
    <w:rsid w:val="0009010E"/>
    <w:rsid w:val="00090616"/>
    <w:rsid w:val="000906AE"/>
    <w:rsid w:val="000907DD"/>
    <w:rsid w:val="00090B0F"/>
    <w:rsid w:val="00091302"/>
    <w:rsid w:val="0009132C"/>
    <w:rsid w:val="00092612"/>
    <w:rsid w:val="000927BD"/>
    <w:rsid w:val="000927DE"/>
    <w:rsid w:val="0009298A"/>
    <w:rsid w:val="0009321E"/>
    <w:rsid w:val="00093A18"/>
    <w:rsid w:val="00094B9B"/>
    <w:rsid w:val="000953CE"/>
    <w:rsid w:val="00095EAC"/>
    <w:rsid w:val="000962F7"/>
    <w:rsid w:val="00096477"/>
    <w:rsid w:val="00096524"/>
    <w:rsid w:val="00096804"/>
    <w:rsid w:val="00097AA8"/>
    <w:rsid w:val="00097C1C"/>
    <w:rsid w:val="00097E20"/>
    <w:rsid w:val="000A01D7"/>
    <w:rsid w:val="000A0AE7"/>
    <w:rsid w:val="000A0D3F"/>
    <w:rsid w:val="000A173C"/>
    <w:rsid w:val="000A17BC"/>
    <w:rsid w:val="000A1F9A"/>
    <w:rsid w:val="000A28EB"/>
    <w:rsid w:val="000A338B"/>
    <w:rsid w:val="000A39CD"/>
    <w:rsid w:val="000A3D30"/>
    <w:rsid w:val="000A4238"/>
    <w:rsid w:val="000A4748"/>
    <w:rsid w:val="000A519C"/>
    <w:rsid w:val="000A5E05"/>
    <w:rsid w:val="000A644D"/>
    <w:rsid w:val="000A6673"/>
    <w:rsid w:val="000A6B1C"/>
    <w:rsid w:val="000A6E8A"/>
    <w:rsid w:val="000A6F90"/>
    <w:rsid w:val="000A72F8"/>
    <w:rsid w:val="000A7B28"/>
    <w:rsid w:val="000B0325"/>
    <w:rsid w:val="000B053E"/>
    <w:rsid w:val="000B0552"/>
    <w:rsid w:val="000B0631"/>
    <w:rsid w:val="000B0637"/>
    <w:rsid w:val="000B171F"/>
    <w:rsid w:val="000B1A6E"/>
    <w:rsid w:val="000B203F"/>
    <w:rsid w:val="000B223B"/>
    <w:rsid w:val="000B2328"/>
    <w:rsid w:val="000B23CA"/>
    <w:rsid w:val="000B27B6"/>
    <w:rsid w:val="000B295D"/>
    <w:rsid w:val="000B2EC1"/>
    <w:rsid w:val="000B33A8"/>
    <w:rsid w:val="000B353F"/>
    <w:rsid w:val="000B361A"/>
    <w:rsid w:val="000B3A15"/>
    <w:rsid w:val="000B3A6F"/>
    <w:rsid w:val="000B469E"/>
    <w:rsid w:val="000B58F1"/>
    <w:rsid w:val="000B5C1A"/>
    <w:rsid w:val="000B5C1C"/>
    <w:rsid w:val="000B698A"/>
    <w:rsid w:val="000B7380"/>
    <w:rsid w:val="000B7913"/>
    <w:rsid w:val="000C0C50"/>
    <w:rsid w:val="000C0D35"/>
    <w:rsid w:val="000C192D"/>
    <w:rsid w:val="000C2130"/>
    <w:rsid w:val="000C26F0"/>
    <w:rsid w:val="000C2E37"/>
    <w:rsid w:val="000C33D1"/>
    <w:rsid w:val="000C3AF6"/>
    <w:rsid w:val="000C3C80"/>
    <w:rsid w:val="000C410B"/>
    <w:rsid w:val="000C4DE8"/>
    <w:rsid w:val="000C51EA"/>
    <w:rsid w:val="000C5EB4"/>
    <w:rsid w:val="000C6243"/>
    <w:rsid w:val="000C63E4"/>
    <w:rsid w:val="000C6870"/>
    <w:rsid w:val="000C7B4E"/>
    <w:rsid w:val="000D0134"/>
    <w:rsid w:val="000D071F"/>
    <w:rsid w:val="000D0A9B"/>
    <w:rsid w:val="000D0ABF"/>
    <w:rsid w:val="000D0E41"/>
    <w:rsid w:val="000D196E"/>
    <w:rsid w:val="000D1F98"/>
    <w:rsid w:val="000D2C2A"/>
    <w:rsid w:val="000D2D51"/>
    <w:rsid w:val="000D2EDA"/>
    <w:rsid w:val="000D3125"/>
    <w:rsid w:val="000D33E8"/>
    <w:rsid w:val="000D3780"/>
    <w:rsid w:val="000D3D0B"/>
    <w:rsid w:val="000D3FA4"/>
    <w:rsid w:val="000D4876"/>
    <w:rsid w:val="000D5011"/>
    <w:rsid w:val="000D5846"/>
    <w:rsid w:val="000D5A9D"/>
    <w:rsid w:val="000D5CA8"/>
    <w:rsid w:val="000D6C16"/>
    <w:rsid w:val="000D70C5"/>
    <w:rsid w:val="000E0284"/>
    <w:rsid w:val="000E11A0"/>
    <w:rsid w:val="000E2A95"/>
    <w:rsid w:val="000E2AB6"/>
    <w:rsid w:val="000E2E8F"/>
    <w:rsid w:val="000E2F61"/>
    <w:rsid w:val="000E4417"/>
    <w:rsid w:val="000E5672"/>
    <w:rsid w:val="000E5A75"/>
    <w:rsid w:val="000E5BA3"/>
    <w:rsid w:val="000E5CC5"/>
    <w:rsid w:val="000E64EE"/>
    <w:rsid w:val="000E690D"/>
    <w:rsid w:val="000E7091"/>
    <w:rsid w:val="000E7504"/>
    <w:rsid w:val="000F0B6D"/>
    <w:rsid w:val="000F0B92"/>
    <w:rsid w:val="000F13C0"/>
    <w:rsid w:val="000F161A"/>
    <w:rsid w:val="000F1FBB"/>
    <w:rsid w:val="000F22FF"/>
    <w:rsid w:val="000F31BD"/>
    <w:rsid w:val="000F3215"/>
    <w:rsid w:val="000F35A8"/>
    <w:rsid w:val="000F391B"/>
    <w:rsid w:val="000F45E7"/>
    <w:rsid w:val="000F4B5D"/>
    <w:rsid w:val="000F4CF4"/>
    <w:rsid w:val="000F5451"/>
    <w:rsid w:val="000F6E81"/>
    <w:rsid w:val="000F7595"/>
    <w:rsid w:val="000F763D"/>
    <w:rsid w:val="000F7736"/>
    <w:rsid w:val="001008A6"/>
    <w:rsid w:val="00100FB2"/>
    <w:rsid w:val="00101469"/>
    <w:rsid w:val="0010153E"/>
    <w:rsid w:val="00101960"/>
    <w:rsid w:val="00101DF5"/>
    <w:rsid w:val="00102098"/>
    <w:rsid w:val="00102244"/>
    <w:rsid w:val="00102B0C"/>
    <w:rsid w:val="00102D97"/>
    <w:rsid w:val="001030D8"/>
    <w:rsid w:val="00103811"/>
    <w:rsid w:val="0010498A"/>
    <w:rsid w:val="0010550A"/>
    <w:rsid w:val="00105887"/>
    <w:rsid w:val="00105A4D"/>
    <w:rsid w:val="00105C72"/>
    <w:rsid w:val="00106170"/>
    <w:rsid w:val="00106992"/>
    <w:rsid w:val="00106C06"/>
    <w:rsid w:val="00106DDA"/>
    <w:rsid w:val="001075EA"/>
    <w:rsid w:val="00110014"/>
    <w:rsid w:val="00110968"/>
    <w:rsid w:val="00110B58"/>
    <w:rsid w:val="001117A2"/>
    <w:rsid w:val="00111A28"/>
    <w:rsid w:val="001121E1"/>
    <w:rsid w:val="00112C42"/>
    <w:rsid w:val="0011330E"/>
    <w:rsid w:val="00113EA4"/>
    <w:rsid w:val="00114624"/>
    <w:rsid w:val="00114D3C"/>
    <w:rsid w:val="00115546"/>
    <w:rsid w:val="001157C2"/>
    <w:rsid w:val="00116F46"/>
    <w:rsid w:val="00117343"/>
    <w:rsid w:val="0012222A"/>
    <w:rsid w:val="001226B2"/>
    <w:rsid w:val="00122A1D"/>
    <w:rsid w:val="0012302A"/>
    <w:rsid w:val="00123642"/>
    <w:rsid w:val="00123B23"/>
    <w:rsid w:val="00124AEB"/>
    <w:rsid w:val="00124B5F"/>
    <w:rsid w:val="00126E14"/>
    <w:rsid w:val="00127199"/>
    <w:rsid w:val="0012747B"/>
    <w:rsid w:val="0013051F"/>
    <w:rsid w:val="00130859"/>
    <w:rsid w:val="0013173D"/>
    <w:rsid w:val="001320CC"/>
    <w:rsid w:val="001324F0"/>
    <w:rsid w:val="0013311C"/>
    <w:rsid w:val="0013383E"/>
    <w:rsid w:val="001342EA"/>
    <w:rsid w:val="00134632"/>
    <w:rsid w:val="001352C6"/>
    <w:rsid w:val="00135355"/>
    <w:rsid w:val="001359BA"/>
    <w:rsid w:val="00135CF4"/>
    <w:rsid w:val="00135F78"/>
    <w:rsid w:val="0013718E"/>
    <w:rsid w:val="00137540"/>
    <w:rsid w:val="00141C3C"/>
    <w:rsid w:val="001421D4"/>
    <w:rsid w:val="0014227B"/>
    <w:rsid w:val="001422F2"/>
    <w:rsid w:val="00142794"/>
    <w:rsid w:val="001444A2"/>
    <w:rsid w:val="00144A05"/>
    <w:rsid w:val="00144AC4"/>
    <w:rsid w:val="001459C0"/>
    <w:rsid w:val="00146065"/>
    <w:rsid w:val="00146263"/>
    <w:rsid w:val="001469DB"/>
    <w:rsid w:val="00146E00"/>
    <w:rsid w:val="00147115"/>
    <w:rsid w:val="001504AA"/>
    <w:rsid w:val="00150525"/>
    <w:rsid w:val="001508D8"/>
    <w:rsid w:val="00150FFA"/>
    <w:rsid w:val="00151563"/>
    <w:rsid w:val="001529F2"/>
    <w:rsid w:val="00152C84"/>
    <w:rsid w:val="00152E7B"/>
    <w:rsid w:val="0015380E"/>
    <w:rsid w:val="001540BD"/>
    <w:rsid w:val="00154149"/>
    <w:rsid w:val="0015428D"/>
    <w:rsid w:val="0015432C"/>
    <w:rsid w:val="001543A2"/>
    <w:rsid w:val="001543B9"/>
    <w:rsid w:val="00154EA9"/>
    <w:rsid w:val="0015572D"/>
    <w:rsid w:val="00155C57"/>
    <w:rsid w:val="001566D1"/>
    <w:rsid w:val="00160077"/>
    <w:rsid w:val="001604B0"/>
    <w:rsid w:val="00160961"/>
    <w:rsid w:val="00160EC0"/>
    <w:rsid w:val="00161AA5"/>
    <w:rsid w:val="00163906"/>
    <w:rsid w:val="00163DB0"/>
    <w:rsid w:val="00164376"/>
    <w:rsid w:val="001645A0"/>
    <w:rsid w:val="001652C4"/>
    <w:rsid w:val="0016533D"/>
    <w:rsid w:val="0016605E"/>
    <w:rsid w:val="001666E4"/>
    <w:rsid w:val="00167303"/>
    <w:rsid w:val="00170033"/>
    <w:rsid w:val="00170625"/>
    <w:rsid w:val="001707D9"/>
    <w:rsid w:val="001709FE"/>
    <w:rsid w:val="00170B59"/>
    <w:rsid w:val="00171900"/>
    <w:rsid w:val="00171C1B"/>
    <w:rsid w:val="00171D5C"/>
    <w:rsid w:val="00171F5F"/>
    <w:rsid w:val="00172146"/>
    <w:rsid w:val="0017218E"/>
    <w:rsid w:val="001721E9"/>
    <w:rsid w:val="00172915"/>
    <w:rsid w:val="00172FCB"/>
    <w:rsid w:val="00174288"/>
    <w:rsid w:val="00174522"/>
    <w:rsid w:val="00174E07"/>
    <w:rsid w:val="00174F60"/>
    <w:rsid w:val="00175E94"/>
    <w:rsid w:val="00175F58"/>
    <w:rsid w:val="001760F6"/>
    <w:rsid w:val="00176722"/>
    <w:rsid w:val="00176FD7"/>
    <w:rsid w:val="001773B4"/>
    <w:rsid w:val="0018017A"/>
    <w:rsid w:val="001803D1"/>
    <w:rsid w:val="001816D9"/>
    <w:rsid w:val="00181F6A"/>
    <w:rsid w:val="001821F0"/>
    <w:rsid w:val="0018223E"/>
    <w:rsid w:val="001823D1"/>
    <w:rsid w:val="00183565"/>
    <w:rsid w:val="00183568"/>
    <w:rsid w:val="00183AF6"/>
    <w:rsid w:val="00183D7F"/>
    <w:rsid w:val="00184158"/>
    <w:rsid w:val="00184896"/>
    <w:rsid w:val="0018522C"/>
    <w:rsid w:val="001857F2"/>
    <w:rsid w:val="001859AF"/>
    <w:rsid w:val="00185B54"/>
    <w:rsid w:val="00185C51"/>
    <w:rsid w:val="00186865"/>
    <w:rsid w:val="00187B68"/>
    <w:rsid w:val="0019028A"/>
    <w:rsid w:val="00190C0A"/>
    <w:rsid w:val="0019149C"/>
    <w:rsid w:val="001919C3"/>
    <w:rsid w:val="00192C30"/>
    <w:rsid w:val="00192E64"/>
    <w:rsid w:val="00193533"/>
    <w:rsid w:val="0019358C"/>
    <w:rsid w:val="00193B82"/>
    <w:rsid w:val="00193C58"/>
    <w:rsid w:val="00193EF3"/>
    <w:rsid w:val="00194C3C"/>
    <w:rsid w:val="0019507D"/>
    <w:rsid w:val="0019673C"/>
    <w:rsid w:val="00196B5C"/>
    <w:rsid w:val="0019707E"/>
    <w:rsid w:val="00197925"/>
    <w:rsid w:val="001A0E88"/>
    <w:rsid w:val="001A199F"/>
    <w:rsid w:val="001A1AB2"/>
    <w:rsid w:val="001A1B99"/>
    <w:rsid w:val="001A2BB7"/>
    <w:rsid w:val="001A2CF3"/>
    <w:rsid w:val="001A3691"/>
    <w:rsid w:val="001A3B38"/>
    <w:rsid w:val="001A3DF9"/>
    <w:rsid w:val="001A3EAB"/>
    <w:rsid w:val="001A4196"/>
    <w:rsid w:val="001A53F1"/>
    <w:rsid w:val="001A5421"/>
    <w:rsid w:val="001A5728"/>
    <w:rsid w:val="001A5BD5"/>
    <w:rsid w:val="001A705C"/>
    <w:rsid w:val="001A7342"/>
    <w:rsid w:val="001A79FA"/>
    <w:rsid w:val="001B03E1"/>
    <w:rsid w:val="001B14CB"/>
    <w:rsid w:val="001B17AB"/>
    <w:rsid w:val="001B1B28"/>
    <w:rsid w:val="001B1C04"/>
    <w:rsid w:val="001B1CE9"/>
    <w:rsid w:val="001B2289"/>
    <w:rsid w:val="001B2722"/>
    <w:rsid w:val="001B29C2"/>
    <w:rsid w:val="001B2F0F"/>
    <w:rsid w:val="001B34E6"/>
    <w:rsid w:val="001B36CD"/>
    <w:rsid w:val="001B36D8"/>
    <w:rsid w:val="001B3D1E"/>
    <w:rsid w:val="001B425A"/>
    <w:rsid w:val="001B4F10"/>
    <w:rsid w:val="001B59EC"/>
    <w:rsid w:val="001B6D0E"/>
    <w:rsid w:val="001B7173"/>
    <w:rsid w:val="001B77C5"/>
    <w:rsid w:val="001B7F5F"/>
    <w:rsid w:val="001C0C79"/>
    <w:rsid w:val="001C0FD6"/>
    <w:rsid w:val="001C1CD7"/>
    <w:rsid w:val="001C1EC2"/>
    <w:rsid w:val="001C25A3"/>
    <w:rsid w:val="001C2B41"/>
    <w:rsid w:val="001C41F3"/>
    <w:rsid w:val="001C5437"/>
    <w:rsid w:val="001C578F"/>
    <w:rsid w:val="001C64D6"/>
    <w:rsid w:val="001C66E7"/>
    <w:rsid w:val="001C6AEE"/>
    <w:rsid w:val="001C722A"/>
    <w:rsid w:val="001D27CF"/>
    <w:rsid w:val="001D2837"/>
    <w:rsid w:val="001D2E9E"/>
    <w:rsid w:val="001D3056"/>
    <w:rsid w:val="001D3551"/>
    <w:rsid w:val="001D3681"/>
    <w:rsid w:val="001D3F06"/>
    <w:rsid w:val="001D42AB"/>
    <w:rsid w:val="001D4A94"/>
    <w:rsid w:val="001D4B61"/>
    <w:rsid w:val="001D4C78"/>
    <w:rsid w:val="001D573E"/>
    <w:rsid w:val="001D62E6"/>
    <w:rsid w:val="001D704B"/>
    <w:rsid w:val="001D7751"/>
    <w:rsid w:val="001D7E17"/>
    <w:rsid w:val="001E0150"/>
    <w:rsid w:val="001E01FC"/>
    <w:rsid w:val="001E0C17"/>
    <w:rsid w:val="001E1B4E"/>
    <w:rsid w:val="001E1B78"/>
    <w:rsid w:val="001E1EAC"/>
    <w:rsid w:val="001E2695"/>
    <w:rsid w:val="001E287A"/>
    <w:rsid w:val="001E37A1"/>
    <w:rsid w:val="001E3998"/>
    <w:rsid w:val="001E5F05"/>
    <w:rsid w:val="001E74AC"/>
    <w:rsid w:val="001E79BD"/>
    <w:rsid w:val="001E7C6F"/>
    <w:rsid w:val="001F08DA"/>
    <w:rsid w:val="001F0FC5"/>
    <w:rsid w:val="001F12DB"/>
    <w:rsid w:val="001F22EC"/>
    <w:rsid w:val="001F28FB"/>
    <w:rsid w:val="001F2B41"/>
    <w:rsid w:val="001F3DAD"/>
    <w:rsid w:val="001F4156"/>
    <w:rsid w:val="001F429B"/>
    <w:rsid w:val="001F49BA"/>
    <w:rsid w:val="001F5A03"/>
    <w:rsid w:val="001F5B7F"/>
    <w:rsid w:val="001F5E8A"/>
    <w:rsid w:val="001F6976"/>
    <w:rsid w:val="001F72E6"/>
    <w:rsid w:val="001F779A"/>
    <w:rsid w:val="001F7DAD"/>
    <w:rsid w:val="002005FC"/>
    <w:rsid w:val="00200735"/>
    <w:rsid w:val="00200B89"/>
    <w:rsid w:val="0020146C"/>
    <w:rsid w:val="0020177A"/>
    <w:rsid w:val="00201A43"/>
    <w:rsid w:val="00202969"/>
    <w:rsid w:val="00202F01"/>
    <w:rsid w:val="002036F9"/>
    <w:rsid w:val="00203EDC"/>
    <w:rsid w:val="00204311"/>
    <w:rsid w:val="00204401"/>
    <w:rsid w:val="00204C6B"/>
    <w:rsid w:val="00204E04"/>
    <w:rsid w:val="00205740"/>
    <w:rsid w:val="00205A40"/>
    <w:rsid w:val="0020620A"/>
    <w:rsid w:val="00206511"/>
    <w:rsid w:val="00206558"/>
    <w:rsid w:val="0020693A"/>
    <w:rsid w:val="002071D7"/>
    <w:rsid w:val="00207BC1"/>
    <w:rsid w:val="00207FF9"/>
    <w:rsid w:val="002101D3"/>
    <w:rsid w:val="00210291"/>
    <w:rsid w:val="0021054C"/>
    <w:rsid w:val="002107C4"/>
    <w:rsid w:val="002109DB"/>
    <w:rsid w:val="00210E5B"/>
    <w:rsid w:val="00211039"/>
    <w:rsid w:val="00211550"/>
    <w:rsid w:val="00212EBD"/>
    <w:rsid w:val="00213270"/>
    <w:rsid w:val="00213291"/>
    <w:rsid w:val="002136CD"/>
    <w:rsid w:val="002136E2"/>
    <w:rsid w:val="002137E7"/>
    <w:rsid w:val="002138DA"/>
    <w:rsid w:val="00213E0B"/>
    <w:rsid w:val="002145BB"/>
    <w:rsid w:val="002148BB"/>
    <w:rsid w:val="0021490D"/>
    <w:rsid w:val="00214E5F"/>
    <w:rsid w:val="00215509"/>
    <w:rsid w:val="00215990"/>
    <w:rsid w:val="00216A2E"/>
    <w:rsid w:val="00217055"/>
    <w:rsid w:val="002170FC"/>
    <w:rsid w:val="0021735C"/>
    <w:rsid w:val="00217AB7"/>
    <w:rsid w:val="00221890"/>
    <w:rsid w:val="00221891"/>
    <w:rsid w:val="00221CAF"/>
    <w:rsid w:val="002233DD"/>
    <w:rsid w:val="0022384C"/>
    <w:rsid w:val="002239F6"/>
    <w:rsid w:val="0022410A"/>
    <w:rsid w:val="0022421B"/>
    <w:rsid w:val="00224597"/>
    <w:rsid w:val="002247DE"/>
    <w:rsid w:val="00224B9C"/>
    <w:rsid w:val="00224DB6"/>
    <w:rsid w:val="00224E31"/>
    <w:rsid w:val="002256CC"/>
    <w:rsid w:val="0022618E"/>
    <w:rsid w:val="00226BA8"/>
    <w:rsid w:val="00227104"/>
    <w:rsid w:val="00227CCA"/>
    <w:rsid w:val="00231975"/>
    <w:rsid w:val="00231A4A"/>
    <w:rsid w:val="00231F82"/>
    <w:rsid w:val="00232A4C"/>
    <w:rsid w:val="00233194"/>
    <w:rsid w:val="00233405"/>
    <w:rsid w:val="002336E2"/>
    <w:rsid w:val="00233957"/>
    <w:rsid w:val="0023403C"/>
    <w:rsid w:val="002344E8"/>
    <w:rsid w:val="00235D34"/>
    <w:rsid w:val="00235E1A"/>
    <w:rsid w:val="002361C5"/>
    <w:rsid w:val="002375E8"/>
    <w:rsid w:val="00237C2A"/>
    <w:rsid w:val="002406D6"/>
    <w:rsid w:val="002419CB"/>
    <w:rsid w:val="0024323F"/>
    <w:rsid w:val="00244212"/>
    <w:rsid w:val="00244DE4"/>
    <w:rsid w:val="00245238"/>
    <w:rsid w:val="002454B8"/>
    <w:rsid w:val="002455E2"/>
    <w:rsid w:val="00245615"/>
    <w:rsid w:val="0024634B"/>
    <w:rsid w:val="00246972"/>
    <w:rsid w:val="00247863"/>
    <w:rsid w:val="002478C9"/>
    <w:rsid w:val="00247E38"/>
    <w:rsid w:val="002503A8"/>
    <w:rsid w:val="002508FA"/>
    <w:rsid w:val="0025127B"/>
    <w:rsid w:val="002513D6"/>
    <w:rsid w:val="00251C63"/>
    <w:rsid w:val="00251DDD"/>
    <w:rsid w:val="0025216B"/>
    <w:rsid w:val="002521E1"/>
    <w:rsid w:val="00252200"/>
    <w:rsid w:val="00252E91"/>
    <w:rsid w:val="00252ECA"/>
    <w:rsid w:val="00252F92"/>
    <w:rsid w:val="002532FA"/>
    <w:rsid w:val="002535D3"/>
    <w:rsid w:val="002544A9"/>
    <w:rsid w:val="00254579"/>
    <w:rsid w:val="00254913"/>
    <w:rsid w:val="00254B26"/>
    <w:rsid w:val="00254B53"/>
    <w:rsid w:val="00255194"/>
    <w:rsid w:val="00255EAC"/>
    <w:rsid w:val="00256461"/>
    <w:rsid w:val="002570D6"/>
    <w:rsid w:val="0026084D"/>
    <w:rsid w:val="00260BF1"/>
    <w:rsid w:val="002614FD"/>
    <w:rsid w:val="002617FC"/>
    <w:rsid w:val="00261D41"/>
    <w:rsid w:val="00261DF2"/>
    <w:rsid w:val="00262593"/>
    <w:rsid w:val="002636E0"/>
    <w:rsid w:val="00263FDB"/>
    <w:rsid w:val="0026461F"/>
    <w:rsid w:val="0026473E"/>
    <w:rsid w:val="002648DB"/>
    <w:rsid w:val="00264B3B"/>
    <w:rsid w:val="00264EFF"/>
    <w:rsid w:val="00264F03"/>
    <w:rsid w:val="00265C9E"/>
    <w:rsid w:val="00266950"/>
    <w:rsid w:val="00266ACE"/>
    <w:rsid w:val="0026796E"/>
    <w:rsid w:val="00270B6E"/>
    <w:rsid w:val="00270BCB"/>
    <w:rsid w:val="00271A1B"/>
    <w:rsid w:val="0027252F"/>
    <w:rsid w:val="0027265B"/>
    <w:rsid w:val="00272982"/>
    <w:rsid w:val="00272F2D"/>
    <w:rsid w:val="00272FC0"/>
    <w:rsid w:val="00273CD2"/>
    <w:rsid w:val="00273EF3"/>
    <w:rsid w:val="00274E78"/>
    <w:rsid w:val="00274F01"/>
    <w:rsid w:val="00275179"/>
    <w:rsid w:val="002756A8"/>
    <w:rsid w:val="00276300"/>
    <w:rsid w:val="0027667C"/>
    <w:rsid w:val="00276B8A"/>
    <w:rsid w:val="00277063"/>
    <w:rsid w:val="00277EFC"/>
    <w:rsid w:val="00277FD0"/>
    <w:rsid w:val="00280A78"/>
    <w:rsid w:val="0028214D"/>
    <w:rsid w:val="002824E2"/>
    <w:rsid w:val="00282A92"/>
    <w:rsid w:val="00282ACF"/>
    <w:rsid w:val="00282CD2"/>
    <w:rsid w:val="00283184"/>
    <w:rsid w:val="0028331E"/>
    <w:rsid w:val="0028365F"/>
    <w:rsid w:val="00283F43"/>
    <w:rsid w:val="00284121"/>
    <w:rsid w:val="002844F9"/>
    <w:rsid w:val="002848D6"/>
    <w:rsid w:val="00284D1C"/>
    <w:rsid w:val="00286731"/>
    <w:rsid w:val="00286A94"/>
    <w:rsid w:val="00286C3D"/>
    <w:rsid w:val="00287A8A"/>
    <w:rsid w:val="00287C5C"/>
    <w:rsid w:val="0029039C"/>
    <w:rsid w:val="002905B6"/>
    <w:rsid w:val="00290789"/>
    <w:rsid w:val="00290C63"/>
    <w:rsid w:val="00290D95"/>
    <w:rsid w:val="00290EFB"/>
    <w:rsid w:val="002915C7"/>
    <w:rsid w:val="0029252F"/>
    <w:rsid w:val="00292913"/>
    <w:rsid w:val="00292C39"/>
    <w:rsid w:val="00293062"/>
    <w:rsid w:val="002931EA"/>
    <w:rsid w:val="002937B7"/>
    <w:rsid w:val="00293B3D"/>
    <w:rsid w:val="00294170"/>
    <w:rsid w:val="0029482E"/>
    <w:rsid w:val="00295351"/>
    <w:rsid w:val="00295581"/>
    <w:rsid w:val="00295FEB"/>
    <w:rsid w:val="002A0C57"/>
    <w:rsid w:val="002A2D9E"/>
    <w:rsid w:val="002A4319"/>
    <w:rsid w:val="002A466C"/>
    <w:rsid w:val="002A4B09"/>
    <w:rsid w:val="002A65DA"/>
    <w:rsid w:val="002A70DB"/>
    <w:rsid w:val="002A78E6"/>
    <w:rsid w:val="002B03CF"/>
    <w:rsid w:val="002B0934"/>
    <w:rsid w:val="002B1768"/>
    <w:rsid w:val="002B17AB"/>
    <w:rsid w:val="002B20F6"/>
    <w:rsid w:val="002B21DB"/>
    <w:rsid w:val="002B4BF0"/>
    <w:rsid w:val="002B52C4"/>
    <w:rsid w:val="002B5860"/>
    <w:rsid w:val="002B5A57"/>
    <w:rsid w:val="002B5CBB"/>
    <w:rsid w:val="002B6A65"/>
    <w:rsid w:val="002B70EA"/>
    <w:rsid w:val="002C03FD"/>
    <w:rsid w:val="002C074A"/>
    <w:rsid w:val="002C0819"/>
    <w:rsid w:val="002C18E7"/>
    <w:rsid w:val="002C2520"/>
    <w:rsid w:val="002C2A9F"/>
    <w:rsid w:val="002C3725"/>
    <w:rsid w:val="002C4050"/>
    <w:rsid w:val="002C4318"/>
    <w:rsid w:val="002C518D"/>
    <w:rsid w:val="002C5370"/>
    <w:rsid w:val="002C563E"/>
    <w:rsid w:val="002C5917"/>
    <w:rsid w:val="002C5A28"/>
    <w:rsid w:val="002C61C7"/>
    <w:rsid w:val="002C663D"/>
    <w:rsid w:val="002C702F"/>
    <w:rsid w:val="002C7160"/>
    <w:rsid w:val="002D05EB"/>
    <w:rsid w:val="002D065F"/>
    <w:rsid w:val="002D1237"/>
    <w:rsid w:val="002D1B03"/>
    <w:rsid w:val="002D22DF"/>
    <w:rsid w:val="002D259C"/>
    <w:rsid w:val="002D25C0"/>
    <w:rsid w:val="002D28C2"/>
    <w:rsid w:val="002D2CFC"/>
    <w:rsid w:val="002D348E"/>
    <w:rsid w:val="002D3849"/>
    <w:rsid w:val="002D442C"/>
    <w:rsid w:val="002D4725"/>
    <w:rsid w:val="002D4EA1"/>
    <w:rsid w:val="002D5179"/>
    <w:rsid w:val="002D5183"/>
    <w:rsid w:val="002D5DA2"/>
    <w:rsid w:val="002D635D"/>
    <w:rsid w:val="002D6A49"/>
    <w:rsid w:val="002D6C06"/>
    <w:rsid w:val="002D6D5D"/>
    <w:rsid w:val="002D7097"/>
    <w:rsid w:val="002D70B6"/>
    <w:rsid w:val="002D78CE"/>
    <w:rsid w:val="002D7E21"/>
    <w:rsid w:val="002E0532"/>
    <w:rsid w:val="002E05D0"/>
    <w:rsid w:val="002E1260"/>
    <w:rsid w:val="002E129A"/>
    <w:rsid w:val="002E1316"/>
    <w:rsid w:val="002E16DD"/>
    <w:rsid w:val="002E1C99"/>
    <w:rsid w:val="002E1FD6"/>
    <w:rsid w:val="002E29B0"/>
    <w:rsid w:val="002E3302"/>
    <w:rsid w:val="002E3F50"/>
    <w:rsid w:val="002E450D"/>
    <w:rsid w:val="002E461A"/>
    <w:rsid w:val="002E47CB"/>
    <w:rsid w:val="002E48AF"/>
    <w:rsid w:val="002E4CDD"/>
    <w:rsid w:val="002E5166"/>
    <w:rsid w:val="002E5187"/>
    <w:rsid w:val="002E52E3"/>
    <w:rsid w:val="002E5AD5"/>
    <w:rsid w:val="002E5C7E"/>
    <w:rsid w:val="002E5D77"/>
    <w:rsid w:val="002E5F82"/>
    <w:rsid w:val="002E63A3"/>
    <w:rsid w:val="002E648B"/>
    <w:rsid w:val="002E735C"/>
    <w:rsid w:val="002E79FC"/>
    <w:rsid w:val="002E7B20"/>
    <w:rsid w:val="002E7D96"/>
    <w:rsid w:val="002E7EF2"/>
    <w:rsid w:val="002F0876"/>
    <w:rsid w:val="002F2062"/>
    <w:rsid w:val="002F20E5"/>
    <w:rsid w:val="002F2C61"/>
    <w:rsid w:val="002F3034"/>
    <w:rsid w:val="002F3B56"/>
    <w:rsid w:val="002F4207"/>
    <w:rsid w:val="002F4B48"/>
    <w:rsid w:val="002F64A1"/>
    <w:rsid w:val="002F6A98"/>
    <w:rsid w:val="002F6AA7"/>
    <w:rsid w:val="002F6D1C"/>
    <w:rsid w:val="002F73A4"/>
    <w:rsid w:val="002F7FAA"/>
    <w:rsid w:val="002F7FB0"/>
    <w:rsid w:val="003000D3"/>
    <w:rsid w:val="0030029D"/>
    <w:rsid w:val="00300FC9"/>
    <w:rsid w:val="00301671"/>
    <w:rsid w:val="00301A4E"/>
    <w:rsid w:val="00301FC8"/>
    <w:rsid w:val="00302214"/>
    <w:rsid w:val="00302BD0"/>
    <w:rsid w:val="00303235"/>
    <w:rsid w:val="003033BC"/>
    <w:rsid w:val="0030351D"/>
    <w:rsid w:val="00304045"/>
    <w:rsid w:val="00304556"/>
    <w:rsid w:val="00304B57"/>
    <w:rsid w:val="00304CC2"/>
    <w:rsid w:val="003052D0"/>
    <w:rsid w:val="00305423"/>
    <w:rsid w:val="00305838"/>
    <w:rsid w:val="00305EB7"/>
    <w:rsid w:val="003063FD"/>
    <w:rsid w:val="0030643B"/>
    <w:rsid w:val="0030652A"/>
    <w:rsid w:val="003067E3"/>
    <w:rsid w:val="003070CB"/>
    <w:rsid w:val="0030736C"/>
    <w:rsid w:val="00307832"/>
    <w:rsid w:val="00307BC0"/>
    <w:rsid w:val="00310813"/>
    <w:rsid w:val="003109FD"/>
    <w:rsid w:val="00310F55"/>
    <w:rsid w:val="00311490"/>
    <w:rsid w:val="00311BDA"/>
    <w:rsid w:val="00311EBC"/>
    <w:rsid w:val="00312EA5"/>
    <w:rsid w:val="003136DC"/>
    <w:rsid w:val="0031470B"/>
    <w:rsid w:val="00314A16"/>
    <w:rsid w:val="00314EF1"/>
    <w:rsid w:val="003157EB"/>
    <w:rsid w:val="00315B10"/>
    <w:rsid w:val="00316623"/>
    <w:rsid w:val="00316FE4"/>
    <w:rsid w:val="00317122"/>
    <w:rsid w:val="003177F9"/>
    <w:rsid w:val="003206F5"/>
    <w:rsid w:val="00320C3B"/>
    <w:rsid w:val="00321126"/>
    <w:rsid w:val="003216D1"/>
    <w:rsid w:val="00321999"/>
    <w:rsid w:val="003219BF"/>
    <w:rsid w:val="0032221B"/>
    <w:rsid w:val="003224AD"/>
    <w:rsid w:val="0032320D"/>
    <w:rsid w:val="003236C2"/>
    <w:rsid w:val="00323A27"/>
    <w:rsid w:val="00323BA9"/>
    <w:rsid w:val="00323D62"/>
    <w:rsid w:val="003240CC"/>
    <w:rsid w:val="003242ED"/>
    <w:rsid w:val="003244FE"/>
    <w:rsid w:val="00324623"/>
    <w:rsid w:val="00324716"/>
    <w:rsid w:val="003250FE"/>
    <w:rsid w:val="003260B6"/>
    <w:rsid w:val="00326207"/>
    <w:rsid w:val="003264FA"/>
    <w:rsid w:val="003266B5"/>
    <w:rsid w:val="00326C24"/>
    <w:rsid w:val="00327911"/>
    <w:rsid w:val="003302B8"/>
    <w:rsid w:val="00330338"/>
    <w:rsid w:val="0033035D"/>
    <w:rsid w:val="00330453"/>
    <w:rsid w:val="00330E74"/>
    <w:rsid w:val="00331233"/>
    <w:rsid w:val="00331DDD"/>
    <w:rsid w:val="00331EA9"/>
    <w:rsid w:val="00331F03"/>
    <w:rsid w:val="003322FC"/>
    <w:rsid w:val="003323D5"/>
    <w:rsid w:val="0033297B"/>
    <w:rsid w:val="0033305F"/>
    <w:rsid w:val="00333412"/>
    <w:rsid w:val="00333C80"/>
    <w:rsid w:val="00333FFB"/>
    <w:rsid w:val="00335698"/>
    <w:rsid w:val="00335BAD"/>
    <w:rsid w:val="00335BDA"/>
    <w:rsid w:val="00335D57"/>
    <w:rsid w:val="003367EC"/>
    <w:rsid w:val="00336875"/>
    <w:rsid w:val="003373FA"/>
    <w:rsid w:val="00337A2A"/>
    <w:rsid w:val="00340401"/>
    <w:rsid w:val="0034124F"/>
    <w:rsid w:val="00341A24"/>
    <w:rsid w:val="003424E9"/>
    <w:rsid w:val="00342582"/>
    <w:rsid w:val="0034272F"/>
    <w:rsid w:val="00342D30"/>
    <w:rsid w:val="00342F74"/>
    <w:rsid w:val="00344104"/>
    <w:rsid w:val="00344404"/>
    <w:rsid w:val="00344607"/>
    <w:rsid w:val="00344E3F"/>
    <w:rsid w:val="00346309"/>
    <w:rsid w:val="00347610"/>
    <w:rsid w:val="003479E2"/>
    <w:rsid w:val="00350156"/>
    <w:rsid w:val="0035105D"/>
    <w:rsid w:val="003513A3"/>
    <w:rsid w:val="00351926"/>
    <w:rsid w:val="00351961"/>
    <w:rsid w:val="00351F68"/>
    <w:rsid w:val="00352C43"/>
    <w:rsid w:val="00352D26"/>
    <w:rsid w:val="0035353A"/>
    <w:rsid w:val="00353646"/>
    <w:rsid w:val="00353E0B"/>
    <w:rsid w:val="0035427F"/>
    <w:rsid w:val="00354549"/>
    <w:rsid w:val="00354840"/>
    <w:rsid w:val="00355277"/>
    <w:rsid w:val="00355525"/>
    <w:rsid w:val="00355717"/>
    <w:rsid w:val="00355A7F"/>
    <w:rsid w:val="00356E54"/>
    <w:rsid w:val="00356F89"/>
    <w:rsid w:val="00357856"/>
    <w:rsid w:val="00357937"/>
    <w:rsid w:val="00357B5C"/>
    <w:rsid w:val="00357BEB"/>
    <w:rsid w:val="00357DA9"/>
    <w:rsid w:val="00357EB3"/>
    <w:rsid w:val="003602F2"/>
    <w:rsid w:val="003604F8"/>
    <w:rsid w:val="00360817"/>
    <w:rsid w:val="00360CCE"/>
    <w:rsid w:val="00362EBB"/>
    <w:rsid w:val="0036381C"/>
    <w:rsid w:val="0036444C"/>
    <w:rsid w:val="0036480F"/>
    <w:rsid w:val="00364F03"/>
    <w:rsid w:val="0036503C"/>
    <w:rsid w:val="003651F6"/>
    <w:rsid w:val="00365F50"/>
    <w:rsid w:val="00366255"/>
    <w:rsid w:val="0036655C"/>
    <w:rsid w:val="00367653"/>
    <w:rsid w:val="00370E27"/>
    <w:rsid w:val="003711A9"/>
    <w:rsid w:val="003711F7"/>
    <w:rsid w:val="003713EB"/>
    <w:rsid w:val="003716BE"/>
    <w:rsid w:val="00371F3A"/>
    <w:rsid w:val="00371F8E"/>
    <w:rsid w:val="003720B5"/>
    <w:rsid w:val="00372E42"/>
    <w:rsid w:val="003736DA"/>
    <w:rsid w:val="00373BD2"/>
    <w:rsid w:val="00374544"/>
    <w:rsid w:val="0037468C"/>
    <w:rsid w:val="00374CFC"/>
    <w:rsid w:val="00374D95"/>
    <w:rsid w:val="0037571D"/>
    <w:rsid w:val="00375A10"/>
    <w:rsid w:val="00375DD4"/>
    <w:rsid w:val="003762FD"/>
    <w:rsid w:val="00376382"/>
    <w:rsid w:val="0037730A"/>
    <w:rsid w:val="00380FC7"/>
    <w:rsid w:val="00381232"/>
    <w:rsid w:val="003814EF"/>
    <w:rsid w:val="0038162D"/>
    <w:rsid w:val="00381B72"/>
    <w:rsid w:val="003827CD"/>
    <w:rsid w:val="00382EB4"/>
    <w:rsid w:val="00383C2A"/>
    <w:rsid w:val="00383EC7"/>
    <w:rsid w:val="00384A77"/>
    <w:rsid w:val="003858C7"/>
    <w:rsid w:val="003864F6"/>
    <w:rsid w:val="0038660B"/>
    <w:rsid w:val="00390427"/>
    <w:rsid w:val="00390A5F"/>
    <w:rsid w:val="00390B77"/>
    <w:rsid w:val="00390F45"/>
    <w:rsid w:val="00391027"/>
    <w:rsid w:val="00391785"/>
    <w:rsid w:val="00391902"/>
    <w:rsid w:val="00392205"/>
    <w:rsid w:val="00392A27"/>
    <w:rsid w:val="00392E37"/>
    <w:rsid w:val="003930BA"/>
    <w:rsid w:val="003955C6"/>
    <w:rsid w:val="00395829"/>
    <w:rsid w:val="00395EE0"/>
    <w:rsid w:val="00396AC9"/>
    <w:rsid w:val="00397653"/>
    <w:rsid w:val="00397C31"/>
    <w:rsid w:val="00397E5E"/>
    <w:rsid w:val="003A002A"/>
    <w:rsid w:val="003A014F"/>
    <w:rsid w:val="003A03CF"/>
    <w:rsid w:val="003A1A85"/>
    <w:rsid w:val="003A1F20"/>
    <w:rsid w:val="003A3109"/>
    <w:rsid w:val="003A327E"/>
    <w:rsid w:val="003A34B7"/>
    <w:rsid w:val="003A410A"/>
    <w:rsid w:val="003A46CC"/>
    <w:rsid w:val="003A47FD"/>
    <w:rsid w:val="003A5BA3"/>
    <w:rsid w:val="003A6506"/>
    <w:rsid w:val="003A72F3"/>
    <w:rsid w:val="003A7456"/>
    <w:rsid w:val="003A7D0C"/>
    <w:rsid w:val="003B0CB4"/>
    <w:rsid w:val="003B21FC"/>
    <w:rsid w:val="003B246E"/>
    <w:rsid w:val="003B2BBE"/>
    <w:rsid w:val="003B4CC7"/>
    <w:rsid w:val="003B50E0"/>
    <w:rsid w:val="003B5D03"/>
    <w:rsid w:val="003B654A"/>
    <w:rsid w:val="003B7AF3"/>
    <w:rsid w:val="003C0B9B"/>
    <w:rsid w:val="003C1B6A"/>
    <w:rsid w:val="003C27B9"/>
    <w:rsid w:val="003C34D9"/>
    <w:rsid w:val="003C3CF2"/>
    <w:rsid w:val="003C3D27"/>
    <w:rsid w:val="003C3F24"/>
    <w:rsid w:val="003C4964"/>
    <w:rsid w:val="003C4E88"/>
    <w:rsid w:val="003C5159"/>
    <w:rsid w:val="003C51A4"/>
    <w:rsid w:val="003C53B3"/>
    <w:rsid w:val="003C54E8"/>
    <w:rsid w:val="003C57B5"/>
    <w:rsid w:val="003C5CA7"/>
    <w:rsid w:val="003C5D87"/>
    <w:rsid w:val="003C5FB0"/>
    <w:rsid w:val="003C62E0"/>
    <w:rsid w:val="003C6900"/>
    <w:rsid w:val="003C69EA"/>
    <w:rsid w:val="003C707B"/>
    <w:rsid w:val="003C73BC"/>
    <w:rsid w:val="003C77CB"/>
    <w:rsid w:val="003D02EB"/>
    <w:rsid w:val="003D0BBC"/>
    <w:rsid w:val="003D1140"/>
    <w:rsid w:val="003D1706"/>
    <w:rsid w:val="003D1E1A"/>
    <w:rsid w:val="003D2D17"/>
    <w:rsid w:val="003D2EB3"/>
    <w:rsid w:val="003D3568"/>
    <w:rsid w:val="003D395A"/>
    <w:rsid w:val="003D3A02"/>
    <w:rsid w:val="003D3BF1"/>
    <w:rsid w:val="003D3F70"/>
    <w:rsid w:val="003D45A3"/>
    <w:rsid w:val="003D4D08"/>
    <w:rsid w:val="003D4E4B"/>
    <w:rsid w:val="003D6232"/>
    <w:rsid w:val="003D72BB"/>
    <w:rsid w:val="003D7BDF"/>
    <w:rsid w:val="003E0206"/>
    <w:rsid w:val="003E09BE"/>
    <w:rsid w:val="003E09F2"/>
    <w:rsid w:val="003E0BA9"/>
    <w:rsid w:val="003E125A"/>
    <w:rsid w:val="003E151C"/>
    <w:rsid w:val="003E155E"/>
    <w:rsid w:val="003E19B3"/>
    <w:rsid w:val="003E310B"/>
    <w:rsid w:val="003E3538"/>
    <w:rsid w:val="003E35D0"/>
    <w:rsid w:val="003E3BC3"/>
    <w:rsid w:val="003E3EF5"/>
    <w:rsid w:val="003E3FB4"/>
    <w:rsid w:val="003E4869"/>
    <w:rsid w:val="003E4E08"/>
    <w:rsid w:val="003E4F19"/>
    <w:rsid w:val="003E5193"/>
    <w:rsid w:val="003E51F3"/>
    <w:rsid w:val="003E59D0"/>
    <w:rsid w:val="003E7026"/>
    <w:rsid w:val="003E7599"/>
    <w:rsid w:val="003E79CF"/>
    <w:rsid w:val="003E7CB8"/>
    <w:rsid w:val="003F004D"/>
    <w:rsid w:val="003F03F8"/>
    <w:rsid w:val="003F1BD6"/>
    <w:rsid w:val="003F2221"/>
    <w:rsid w:val="003F3DCE"/>
    <w:rsid w:val="003F4049"/>
    <w:rsid w:val="003F4AA3"/>
    <w:rsid w:val="003F538E"/>
    <w:rsid w:val="003F5A27"/>
    <w:rsid w:val="003F5E1B"/>
    <w:rsid w:val="003F6229"/>
    <w:rsid w:val="003F673C"/>
    <w:rsid w:val="003F67AF"/>
    <w:rsid w:val="003F6D54"/>
    <w:rsid w:val="003F794E"/>
    <w:rsid w:val="00400370"/>
    <w:rsid w:val="004018D7"/>
    <w:rsid w:val="00402549"/>
    <w:rsid w:val="00402C1D"/>
    <w:rsid w:val="00403624"/>
    <w:rsid w:val="004041FF"/>
    <w:rsid w:val="00404412"/>
    <w:rsid w:val="004047D7"/>
    <w:rsid w:val="00404C4B"/>
    <w:rsid w:val="004059D1"/>
    <w:rsid w:val="004067D9"/>
    <w:rsid w:val="004071D5"/>
    <w:rsid w:val="004075B4"/>
    <w:rsid w:val="00407881"/>
    <w:rsid w:val="0041044B"/>
    <w:rsid w:val="00410FC6"/>
    <w:rsid w:val="00411A46"/>
    <w:rsid w:val="00411F02"/>
    <w:rsid w:val="00412734"/>
    <w:rsid w:val="00412851"/>
    <w:rsid w:val="0041316E"/>
    <w:rsid w:val="00413885"/>
    <w:rsid w:val="00413FEF"/>
    <w:rsid w:val="00414385"/>
    <w:rsid w:val="004143CA"/>
    <w:rsid w:val="00415643"/>
    <w:rsid w:val="00415A3B"/>
    <w:rsid w:val="00415DD0"/>
    <w:rsid w:val="00415EAB"/>
    <w:rsid w:val="0041601E"/>
    <w:rsid w:val="00416C97"/>
    <w:rsid w:val="00416D7E"/>
    <w:rsid w:val="00420309"/>
    <w:rsid w:val="0042048D"/>
    <w:rsid w:val="0042079D"/>
    <w:rsid w:val="00420A08"/>
    <w:rsid w:val="00420C4F"/>
    <w:rsid w:val="004210D3"/>
    <w:rsid w:val="004214AB"/>
    <w:rsid w:val="00421D2E"/>
    <w:rsid w:val="00422A93"/>
    <w:rsid w:val="00422C17"/>
    <w:rsid w:val="00422EE4"/>
    <w:rsid w:val="0042320C"/>
    <w:rsid w:val="004235CD"/>
    <w:rsid w:val="004236B8"/>
    <w:rsid w:val="00423E04"/>
    <w:rsid w:val="00423EFC"/>
    <w:rsid w:val="00424176"/>
    <w:rsid w:val="004241AD"/>
    <w:rsid w:val="00425200"/>
    <w:rsid w:val="004252DF"/>
    <w:rsid w:val="00425C0B"/>
    <w:rsid w:val="00425C3E"/>
    <w:rsid w:val="00426224"/>
    <w:rsid w:val="004265A5"/>
    <w:rsid w:val="0042690F"/>
    <w:rsid w:val="00426ECC"/>
    <w:rsid w:val="00427DF1"/>
    <w:rsid w:val="0043070B"/>
    <w:rsid w:val="00430AC7"/>
    <w:rsid w:val="00431447"/>
    <w:rsid w:val="004332C1"/>
    <w:rsid w:val="00433D35"/>
    <w:rsid w:val="004344CB"/>
    <w:rsid w:val="0043498A"/>
    <w:rsid w:val="00434B43"/>
    <w:rsid w:val="00434D68"/>
    <w:rsid w:val="00435177"/>
    <w:rsid w:val="00435465"/>
    <w:rsid w:val="0043565E"/>
    <w:rsid w:val="00436AC6"/>
    <w:rsid w:val="004403B1"/>
    <w:rsid w:val="004404E7"/>
    <w:rsid w:val="004405FD"/>
    <w:rsid w:val="00440BF2"/>
    <w:rsid w:val="00440E2A"/>
    <w:rsid w:val="00440EB5"/>
    <w:rsid w:val="00441053"/>
    <w:rsid w:val="00441C74"/>
    <w:rsid w:val="00441DA1"/>
    <w:rsid w:val="00441F3B"/>
    <w:rsid w:val="00442461"/>
    <w:rsid w:val="00442924"/>
    <w:rsid w:val="00443013"/>
    <w:rsid w:val="00443A51"/>
    <w:rsid w:val="004441A4"/>
    <w:rsid w:val="00444470"/>
    <w:rsid w:val="004456E8"/>
    <w:rsid w:val="00445D62"/>
    <w:rsid w:val="00446300"/>
    <w:rsid w:val="00446B03"/>
    <w:rsid w:val="00446B81"/>
    <w:rsid w:val="00446E4B"/>
    <w:rsid w:val="00447165"/>
    <w:rsid w:val="004474C1"/>
    <w:rsid w:val="004474F3"/>
    <w:rsid w:val="00447910"/>
    <w:rsid w:val="00447ECE"/>
    <w:rsid w:val="00450064"/>
    <w:rsid w:val="004500DF"/>
    <w:rsid w:val="0045093D"/>
    <w:rsid w:val="00450E70"/>
    <w:rsid w:val="0045135F"/>
    <w:rsid w:val="00451549"/>
    <w:rsid w:val="004516D3"/>
    <w:rsid w:val="00451BC4"/>
    <w:rsid w:val="00452139"/>
    <w:rsid w:val="004526F3"/>
    <w:rsid w:val="0045278E"/>
    <w:rsid w:val="00453015"/>
    <w:rsid w:val="004542C3"/>
    <w:rsid w:val="00454D41"/>
    <w:rsid w:val="00455D9D"/>
    <w:rsid w:val="004578DA"/>
    <w:rsid w:val="00460484"/>
    <w:rsid w:val="00460C4B"/>
    <w:rsid w:val="00460E71"/>
    <w:rsid w:val="00461FBD"/>
    <w:rsid w:val="00462B3E"/>
    <w:rsid w:val="004639D1"/>
    <w:rsid w:val="004640E2"/>
    <w:rsid w:val="00465175"/>
    <w:rsid w:val="004652C8"/>
    <w:rsid w:val="004657E1"/>
    <w:rsid w:val="00465B28"/>
    <w:rsid w:val="00466362"/>
    <w:rsid w:val="00466373"/>
    <w:rsid w:val="004668EE"/>
    <w:rsid w:val="00466B0B"/>
    <w:rsid w:val="00466C0E"/>
    <w:rsid w:val="00467355"/>
    <w:rsid w:val="0046768B"/>
    <w:rsid w:val="00467B16"/>
    <w:rsid w:val="00467B29"/>
    <w:rsid w:val="00470300"/>
    <w:rsid w:val="00470A4A"/>
    <w:rsid w:val="00470CC4"/>
    <w:rsid w:val="00471695"/>
    <w:rsid w:val="00471776"/>
    <w:rsid w:val="00471C60"/>
    <w:rsid w:val="0047207C"/>
    <w:rsid w:val="00472ADA"/>
    <w:rsid w:val="00472E16"/>
    <w:rsid w:val="004730E7"/>
    <w:rsid w:val="00473263"/>
    <w:rsid w:val="00473322"/>
    <w:rsid w:val="0047364F"/>
    <w:rsid w:val="004736AA"/>
    <w:rsid w:val="004738D1"/>
    <w:rsid w:val="00473F36"/>
    <w:rsid w:val="004744DD"/>
    <w:rsid w:val="004748CC"/>
    <w:rsid w:val="0047501D"/>
    <w:rsid w:val="004756D2"/>
    <w:rsid w:val="004759A4"/>
    <w:rsid w:val="00475D70"/>
    <w:rsid w:val="00475FE0"/>
    <w:rsid w:val="0047642E"/>
    <w:rsid w:val="00476C0C"/>
    <w:rsid w:val="00476D1E"/>
    <w:rsid w:val="00476FB8"/>
    <w:rsid w:val="0048070D"/>
    <w:rsid w:val="004808AA"/>
    <w:rsid w:val="00480CE7"/>
    <w:rsid w:val="00482930"/>
    <w:rsid w:val="00482B12"/>
    <w:rsid w:val="00482EFC"/>
    <w:rsid w:val="00483AD9"/>
    <w:rsid w:val="00484409"/>
    <w:rsid w:val="00485A1C"/>
    <w:rsid w:val="00486B64"/>
    <w:rsid w:val="00487975"/>
    <w:rsid w:val="00487B6B"/>
    <w:rsid w:val="00487FD1"/>
    <w:rsid w:val="00490045"/>
    <w:rsid w:val="0049027B"/>
    <w:rsid w:val="00490285"/>
    <w:rsid w:val="00490689"/>
    <w:rsid w:val="00491C04"/>
    <w:rsid w:val="004923DF"/>
    <w:rsid w:val="004936BF"/>
    <w:rsid w:val="00493891"/>
    <w:rsid w:val="00494259"/>
    <w:rsid w:val="00495008"/>
    <w:rsid w:val="00496641"/>
    <w:rsid w:val="00496D01"/>
    <w:rsid w:val="00496D67"/>
    <w:rsid w:val="00496FA2"/>
    <w:rsid w:val="00497537"/>
    <w:rsid w:val="004979A9"/>
    <w:rsid w:val="004A0026"/>
    <w:rsid w:val="004A11B5"/>
    <w:rsid w:val="004A1C99"/>
    <w:rsid w:val="004A1CB9"/>
    <w:rsid w:val="004A25AE"/>
    <w:rsid w:val="004A2890"/>
    <w:rsid w:val="004A297A"/>
    <w:rsid w:val="004A38E9"/>
    <w:rsid w:val="004A4DD8"/>
    <w:rsid w:val="004A5B0C"/>
    <w:rsid w:val="004A61C4"/>
    <w:rsid w:val="004A61CF"/>
    <w:rsid w:val="004A62F6"/>
    <w:rsid w:val="004A6613"/>
    <w:rsid w:val="004A6EE2"/>
    <w:rsid w:val="004A719C"/>
    <w:rsid w:val="004A7775"/>
    <w:rsid w:val="004B056D"/>
    <w:rsid w:val="004B05B7"/>
    <w:rsid w:val="004B08AD"/>
    <w:rsid w:val="004B1263"/>
    <w:rsid w:val="004B1266"/>
    <w:rsid w:val="004B1F90"/>
    <w:rsid w:val="004B2695"/>
    <w:rsid w:val="004B2BF8"/>
    <w:rsid w:val="004B2C74"/>
    <w:rsid w:val="004B2F43"/>
    <w:rsid w:val="004B3603"/>
    <w:rsid w:val="004B36DB"/>
    <w:rsid w:val="004B39BF"/>
    <w:rsid w:val="004B4372"/>
    <w:rsid w:val="004B43F0"/>
    <w:rsid w:val="004B46AE"/>
    <w:rsid w:val="004B524B"/>
    <w:rsid w:val="004B59E7"/>
    <w:rsid w:val="004B7051"/>
    <w:rsid w:val="004B7C97"/>
    <w:rsid w:val="004C0259"/>
    <w:rsid w:val="004C0605"/>
    <w:rsid w:val="004C0DF2"/>
    <w:rsid w:val="004C1039"/>
    <w:rsid w:val="004C1309"/>
    <w:rsid w:val="004C2045"/>
    <w:rsid w:val="004C3952"/>
    <w:rsid w:val="004C3ACA"/>
    <w:rsid w:val="004C3EE0"/>
    <w:rsid w:val="004C4061"/>
    <w:rsid w:val="004C4555"/>
    <w:rsid w:val="004C4F0D"/>
    <w:rsid w:val="004C52A4"/>
    <w:rsid w:val="004C5B12"/>
    <w:rsid w:val="004C5BF8"/>
    <w:rsid w:val="004C6270"/>
    <w:rsid w:val="004C660D"/>
    <w:rsid w:val="004C7BDC"/>
    <w:rsid w:val="004C7D2B"/>
    <w:rsid w:val="004C7DD6"/>
    <w:rsid w:val="004D09C1"/>
    <w:rsid w:val="004D141C"/>
    <w:rsid w:val="004D1E9D"/>
    <w:rsid w:val="004D2269"/>
    <w:rsid w:val="004D2F62"/>
    <w:rsid w:val="004D3176"/>
    <w:rsid w:val="004D34B0"/>
    <w:rsid w:val="004D3632"/>
    <w:rsid w:val="004D3BC5"/>
    <w:rsid w:val="004D4B3F"/>
    <w:rsid w:val="004D56F9"/>
    <w:rsid w:val="004D58BB"/>
    <w:rsid w:val="004D5C06"/>
    <w:rsid w:val="004D753B"/>
    <w:rsid w:val="004D7D83"/>
    <w:rsid w:val="004E000E"/>
    <w:rsid w:val="004E032B"/>
    <w:rsid w:val="004E0650"/>
    <w:rsid w:val="004E0F50"/>
    <w:rsid w:val="004E18D1"/>
    <w:rsid w:val="004E1D22"/>
    <w:rsid w:val="004E2196"/>
    <w:rsid w:val="004E27A8"/>
    <w:rsid w:val="004E4107"/>
    <w:rsid w:val="004E44A4"/>
    <w:rsid w:val="004E4978"/>
    <w:rsid w:val="004E5ECA"/>
    <w:rsid w:val="004E6509"/>
    <w:rsid w:val="004E6E8F"/>
    <w:rsid w:val="004E7668"/>
    <w:rsid w:val="004E7D5C"/>
    <w:rsid w:val="004F078B"/>
    <w:rsid w:val="004F0B22"/>
    <w:rsid w:val="004F0EAF"/>
    <w:rsid w:val="004F0FF0"/>
    <w:rsid w:val="004F12DE"/>
    <w:rsid w:val="004F1696"/>
    <w:rsid w:val="004F1A3F"/>
    <w:rsid w:val="004F1D4E"/>
    <w:rsid w:val="004F1E6B"/>
    <w:rsid w:val="004F28E6"/>
    <w:rsid w:val="004F370D"/>
    <w:rsid w:val="004F4B6D"/>
    <w:rsid w:val="004F528F"/>
    <w:rsid w:val="004F5D6F"/>
    <w:rsid w:val="004F6556"/>
    <w:rsid w:val="004F6DA7"/>
    <w:rsid w:val="004F7D2F"/>
    <w:rsid w:val="00500333"/>
    <w:rsid w:val="00500B35"/>
    <w:rsid w:val="00500F7D"/>
    <w:rsid w:val="005012FA"/>
    <w:rsid w:val="005018F0"/>
    <w:rsid w:val="00501D73"/>
    <w:rsid w:val="0050212F"/>
    <w:rsid w:val="00502303"/>
    <w:rsid w:val="00502D95"/>
    <w:rsid w:val="00502DBA"/>
    <w:rsid w:val="00503C33"/>
    <w:rsid w:val="005052FF"/>
    <w:rsid w:val="0050575D"/>
    <w:rsid w:val="005059DF"/>
    <w:rsid w:val="005060A4"/>
    <w:rsid w:val="00506409"/>
    <w:rsid w:val="00507224"/>
    <w:rsid w:val="005075E3"/>
    <w:rsid w:val="005076C3"/>
    <w:rsid w:val="00507876"/>
    <w:rsid w:val="00510C84"/>
    <w:rsid w:val="00510EBD"/>
    <w:rsid w:val="00511FBD"/>
    <w:rsid w:val="00512078"/>
    <w:rsid w:val="00512CFB"/>
    <w:rsid w:val="0051308F"/>
    <w:rsid w:val="005133E9"/>
    <w:rsid w:val="005133FC"/>
    <w:rsid w:val="0051372B"/>
    <w:rsid w:val="00513C60"/>
    <w:rsid w:val="00514653"/>
    <w:rsid w:val="00514714"/>
    <w:rsid w:val="005166F7"/>
    <w:rsid w:val="00516752"/>
    <w:rsid w:val="0051697E"/>
    <w:rsid w:val="00516EFC"/>
    <w:rsid w:val="005177ED"/>
    <w:rsid w:val="005177EE"/>
    <w:rsid w:val="00517D20"/>
    <w:rsid w:val="00521077"/>
    <w:rsid w:val="005210D1"/>
    <w:rsid w:val="00521B24"/>
    <w:rsid w:val="00521B57"/>
    <w:rsid w:val="00523962"/>
    <w:rsid w:val="00523D1B"/>
    <w:rsid w:val="00524410"/>
    <w:rsid w:val="0052492E"/>
    <w:rsid w:val="00524D18"/>
    <w:rsid w:val="00524D95"/>
    <w:rsid w:val="00524F91"/>
    <w:rsid w:val="005250AB"/>
    <w:rsid w:val="00526372"/>
    <w:rsid w:val="00526999"/>
    <w:rsid w:val="00526A8F"/>
    <w:rsid w:val="005272BC"/>
    <w:rsid w:val="005273BC"/>
    <w:rsid w:val="00527B6B"/>
    <w:rsid w:val="00527E61"/>
    <w:rsid w:val="00527EFA"/>
    <w:rsid w:val="005309F8"/>
    <w:rsid w:val="00530E67"/>
    <w:rsid w:val="0053131A"/>
    <w:rsid w:val="00531323"/>
    <w:rsid w:val="00531878"/>
    <w:rsid w:val="00531996"/>
    <w:rsid w:val="005319F8"/>
    <w:rsid w:val="00531C82"/>
    <w:rsid w:val="0053259F"/>
    <w:rsid w:val="00532F0A"/>
    <w:rsid w:val="0053313C"/>
    <w:rsid w:val="00533B05"/>
    <w:rsid w:val="00533BFB"/>
    <w:rsid w:val="00533C7D"/>
    <w:rsid w:val="00534594"/>
    <w:rsid w:val="0053479C"/>
    <w:rsid w:val="00535F3F"/>
    <w:rsid w:val="00536C07"/>
    <w:rsid w:val="0053744E"/>
    <w:rsid w:val="005376F0"/>
    <w:rsid w:val="00537C19"/>
    <w:rsid w:val="005405A3"/>
    <w:rsid w:val="00540ADB"/>
    <w:rsid w:val="00540BF5"/>
    <w:rsid w:val="005410B2"/>
    <w:rsid w:val="00541338"/>
    <w:rsid w:val="0054136D"/>
    <w:rsid w:val="005415A6"/>
    <w:rsid w:val="005419B8"/>
    <w:rsid w:val="00541AC2"/>
    <w:rsid w:val="005424C1"/>
    <w:rsid w:val="005426F9"/>
    <w:rsid w:val="00543627"/>
    <w:rsid w:val="00543871"/>
    <w:rsid w:val="0054388E"/>
    <w:rsid w:val="005438E9"/>
    <w:rsid w:val="005439C2"/>
    <w:rsid w:val="005444B8"/>
    <w:rsid w:val="005447DC"/>
    <w:rsid w:val="00545370"/>
    <w:rsid w:val="0054568C"/>
    <w:rsid w:val="005460B9"/>
    <w:rsid w:val="00546B4F"/>
    <w:rsid w:val="005474EE"/>
    <w:rsid w:val="00550486"/>
    <w:rsid w:val="0055049A"/>
    <w:rsid w:val="00550589"/>
    <w:rsid w:val="005507E1"/>
    <w:rsid w:val="005508F7"/>
    <w:rsid w:val="0055172F"/>
    <w:rsid w:val="005522E3"/>
    <w:rsid w:val="00553275"/>
    <w:rsid w:val="00553661"/>
    <w:rsid w:val="00553C14"/>
    <w:rsid w:val="00553C87"/>
    <w:rsid w:val="00553EE0"/>
    <w:rsid w:val="00553FC6"/>
    <w:rsid w:val="00554898"/>
    <w:rsid w:val="005549D2"/>
    <w:rsid w:val="005549D4"/>
    <w:rsid w:val="005558C2"/>
    <w:rsid w:val="005559FE"/>
    <w:rsid w:val="00555EDE"/>
    <w:rsid w:val="00555F39"/>
    <w:rsid w:val="00556B4A"/>
    <w:rsid w:val="00557307"/>
    <w:rsid w:val="00557E38"/>
    <w:rsid w:val="00560429"/>
    <w:rsid w:val="00560BFA"/>
    <w:rsid w:val="00561280"/>
    <w:rsid w:val="005612FD"/>
    <w:rsid w:val="00561DD0"/>
    <w:rsid w:val="00561ECE"/>
    <w:rsid w:val="005622A8"/>
    <w:rsid w:val="005623AF"/>
    <w:rsid w:val="005624A1"/>
    <w:rsid w:val="0056297E"/>
    <w:rsid w:val="00563113"/>
    <w:rsid w:val="00563602"/>
    <w:rsid w:val="005636AD"/>
    <w:rsid w:val="00563942"/>
    <w:rsid w:val="00563D1F"/>
    <w:rsid w:val="00565987"/>
    <w:rsid w:val="0056606F"/>
    <w:rsid w:val="00566306"/>
    <w:rsid w:val="0056771C"/>
    <w:rsid w:val="00570475"/>
    <w:rsid w:val="005704C2"/>
    <w:rsid w:val="005704CD"/>
    <w:rsid w:val="00570B25"/>
    <w:rsid w:val="005714C1"/>
    <w:rsid w:val="00571D37"/>
    <w:rsid w:val="00571DAE"/>
    <w:rsid w:val="005724C8"/>
    <w:rsid w:val="005726DB"/>
    <w:rsid w:val="00575A17"/>
    <w:rsid w:val="00576337"/>
    <w:rsid w:val="0057658E"/>
    <w:rsid w:val="005772F2"/>
    <w:rsid w:val="00577380"/>
    <w:rsid w:val="00577467"/>
    <w:rsid w:val="0058002C"/>
    <w:rsid w:val="00581329"/>
    <w:rsid w:val="00581690"/>
    <w:rsid w:val="00581A1D"/>
    <w:rsid w:val="0058211E"/>
    <w:rsid w:val="00582218"/>
    <w:rsid w:val="0058233A"/>
    <w:rsid w:val="0058340D"/>
    <w:rsid w:val="00583630"/>
    <w:rsid w:val="00583BF0"/>
    <w:rsid w:val="005849FD"/>
    <w:rsid w:val="00584E4E"/>
    <w:rsid w:val="00585088"/>
    <w:rsid w:val="005857BF"/>
    <w:rsid w:val="00585858"/>
    <w:rsid w:val="00587C3C"/>
    <w:rsid w:val="00590CD6"/>
    <w:rsid w:val="00590EDA"/>
    <w:rsid w:val="00591D85"/>
    <w:rsid w:val="00592182"/>
    <w:rsid w:val="00594115"/>
    <w:rsid w:val="005946EB"/>
    <w:rsid w:val="00594A75"/>
    <w:rsid w:val="00594A9C"/>
    <w:rsid w:val="0059536D"/>
    <w:rsid w:val="00595981"/>
    <w:rsid w:val="00595C28"/>
    <w:rsid w:val="00596463"/>
    <w:rsid w:val="00596A48"/>
    <w:rsid w:val="00596C1E"/>
    <w:rsid w:val="00597294"/>
    <w:rsid w:val="005A0178"/>
    <w:rsid w:val="005A01BA"/>
    <w:rsid w:val="005A043E"/>
    <w:rsid w:val="005A1DAD"/>
    <w:rsid w:val="005A21C1"/>
    <w:rsid w:val="005A2CEF"/>
    <w:rsid w:val="005A3321"/>
    <w:rsid w:val="005A3E0E"/>
    <w:rsid w:val="005A49C3"/>
    <w:rsid w:val="005A4A04"/>
    <w:rsid w:val="005A4E69"/>
    <w:rsid w:val="005A5308"/>
    <w:rsid w:val="005A5381"/>
    <w:rsid w:val="005A65B7"/>
    <w:rsid w:val="005A6E43"/>
    <w:rsid w:val="005B0476"/>
    <w:rsid w:val="005B08C6"/>
    <w:rsid w:val="005B249D"/>
    <w:rsid w:val="005B27C6"/>
    <w:rsid w:val="005B2B5F"/>
    <w:rsid w:val="005B2F3F"/>
    <w:rsid w:val="005B3441"/>
    <w:rsid w:val="005B3A1F"/>
    <w:rsid w:val="005B3F9D"/>
    <w:rsid w:val="005B3FBB"/>
    <w:rsid w:val="005B40B9"/>
    <w:rsid w:val="005B441D"/>
    <w:rsid w:val="005B486B"/>
    <w:rsid w:val="005B5BD6"/>
    <w:rsid w:val="005B62F1"/>
    <w:rsid w:val="005B6741"/>
    <w:rsid w:val="005B779D"/>
    <w:rsid w:val="005C042E"/>
    <w:rsid w:val="005C0AA9"/>
    <w:rsid w:val="005C0AE1"/>
    <w:rsid w:val="005C1A54"/>
    <w:rsid w:val="005C2403"/>
    <w:rsid w:val="005C2608"/>
    <w:rsid w:val="005C29A7"/>
    <w:rsid w:val="005C2CF6"/>
    <w:rsid w:val="005C3074"/>
    <w:rsid w:val="005C3536"/>
    <w:rsid w:val="005C36B2"/>
    <w:rsid w:val="005C3F0F"/>
    <w:rsid w:val="005C4EF1"/>
    <w:rsid w:val="005C5920"/>
    <w:rsid w:val="005C65F8"/>
    <w:rsid w:val="005C716A"/>
    <w:rsid w:val="005C7771"/>
    <w:rsid w:val="005D0207"/>
    <w:rsid w:val="005D027C"/>
    <w:rsid w:val="005D0403"/>
    <w:rsid w:val="005D0965"/>
    <w:rsid w:val="005D0A9E"/>
    <w:rsid w:val="005D0E60"/>
    <w:rsid w:val="005D1170"/>
    <w:rsid w:val="005D141B"/>
    <w:rsid w:val="005D1922"/>
    <w:rsid w:val="005D1EA0"/>
    <w:rsid w:val="005D2F79"/>
    <w:rsid w:val="005D3095"/>
    <w:rsid w:val="005D39DE"/>
    <w:rsid w:val="005D3FA5"/>
    <w:rsid w:val="005D43C2"/>
    <w:rsid w:val="005D4C81"/>
    <w:rsid w:val="005D5036"/>
    <w:rsid w:val="005D5435"/>
    <w:rsid w:val="005D58B2"/>
    <w:rsid w:val="005D5F8D"/>
    <w:rsid w:val="005D6044"/>
    <w:rsid w:val="005D6332"/>
    <w:rsid w:val="005D63DB"/>
    <w:rsid w:val="005D6492"/>
    <w:rsid w:val="005D6D5E"/>
    <w:rsid w:val="005D794D"/>
    <w:rsid w:val="005D7983"/>
    <w:rsid w:val="005D7E23"/>
    <w:rsid w:val="005E0628"/>
    <w:rsid w:val="005E0875"/>
    <w:rsid w:val="005E1197"/>
    <w:rsid w:val="005E1C74"/>
    <w:rsid w:val="005E2401"/>
    <w:rsid w:val="005E27B3"/>
    <w:rsid w:val="005E31AD"/>
    <w:rsid w:val="005E32F4"/>
    <w:rsid w:val="005E3D28"/>
    <w:rsid w:val="005E4570"/>
    <w:rsid w:val="005E4DC8"/>
    <w:rsid w:val="005E4DFB"/>
    <w:rsid w:val="005E4E40"/>
    <w:rsid w:val="005E5DF7"/>
    <w:rsid w:val="005E63E5"/>
    <w:rsid w:val="005E6430"/>
    <w:rsid w:val="005E647C"/>
    <w:rsid w:val="005E64D7"/>
    <w:rsid w:val="005E6D50"/>
    <w:rsid w:val="005E6EDE"/>
    <w:rsid w:val="005E70DD"/>
    <w:rsid w:val="005E7585"/>
    <w:rsid w:val="005E7811"/>
    <w:rsid w:val="005E7D3B"/>
    <w:rsid w:val="005F02B5"/>
    <w:rsid w:val="005F0E89"/>
    <w:rsid w:val="005F1147"/>
    <w:rsid w:val="005F1CBF"/>
    <w:rsid w:val="005F1F5F"/>
    <w:rsid w:val="005F2FE1"/>
    <w:rsid w:val="005F3776"/>
    <w:rsid w:val="005F3798"/>
    <w:rsid w:val="005F59B2"/>
    <w:rsid w:val="005F5CA2"/>
    <w:rsid w:val="005F69F2"/>
    <w:rsid w:val="005F6A07"/>
    <w:rsid w:val="005F7277"/>
    <w:rsid w:val="005F78F3"/>
    <w:rsid w:val="00600C26"/>
    <w:rsid w:val="00600F90"/>
    <w:rsid w:val="0060108C"/>
    <w:rsid w:val="006011F8"/>
    <w:rsid w:val="00601609"/>
    <w:rsid w:val="0060180D"/>
    <w:rsid w:val="00601B94"/>
    <w:rsid w:val="00602735"/>
    <w:rsid w:val="0060306D"/>
    <w:rsid w:val="00605476"/>
    <w:rsid w:val="00605B46"/>
    <w:rsid w:val="00607C61"/>
    <w:rsid w:val="0061069C"/>
    <w:rsid w:val="00611A83"/>
    <w:rsid w:val="00612287"/>
    <w:rsid w:val="00612B9A"/>
    <w:rsid w:val="00612BB6"/>
    <w:rsid w:val="00612C5E"/>
    <w:rsid w:val="00613827"/>
    <w:rsid w:val="00613ECC"/>
    <w:rsid w:val="00614C3B"/>
    <w:rsid w:val="0061531D"/>
    <w:rsid w:val="0061655F"/>
    <w:rsid w:val="00616939"/>
    <w:rsid w:val="00616F9C"/>
    <w:rsid w:val="006171A7"/>
    <w:rsid w:val="00617662"/>
    <w:rsid w:val="00617961"/>
    <w:rsid w:val="00617F13"/>
    <w:rsid w:val="006204D1"/>
    <w:rsid w:val="00620752"/>
    <w:rsid w:val="00620B45"/>
    <w:rsid w:val="0062131F"/>
    <w:rsid w:val="00621A66"/>
    <w:rsid w:val="00621E53"/>
    <w:rsid w:val="00622369"/>
    <w:rsid w:val="0062260D"/>
    <w:rsid w:val="00622977"/>
    <w:rsid w:val="00622B9F"/>
    <w:rsid w:val="00622FEC"/>
    <w:rsid w:val="00623C72"/>
    <w:rsid w:val="006242FB"/>
    <w:rsid w:val="0062471F"/>
    <w:rsid w:val="00624E74"/>
    <w:rsid w:val="0062517A"/>
    <w:rsid w:val="0062551D"/>
    <w:rsid w:val="00626EA6"/>
    <w:rsid w:val="00627352"/>
    <w:rsid w:val="00627617"/>
    <w:rsid w:val="00627D2F"/>
    <w:rsid w:val="00630806"/>
    <w:rsid w:val="006310FF"/>
    <w:rsid w:val="0063127A"/>
    <w:rsid w:val="006317AD"/>
    <w:rsid w:val="00631E2F"/>
    <w:rsid w:val="00632225"/>
    <w:rsid w:val="00632DB7"/>
    <w:rsid w:val="0063338B"/>
    <w:rsid w:val="00633703"/>
    <w:rsid w:val="0063390C"/>
    <w:rsid w:val="0063557F"/>
    <w:rsid w:val="00635CB9"/>
    <w:rsid w:val="00635CEF"/>
    <w:rsid w:val="006366C3"/>
    <w:rsid w:val="00636BB4"/>
    <w:rsid w:val="00636BB8"/>
    <w:rsid w:val="00637466"/>
    <w:rsid w:val="0063770F"/>
    <w:rsid w:val="00640C87"/>
    <w:rsid w:val="00641A86"/>
    <w:rsid w:val="00641F4B"/>
    <w:rsid w:val="00642F0E"/>
    <w:rsid w:val="00643627"/>
    <w:rsid w:val="00643AAA"/>
    <w:rsid w:val="006442D0"/>
    <w:rsid w:val="00644682"/>
    <w:rsid w:val="00644844"/>
    <w:rsid w:val="00644D6D"/>
    <w:rsid w:val="006452DB"/>
    <w:rsid w:val="00645830"/>
    <w:rsid w:val="00646D2F"/>
    <w:rsid w:val="00650350"/>
    <w:rsid w:val="00650AD6"/>
    <w:rsid w:val="00650D40"/>
    <w:rsid w:val="00651595"/>
    <w:rsid w:val="00651607"/>
    <w:rsid w:val="00651D0D"/>
    <w:rsid w:val="0065259A"/>
    <w:rsid w:val="006525E2"/>
    <w:rsid w:val="006530AE"/>
    <w:rsid w:val="00653340"/>
    <w:rsid w:val="00653756"/>
    <w:rsid w:val="00653B04"/>
    <w:rsid w:val="00653E22"/>
    <w:rsid w:val="00653E96"/>
    <w:rsid w:val="006548DA"/>
    <w:rsid w:val="00654B93"/>
    <w:rsid w:val="00654C41"/>
    <w:rsid w:val="00654CA4"/>
    <w:rsid w:val="00654FBA"/>
    <w:rsid w:val="00655BC8"/>
    <w:rsid w:val="00655CED"/>
    <w:rsid w:val="0065659F"/>
    <w:rsid w:val="00656A22"/>
    <w:rsid w:val="00656C75"/>
    <w:rsid w:val="006570B5"/>
    <w:rsid w:val="0065721E"/>
    <w:rsid w:val="00657919"/>
    <w:rsid w:val="00657F6C"/>
    <w:rsid w:val="006606A4"/>
    <w:rsid w:val="00660F79"/>
    <w:rsid w:val="0066133B"/>
    <w:rsid w:val="006615B7"/>
    <w:rsid w:val="00661B65"/>
    <w:rsid w:val="0066274F"/>
    <w:rsid w:val="00663531"/>
    <w:rsid w:val="00664BCE"/>
    <w:rsid w:val="00665411"/>
    <w:rsid w:val="0066543D"/>
    <w:rsid w:val="00665802"/>
    <w:rsid w:val="00665913"/>
    <w:rsid w:val="00665DA5"/>
    <w:rsid w:val="00666B5F"/>
    <w:rsid w:val="0066708F"/>
    <w:rsid w:val="00667115"/>
    <w:rsid w:val="0066778A"/>
    <w:rsid w:val="00667936"/>
    <w:rsid w:val="00667D05"/>
    <w:rsid w:val="00667DDD"/>
    <w:rsid w:val="006705CF"/>
    <w:rsid w:val="00670F7F"/>
    <w:rsid w:val="00671278"/>
    <w:rsid w:val="0067198A"/>
    <w:rsid w:val="00671AC4"/>
    <w:rsid w:val="00672CD0"/>
    <w:rsid w:val="00673211"/>
    <w:rsid w:val="006732D1"/>
    <w:rsid w:val="00673499"/>
    <w:rsid w:val="006740DD"/>
    <w:rsid w:val="00674409"/>
    <w:rsid w:val="00675FE9"/>
    <w:rsid w:val="00676D89"/>
    <w:rsid w:val="00676E2C"/>
    <w:rsid w:val="00677F74"/>
    <w:rsid w:val="00680513"/>
    <w:rsid w:val="00680DE4"/>
    <w:rsid w:val="0068129D"/>
    <w:rsid w:val="0068273E"/>
    <w:rsid w:val="006827CB"/>
    <w:rsid w:val="00682882"/>
    <w:rsid w:val="00682B78"/>
    <w:rsid w:val="00682BB2"/>
    <w:rsid w:val="00682E9E"/>
    <w:rsid w:val="00683A00"/>
    <w:rsid w:val="00684250"/>
    <w:rsid w:val="00684324"/>
    <w:rsid w:val="006852FA"/>
    <w:rsid w:val="0068661E"/>
    <w:rsid w:val="00687104"/>
    <w:rsid w:val="0068722E"/>
    <w:rsid w:val="006874C7"/>
    <w:rsid w:val="00687686"/>
    <w:rsid w:val="006878F2"/>
    <w:rsid w:val="00687AE2"/>
    <w:rsid w:val="00687BDA"/>
    <w:rsid w:val="00687BF9"/>
    <w:rsid w:val="00687DC4"/>
    <w:rsid w:val="00690DBF"/>
    <w:rsid w:val="00691844"/>
    <w:rsid w:val="006918B6"/>
    <w:rsid w:val="00691C7C"/>
    <w:rsid w:val="00692184"/>
    <w:rsid w:val="00692373"/>
    <w:rsid w:val="006925AB"/>
    <w:rsid w:val="00692A26"/>
    <w:rsid w:val="00692D57"/>
    <w:rsid w:val="00692D91"/>
    <w:rsid w:val="00693252"/>
    <w:rsid w:val="00693827"/>
    <w:rsid w:val="00693BD8"/>
    <w:rsid w:val="00693F60"/>
    <w:rsid w:val="0069433E"/>
    <w:rsid w:val="0069466D"/>
    <w:rsid w:val="006946EC"/>
    <w:rsid w:val="00694751"/>
    <w:rsid w:val="00694ACA"/>
    <w:rsid w:val="00695D08"/>
    <w:rsid w:val="0069678A"/>
    <w:rsid w:val="00697683"/>
    <w:rsid w:val="00697C22"/>
    <w:rsid w:val="006A07F3"/>
    <w:rsid w:val="006A0838"/>
    <w:rsid w:val="006A0C2B"/>
    <w:rsid w:val="006A0C2C"/>
    <w:rsid w:val="006A1335"/>
    <w:rsid w:val="006A1B16"/>
    <w:rsid w:val="006A1C94"/>
    <w:rsid w:val="006A1FFC"/>
    <w:rsid w:val="006A22EC"/>
    <w:rsid w:val="006A2465"/>
    <w:rsid w:val="006A310F"/>
    <w:rsid w:val="006A3568"/>
    <w:rsid w:val="006A3799"/>
    <w:rsid w:val="006A3913"/>
    <w:rsid w:val="006A3B00"/>
    <w:rsid w:val="006A4537"/>
    <w:rsid w:val="006A45EE"/>
    <w:rsid w:val="006A4961"/>
    <w:rsid w:val="006A4B4D"/>
    <w:rsid w:val="006B064A"/>
    <w:rsid w:val="006B065D"/>
    <w:rsid w:val="006B1BCF"/>
    <w:rsid w:val="006B1D2F"/>
    <w:rsid w:val="006B2165"/>
    <w:rsid w:val="006B289F"/>
    <w:rsid w:val="006B2FB9"/>
    <w:rsid w:val="006B3EE7"/>
    <w:rsid w:val="006B4DDD"/>
    <w:rsid w:val="006B57C4"/>
    <w:rsid w:val="006B5B49"/>
    <w:rsid w:val="006B660C"/>
    <w:rsid w:val="006B7524"/>
    <w:rsid w:val="006B784E"/>
    <w:rsid w:val="006B7D11"/>
    <w:rsid w:val="006C0387"/>
    <w:rsid w:val="006C0433"/>
    <w:rsid w:val="006C0A58"/>
    <w:rsid w:val="006C117C"/>
    <w:rsid w:val="006C11FB"/>
    <w:rsid w:val="006C1825"/>
    <w:rsid w:val="006C1AC3"/>
    <w:rsid w:val="006C1B2B"/>
    <w:rsid w:val="006C1F48"/>
    <w:rsid w:val="006C244F"/>
    <w:rsid w:val="006C2767"/>
    <w:rsid w:val="006C2964"/>
    <w:rsid w:val="006C2C82"/>
    <w:rsid w:val="006C31A3"/>
    <w:rsid w:val="006C36B9"/>
    <w:rsid w:val="006C3A0D"/>
    <w:rsid w:val="006C443C"/>
    <w:rsid w:val="006C73B8"/>
    <w:rsid w:val="006C775E"/>
    <w:rsid w:val="006C7C1F"/>
    <w:rsid w:val="006D01B6"/>
    <w:rsid w:val="006D042B"/>
    <w:rsid w:val="006D17B2"/>
    <w:rsid w:val="006D1D23"/>
    <w:rsid w:val="006D313F"/>
    <w:rsid w:val="006D39A0"/>
    <w:rsid w:val="006D3C9E"/>
    <w:rsid w:val="006D3E0A"/>
    <w:rsid w:val="006D6127"/>
    <w:rsid w:val="006D7B70"/>
    <w:rsid w:val="006D7CDF"/>
    <w:rsid w:val="006D7EDE"/>
    <w:rsid w:val="006E0A75"/>
    <w:rsid w:val="006E1BC4"/>
    <w:rsid w:val="006E204F"/>
    <w:rsid w:val="006E2374"/>
    <w:rsid w:val="006E24D6"/>
    <w:rsid w:val="006E4B22"/>
    <w:rsid w:val="006E4E7C"/>
    <w:rsid w:val="006E54AE"/>
    <w:rsid w:val="006E5CB7"/>
    <w:rsid w:val="006E60C3"/>
    <w:rsid w:val="006E619A"/>
    <w:rsid w:val="006E6602"/>
    <w:rsid w:val="006E6809"/>
    <w:rsid w:val="006E6D22"/>
    <w:rsid w:val="006E73AC"/>
    <w:rsid w:val="006E7A0C"/>
    <w:rsid w:val="006F074B"/>
    <w:rsid w:val="006F0866"/>
    <w:rsid w:val="006F0C8E"/>
    <w:rsid w:val="006F0CAE"/>
    <w:rsid w:val="006F2C4E"/>
    <w:rsid w:val="006F33EB"/>
    <w:rsid w:val="006F38AC"/>
    <w:rsid w:val="006F397D"/>
    <w:rsid w:val="006F4E8F"/>
    <w:rsid w:val="006F4EF4"/>
    <w:rsid w:val="006F5046"/>
    <w:rsid w:val="006F51A8"/>
    <w:rsid w:val="006F5C63"/>
    <w:rsid w:val="006F5DFA"/>
    <w:rsid w:val="006F6262"/>
    <w:rsid w:val="006F6316"/>
    <w:rsid w:val="006F6AC4"/>
    <w:rsid w:val="006F7768"/>
    <w:rsid w:val="00700082"/>
    <w:rsid w:val="00700DDF"/>
    <w:rsid w:val="007016C4"/>
    <w:rsid w:val="00701EF6"/>
    <w:rsid w:val="00701F1E"/>
    <w:rsid w:val="007023C8"/>
    <w:rsid w:val="0070308B"/>
    <w:rsid w:val="00703296"/>
    <w:rsid w:val="007035D2"/>
    <w:rsid w:val="00704355"/>
    <w:rsid w:val="007044F9"/>
    <w:rsid w:val="007049B1"/>
    <w:rsid w:val="00704DDD"/>
    <w:rsid w:val="00704E2D"/>
    <w:rsid w:val="00705B2F"/>
    <w:rsid w:val="00706049"/>
    <w:rsid w:val="00706727"/>
    <w:rsid w:val="007069BF"/>
    <w:rsid w:val="00706B04"/>
    <w:rsid w:val="00707DD4"/>
    <w:rsid w:val="00707E51"/>
    <w:rsid w:val="007101ED"/>
    <w:rsid w:val="00710647"/>
    <w:rsid w:val="007110BC"/>
    <w:rsid w:val="007110C8"/>
    <w:rsid w:val="007110FD"/>
    <w:rsid w:val="00711132"/>
    <w:rsid w:val="007115CB"/>
    <w:rsid w:val="00711E1F"/>
    <w:rsid w:val="00713030"/>
    <w:rsid w:val="00713667"/>
    <w:rsid w:val="00713E14"/>
    <w:rsid w:val="00713FDF"/>
    <w:rsid w:val="007148AE"/>
    <w:rsid w:val="00714B3A"/>
    <w:rsid w:val="00714D3C"/>
    <w:rsid w:val="007150A6"/>
    <w:rsid w:val="00715B48"/>
    <w:rsid w:val="00715E7B"/>
    <w:rsid w:val="0071649A"/>
    <w:rsid w:val="00717284"/>
    <w:rsid w:val="007176CA"/>
    <w:rsid w:val="00717702"/>
    <w:rsid w:val="00717CF5"/>
    <w:rsid w:val="00720BFD"/>
    <w:rsid w:val="00721211"/>
    <w:rsid w:val="007212D6"/>
    <w:rsid w:val="0072157E"/>
    <w:rsid w:val="00721A31"/>
    <w:rsid w:val="00721BF9"/>
    <w:rsid w:val="007221A9"/>
    <w:rsid w:val="00722748"/>
    <w:rsid w:val="00722BBD"/>
    <w:rsid w:val="00722C08"/>
    <w:rsid w:val="00724384"/>
    <w:rsid w:val="007246F7"/>
    <w:rsid w:val="00725402"/>
    <w:rsid w:val="00725580"/>
    <w:rsid w:val="00725F4F"/>
    <w:rsid w:val="007271E6"/>
    <w:rsid w:val="00727351"/>
    <w:rsid w:val="007275D3"/>
    <w:rsid w:val="00727F3C"/>
    <w:rsid w:val="0073033B"/>
    <w:rsid w:val="00730EC6"/>
    <w:rsid w:val="007320C5"/>
    <w:rsid w:val="00732498"/>
    <w:rsid w:val="00732969"/>
    <w:rsid w:val="00732B31"/>
    <w:rsid w:val="0073338F"/>
    <w:rsid w:val="007352AB"/>
    <w:rsid w:val="00735858"/>
    <w:rsid w:val="007365FE"/>
    <w:rsid w:val="007373A5"/>
    <w:rsid w:val="007374FB"/>
    <w:rsid w:val="0074023D"/>
    <w:rsid w:val="00740520"/>
    <w:rsid w:val="007426D7"/>
    <w:rsid w:val="00742D79"/>
    <w:rsid w:val="007435B9"/>
    <w:rsid w:val="00743E6E"/>
    <w:rsid w:val="00744BF3"/>
    <w:rsid w:val="007452BB"/>
    <w:rsid w:val="00745E1E"/>
    <w:rsid w:val="007472C4"/>
    <w:rsid w:val="007477A4"/>
    <w:rsid w:val="00747CFB"/>
    <w:rsid w:val="00747D67"/>
    <w:rsid w:val="007500D1"/>
    <w:rsid w:val="0075091D"/>
    <w:rsid w:val="007511B8"/>
    <w:rsid w:val="007515A5"/>
    <w:rsid w:val="00752141"/>
    <w:rsid w:val="00752E2F"/>
    <w:rsid w:val="00753E37"/>
    <w:rsid w:val="00753F42"/>
    <w:rsid w:val="00753FA5"/>
    <w:rsid w:val="007552CC"/>
    <w:rsid w:val="00755C36"/>
    <w:rsid w:val="00755D12"/>
    <w:rsid w:val="00756463"/>
    <w:rsid w:val="007565A6"/>
    <w:rsid w:val="00756A4D"/>
    <w:rsid w:val="00756E69"/>
    <w:rsid w:val="00756E7C"/>
    <w:rsid w:val="00757769"/>
    <w:rsid w:val="00757A02"/>
    <w:rsid w:val="00760095"/>
    <w:rsid w:val="0076143D"/>
    <w:rsid w:val="007615A1"/>
    <w:rsid w:val="00762132"/>
    <w:rsid w:val="00763237"/>
    <w:rsid w:val="007635D1"/>
    <w:rsid w:val="00763829"/>
    <w:rsid w:val="007638FC"/>
    <w:rsid w:val="0076417B"/>
    <w:rsid w:val="007645F0"/>
    <w:rsid w:val="00764790"/>
    <w:rsid w:val="00764B7B"/>
    <w:rsid w:val="00764E65"/>
    <w:rsid w:val="00765D8F"/>
    <w:rsid w:val="00767485"/>
    <w:rsid w:val="007679FA"/>
    <w:rsid w:val="00770188"/>
    <w:rsid w:val="00770491"/>
    <w:rsid w:val="00770874"/>
    <w:rsid w:val="00770C26"/>
    <w:rsid w:val="00771134"/>
    <w:rsid w:val="00771D76"/>
    <w:rsid w:val="00772CDD"/>
    <w:rsid w:val="0077386B"/>
    <w:rsid w:val="00773A8E"/>
    <w:rsid w:val="00773CDD"/>
    <w:rsid w:val="007741C1"/>
    <w:rsid w:val="00774A9E"/>
    <w:rsid w:val="00775146"/>
    <w:rsid w:val="007761EC"/>
    <w:rsid w:val="00776348"/>
    <w:rsid w:val="00777E9D"/>
    <w:rsid w:val="007811A6"/>
    <w:rsid w:val="007817EA"/>
    <w:rsid w:val="00781C26"/>
    <w:rsid w:val="007836F8"/>
    <w:rsid w:val="00783AA2"/>
    <w:rsid w:val="00784127"/>
    <w:rsid w:val="0078441E"/>
    <w:rsid w:val="00784826"/>
    <w:rsid w:val="00784AF3"/>
    <w:rsid w:val="00785D47"/>
    <w:rsid w:val="00786024"/>
    <w:rsid w:val="007861C9"/>
    <w:rsid w:val="007868AE"/>
    <w:rsid w:val="0078750D"/>
    <w:rsid w:val="00790469"/>
    <w:rsid w:val="00791FDA"/>
    <w:rsid w:val="00792343"/>
    <w:rsid w:val="0079281A"/>
    <w:rsid w:val="00792CED"/>
    <w:rsid w:val="00792EC6"/>
    <w:rsid w:val="00793811"/>
    <w:rsid w:val="0079384F"/>
    <w:rsid w:val="00793ABD"/>
    <w:rsid w:val="0079495D"/>
    <w:rsid w:val="00794B05"/>
    <w:rsid w:val="00795074"/>
    <w:rsid w:val="00795575"/>
    <w:rsid w:val="0079584F"/>
    <w:rsid w:val="00795D22"/>
    <w:rsid w:val="00795D92"/>
    <w:rsid w:val="00796CBD"/>
    <w:rsid w:val="007A0427"/>
    <w:rsid w:val="007A04D2"/>
    <w:rsid w:val="007A13CB"/>
    <w:rsid w:val="007A1454"/>
    <w:rsid w:val="007A1C3B"/>
    <w:rsid w:val="007A1EE4"/>
    <w:rsid w:val="007A248E"/>
    <w:rsid w:val="007A2669"/>
    <w:rsid w:val="007A2946"/>
    <w:rsid w:val="007A2B8E"/>
    <w:rsid w:val="007A3302"/>
    <w:rsid w:val="007A348D"/>
    <w:rsid w:val="007A3697"/>
    <w:rsid w:val="007A3958"/>
    <w:rsid w:val="007A3C79"/>
    <w:rsid w:val="007A44A0"/>
    <w:rsid w:val="007A47A6"/>
    <w:rsid w:val="007A4C6B"/>
    <w:rsid w:val="007A53CE"/>
    <w:rsid w:val="007A5441"/>
    <w:rsid w:val="007A5658"/>
    <w:rsid w:val="007A61AC"/>
    <w:rsid w:val="007A6D83"/>
    <w:rsid w:val="007A7329"/>
    <w:rsid w:val="007A7839"/>
    <w:rsid w:val="007A7ACB"/>
    <w:rsid w:val="007B0931"/>
    <w:rsid w:val="007B09AF"/>
    <w:rsid w:val="007B21CA"/>
    <w:rsid w:val="007B2397"/>
    <w:rsid w:val="007B2EFC"/>
    <w:rsid w:val="007B341D"/>
    <w:rsid w:val="007B3647"/>
    <w:rsid w:val="007B4179"/>
    <w:rsid w:val="007B45CA"/>
    <w:rsid w:val="007B4B66"/>
    <w:rsid w:val="007B5F7A"/>
    <w:rsid w:val="007B6C8C"/>
    <w:rsid w:val="007B77E0"/>
    <w:rsid w:val="007B77F1"/>
    <w:rsid w:val="007B7F71"/>
    <w:rsid w:val="007B7FAD"/>
    <w:rsid w:val="007C0164"/>
    <w:rsid w:val="007C0E11"/>
    <w:rsid w:val="007C0E88"/>
    <w:rsid w:val="007C0F76"/>
    <w:rsid w:val="007C1350"/>
    <w:rsid w:val="007C273A"/>
    <w:rsid w:val="007C37FC"/>
    <w:rsid w:val="007C3CB6"/>
    <w:rsid w:val="007C47CF"/>
    <w:rsid w:val="007C4FF2"/>
    <w:rsid w:val="007C7113"/>
    <w:rsid w:val="007C7231"/>
    <w:rsid w:val="007C7C5D"/>
    <w:rsid w:val="007D16E6"/>
    <w:rsid w:val="007D1962"/>
    <w:rsid w:val="007D19EA"/>
    <w:rsid w:val="007D1BD5"/>
    <w:rsid w:val="007D2E2B"/>
    <w:rsid w:val="007D334B"/>
    <w:rsid w:val="007D363D"/>
    <w:rsid w:val="007D3743"/>
    <w:rsid w:val="007D4905"/>
    <w:rsid w:val="007D4D5D"/>
    <w:rsid w:val="007D4F2F"/>
    <w:rsid w:val="007D5164"/>
    <w:rsid w:val="007D5419"/>
    <w:rsid w:val="007D5840"/>
    <w:rsid w:val="007D64DA"/>
    <w:rsid w:val="007D7B4C"/>
    <w:rsid w:val="007E0D2A"/>
    <w:rsid w:val="007E1360"/>
    <w:rsid w:val="007E20D1"/>
    <w:rsid w:val="007E3E58"/>
    <w:rsid w:val="007E4BE2"/>
    <w:rsid w:val="007E4D6E"/>
    <w:rsid w:val="007E4F2C"/>
    <w:rsid w:val="007E4F34"/>
    <w:rsid w:val="007E4FED"/>
    <w:rsid w:val="007E52AF"/>
    <w:rsid w:val="007E56FC"/>
    <w:rsid w:val="007E5953"/>
    <w:rsid w:val="007E598E"/>
    <w:rsid w:val="007E5A36"/>
    <w:rsid w:val="007E5CF5"/>
    <w:rsid w:val="007E6AAD"/>
    <w:rsid w:val="007E7055"/>
    <w:rsid w:val="007E7665"/>
    <w:rsid w:val="007E7B68"/>
    <w:rsid w:val="007E7C5A"/>
    <w:rsid w:val="007E7CAF"/>
    <w:rsid w:val="007F127D"/>
    <w:rsid w:val="007F14A9"/>
    <w:rsid w:val="007F1879"/>
    <w:rsid w:val="007F1B9F"/>
    <w:rsid w:val="007F2499"/>
    <w:rsid w:val="007F25CA"/>
    <w:rsid w:val="007F2965"/>
    <w:rsid w:val="007F2CFF"/>
    <w:rsid w:val="007F37F1"/>
    <w:rsid w:val="007F4D51"/>
    <w:rsid w:val="007F4FA2"/>
    <w:rsid w:val="007F5E78"/>
    <w:rsid w:val="007F761E"/>
    <w:rsid w:val="007F782C"/>
    <w:rsid w:val="007F7927"/>
    <w:rsid w:val="0080015B"/>
    <w:rsid w:val="008004AB"/>
    <w:rsid w:val="00800505"/>
    <w:rsid w:val="00800A4B"/>
    <w:rsid w:val="00800CEE"/>
    <w:rsid w:val="00800F26"/>
    <w:rsid w:val="00801601"/>
    <w:rsid w:val="0080204A"/>
    <w:rsid w:val="008022A7"/>
    <w:rsid w:val="0080256C"/>
    <w:rsid w:val="00802E77"/>
    <w:rsid w:val="008037A3"/>
    <w:rsid w:val="0080389D"/>
    <w:rsid w:val="00803A46"/>
    <w:rsid w:val="00803AA9"/>
    <w:rsid w:val="008045B9"/>
    <w:rsid w:val="008047CB"/>
    <w:rsid w:val="00804EF7"/>
    <w:rsid w:val="00805144"/>
    <w:rsid w:val="00805B20"/>
    <w:rsid w:val="00806314"/>
    <w:rsid w:val="008063C4"/>
    <w:rsid w:val="00806C26"/>
    <w:rsid w:val="00807245"/>
    <w:rsid w:val="00807EB2"/>
    <w:rsid w:val="0081106B"/>
    <w:rsid w:val="0081181A"/>
    <w:rsid w:val="00812443"/>
    <w:rsid w:val="00812786"/>
    <w:rsid w:val="0081284E"/>
    <w:rsid w:val="00812BDB"/>
    <w:rsid w:val="00812F93"/>
    <w:rsid w:val="0081304E"/>
    <w:rsid w:val="008130E1"/>
    <w:rsid w:val="00813F4D"/>
    <w:rsid w:val="0081460A"/>
    <w:rsid w:val="0081471F"/>
    <w:rsid w:val="00814744"/>
    <w:rsid w:val="00814980"/>
    <w:rsid w:val="0081600E"/>
    <w:rsid w:val="00816BF7"/>
    <w:rsid w:val="00816D68"/>
    <w:rsid w:val="008172F9"/>
    <w:rsid w:val="00817D8D"/>
    <w:rsid w:val="00817F0B"/>
    <w:rsid w:val="00817FB4"/>
    <w:rsid w:val="008200DC"/>
    <w:rsid w:val="00820465"/>
    <w:rsid w:val="00820B3C"/>
    <w:rsid w:val="0082114C"/>
    <w:rsid w:val="00821E2A"/>
    <w:rsid w:val="00822549"/>
    <w:rsid w:val="00822DB4"/>
    <w:rsid w:val="00822FE8"/>
    <w:rsid w:val="008234A2"/>
    <w:rsid w:val="008238EF"/>
    <w:rsid w:val="00823A48"/>
    <w:rsid w:val="00823AD7"/>
    <w:rsid w:val="00824033"/>
    <w:rsid w:val="008243AD"/>
    <w:rsid w:val="0082591B"/>
    <w:rsid w:val="008262D3"/>
    <w:rsid w:val="00826384"/>
    <w:rsid w:val="00827644"/>
    <w:rsid w:val="008279DD"/>
    <w:rsid w:val="00827D9C"/>
    <w:rsid w:val="00830286"/>
    <w:rsid w:val="008302A7"/>
    <w:rsid w:val="00831827"/>
    <w:rsid w:val="00831DC9"/>
    <w:rsid w:val="00831E6A"/>
    <w:rsid w:val="0083234F"/>
    <w:rsid w:val="00833105"/>
    <w:rsid w:val="00833168"/>
    <w:rsid w:val="00833255"/>
    <w:rsid w:val="00833BCC"/>
    <w:rsid w:val="00833C92"/>
    <w:rsid w:val="00833E37"/>
    <w:rsid w:val="008340BD"/>
    <w:rsid w:val="0083468A"/>
    <w:rsid w:val="0083473E"/>
    <w:rsid w:val="0083505A"/>
    <w:rsid w:val="008353A6"/>
    <w:rsid w:val="00836775"/>
    <w:rsid w:val="0083737F"/>
    <w:rsid w:val="00837D4B"/>
    <w:rsid w:val="00837E99"/>
    <w:rsid w:val="0084024A"/>
    <w:rsid w:val="0084048B"/>
    <w:rsid w:val="008411B0"/>
    <w:rsid w:val="00842138"/>
    <w:rsid w:val="0084274E"/>
    <w:rsid w:val="00842C75"/>
    <w:rsid w:val="00842F49"/>
    <w:rsid w:val="0084310B"/>
    <w:rsid w:val="008432AB"/>
    <w:rsid w:val="00843583"/>
    <w:rsid w:val="00843DA7"/>
    <w:rsid w:val="00844015"/>
    <w:rsid w:val="0084419E"/>
    <w:rsid w:val="0084456B"/>
    <w:rsid w:val="008445F7"/>
    <w:rsid w:val="0084655E"/>
    <w:rsid w:val="00846E08"/>
    <w:rsid w:val="008476B9"/>
    <w:rsid w:val="00847753"/>
    <w:rsid w:val="00850040"/>
    <w:rsid w:val="00851AED"/>
    <w:rsid w:val="00852A43"/>
    <w:rsid w:val="00852A5A"/>
    <w:rsid w:val="00852E6E"/>
    <w:rsid w:val="00853D4B"/>
    <w:rsid w:val="00853E4B"/>
    <w:rsid w:val="008542C1"/>
    <w:rsid w:val="00854F52"/>
    <w:rsid w:val="00855CED"/>
    <w:rsid w:val="00855F53"/>
    <w:rsid w:val="00856151"/>
    <w:rsid w:val="0085694D"/>
    <w:rsid w:val="00860498"/>
    <w:rsid w:val="0086110F"/>
    <w:rsid w:val="008615BA"/>
    <w:rsid w:val="008616BE"/>
    <w:rsid w:val="0086185B"/>
    <w:rsid w:val="00861887"/>
    <w:rsid w:val="00862284"/>
    <w:rsid w:val="00863BB8"/>
    <w:rsid w:val="008648EF"/>
    <w:rsid w:val="008653AE"/>
    <w:rsid w:val="00865805"/>
    <w:rsid w:val="00865F4E"/>
    <w:rsid w:val="008662F5"/>
    <w:rsid w:val="008668CB"/>
    <w:rsid w:val="00867C35"/>
    <w:rsid w:val="00870285"/>
    <w:rsid w:val="00870446"/>
    <w:rsid w:val="00870C00"/>
    <w:rsid w:val="00871030"/>
    <w:rsid w:val="00871037"/>
    <w:rsid w:val="00871639"/>
    <w:rsid w:val="0087190A"/>
    <w:rsid w:val="008725F7"/>
    <w:rsid w:val="00872A3E"/>
    <w:rsid w:val="00873156"/>
    <w:rsid w:val="00873EB6"/>
    <w:rsid w:val="00874128"/>
    <w:rsid w:val="0087478C"/>
    <w:rsid w:val="00874BF0"/>
    <w:rsid w:val="00874C04"/>
    <w:rsid w:val="00875189"/>
    <w:rsid w:val="008751D9"/>
    <w:rsid w:val="00875301"/>
    <w:rsid w:val="00875773"/>
    <w:rsid w:val="0087589C"/>
    <w:rsid w:val="00875BD6"/>
    <w:rsid w:val="0087654E"/>
    <w:rsid w:val="00877125"/>
    <w:rsid w:val="00877AD9"/>
    <w:rsid w:val="00880677"/>
    <w:rsid w:val="00880869"/>
    <w:rsid w:val="00880C8D"/>
    <w:rsid w:val="0088174B"/>
    <w:rsid w:val="00881979"/>
    <w:rsid w:val="00881CF8"/>
    <w:rsid w:val="00881D04"/>
    <w:rsid w:val="00881FAF"/>
    <w:rsid w:val="0088240A"/>
    <w:rsid w:val="00882C70"/>
    <w:rsid w:val="0088368C"/>
    <w:rsid w:val="00883AFB"/>
    <w:rsid w:val="00883B32"/>
    <w:rsid w:val="0088404F"/>
    <w:rsid w:val="008845E1"/>
    <w:rsid w:val="00884945"/>
    <w:rsid w:val="00884DE8"/>
    <w:rsid w:val="008852F8"/>
    <w:rsid w:val="008853A8"/>
    <w:rsid w:val="008857FB"/>
    <w:rsid w:val="00886556"/>
    <w:rsid w:val="0088669F"/>
    <w:rsid w:val="00886DF4"/>
    <w:rsid w:val="00887147"/>
    <w:rsid w:val="00887177"/>
    <w:rsid w:val="00887265"/>
    <w:rsid w:val="0088729D"/>
    <w:rsid w:val="00887372"/>
    <w:rsid w:val="00887B94"/>
    <w:rsid w:val="0089082A"/>
    <w:rsid w:val="008910FC"/>
    <w:rsid w:val="00892056"/>
    <w:rsid w:val="00893543"/>
    <w:rsid w:val="0089406C"/>
    <w:rsid w:val="0089443F"/>
    <w:rsid w:val="00894603"/>
    <w:rsid w:val="00894AB8"/>
    <w:rsid w:val="008955E1"/>
    <w:rsid w:val="008956B9"/>
    <w:rsid w:val="0089602C"/>
    <w:rsid w:val="0089627C"/>
    <w:rsid w:val="008967B7"/>
    <w:rsid w:val="0089778E"/>
    <w:rsid w:val="00897F75"/>
    <w:rsid w:val="008A08B5"/>
    <w:rsid w:val="008A0ECF"/>
    <w:rsid w:val="008A0F10"/>
    <w:rsid w:val="008A1FE5"/>
    <w:rsid w:val="008A2489"/>
    <w:rsid w:val="008A2659"/>
    <w:rsid w:val="008A2E69"/>
    <w:rsid w:val="008A2F07"/>
    <w:rsid w:val="008A49E1"/>
    <w:rsid w:val="008A5829"/>
    <w:rsid w:val="008A6262"/>
    <w:rsid w:val="008A6493"/>
    <w:rsid w:val="008A6AF6"/>
    <w:rsid w:val="008A712D"/>
    <w:rsid w:val="008A742F"/>
    <w:rsid w:val="008A7ECA"/>
    <w:rsid w:val="008B0F81"/>
    <w:rsid w:val="008B1092"/>
    <w:rsid w:val="008B1821"/>
    <w:rsid w:val="008B1B3D"/>
    <w:rsid w:val="008B1BBD"/>
    <w:rsid w:val="008B1F83"/>
    <w:rsid w:val="008B25BB"/>
    <w:rsid w:val="008B25D4"/>
    <w:rsid w:val="008B26FC"/>
    <w:rsid w:val="008B2D55"/>
    <w:rsid w:val="008B3094"/>
    <w:rsid w:val="008B30A7"/>
    <w:rsid w:val="008B3538"/>
    <w:rsid w:val="008B3892"/>
    <w:rsid w:val="008B3AB6"/>
    <w:rsid w:val="008B3D23"/>
    <w:rsid w:val="008B3E90"/>
    <w:rsid w:val="008B44AC"/>
    <w:rsid w:val="008B4AF0"/>
    <w:rsid w:val="008B4D0D"/>
    <w:rsid w:val="008B524A"/>
    <w:rsid w:val="008B54EC"/>
    <w:rsid w:val="008B5863"/>
    <w:rsid w:val="008B58F6"/>
    <w:rsid w:val="008B5EF0"/>
    <w:rsid w:val="008B6A54"/>
    <w:rsid w:val="008B7208"/>
    <w:rsid w:val="008B72A6"/>
    <w:rsid w:val="008B7444"/>
    <w:rsid w:val="008B7ABA"/>
    <w:rsid w:val="008C053B"/>
    <w:rsid w:val="008C071B"/>
    <w:rsid w:val="008C0E53"/>
    <w:rsid w:val="008C10F6"/>
    <w:rsid w:val="008C20F9"/>
    <w:rsid w:val="008C23FF"/>
    <w:rsid w:val="008C2B2A"/>
    <w:rsid w:val="008C2DD9"/>
    <w:rsid w:val="008C40ED"/>
    <w:rsid w:val="008C4CD1"/>
    <w:rsid w:val="008C4DDD"/>
    <w:rsid w:val="008C5906"/>
    <w:rsid w:val="008C59BB"/>
    <w:rsid w:val="008C6D7B"/>
    <w:rsid w:val="008C6EA6"/>
    <w:rsid w:val="008C70D2"/>
    <w:rsid w:val="008C73B9"/>
    <w:rsid w:val="008D0582"/>
    <w:rsid w:val="008D0DC6"/>
    <w:rsid w:val="008D1138"/>
    <w:rsid w:val="008D1710"/>
    <w:rsid w:val="008D22F4"/>
    <w:rsid w:val="008D23E9"/>
    <w:rsid w:val="008D2A27"/>
    <w:rsid w:val="008D2AD3"/>
    <w:rsid w:val="008D2AF1"/>
    <w:rsid w:val="008D322C"/>
    <w:rsid w:val="008D3E94"/>
    <w:rsid w:val="008D4765"/>
    <w:rsid w:val="008D4849"/>
    <w:rsid w:val="008D4B1C"/>
    <w:rsid w:val="008D4B59"/>
    <w:rsid w:val="008D4C2E"/>
    <w:rsid w:val="008D5B8C"/>
    <w:rsid w:val="008D6636"/>
    <w:rsid w:val="008D6708"/>
    <w:rsid w:val="008D6B02"/>
    <w:rsid w:val="008D7E97"/>
    <w:rsid w:val="008E0756"/>
    <w:rsid w:val="008E0907"/>
    <w:rsid w:val="008E0C77"/>
    <w:rsid w:val="008E1596"/>
    <w:rsid w:val="008E1EAF"/>
    <w:rsid w:val="008E2860"/>
    <w:rsid w:val="008E29E7"/>
    <w:rsid w:val="008E312B"/>
    <w:rsid w:val="008E395C"/>
    <w:rsid w:val="008E39D1"/>
    <w:rsid w:val="008E45D0"/>
    <w:rsid w:val="008E49F3"/>
    <w:rsid w:val="008E503E"/>
    <w:rsid w:val="008E5D89"/>
    <w:rsid w:val="008E654D"/>
    <w:rsid w:val="008E7102"/>
    <w:rsid w:val="008E71B1"/>
    <w:rsid w:val="008E77E4"/>
    <w:rsid w:val="008E7FFD"/>
    <w:rsid w:val="008F13D7"/>
    <w:rsid w:val="008F1941"/>
    <w:rsid w:val="008F194A"/>
    <w:rsid w:val="008F216C"/>
    <w:rsid w:val="008F2522"/>
    <w:rsid w:val="008F2709"/>
    <w:rsid w:val="008F2884"/>
    <w:rsid w:val="008F2AFF"/>
    <w:rsid w:val="008F2C4A"/>
    <w:rsid w:val="008F3761"/>
    <w:rsid w:val="008F3B25"/>
    <w:rsid w:val="008F401F"/>
    <w:rsid w:val="008F409A"/>
    <w:rsid w:val="008F4BC3"/>
    <w:rsid w:val="008F585A"/>
    <w:rsid w:val="008F5A3C"/>
    <w:rsid w:val="008F5B9A"/>
    <w:rsid w:val="008F5F94"/>
    <w:rsid w:val="008F650C"/>
    <w:rsid w:val="008F6A7E"/>
    <w:rsid w:val="008F6DFC"/>
    <w:rsid w:val="008F75EB"/>
    <w:rsid w:val="008F7E8B"/>
    <w:rsid w:val="00900B4C"/>
    <w:rsid w:val="00901079"/>
    <w:rsid w:val="00901120"/>
    <w:rsid w:val="009011C0"/>
    <w:rsid w:val="00901B83"/>
    <w:rsid w:val="009021D8"/>
    <w:rsid w:val="00902831"/>
    <w:rsid w:val="00902DBF"/>
    <w:rsid w:val="00903CA7"/>
    <w:rsid w:val="00903F78"/>
    <w:rsid w:val="0090589B"/>
    <w:rsid w:val="00906784"/>
    <w:rsid w:val="00906E9F"/>
    <w:rsid w:val="009071B9"/>
    <w:rsid w:val="009075C2"/>
    <w:rsid w:val="00907F6C"/>
    <w:rsid w:val="00910A26"/>
    <w:rsid w:val="00910B16"/>
    <w:rsid w:val="0091113D"/>
    <w:rsid w:val="00911447"/>
    <w:rsid w:val="00912735"/>
    <w:rsid w:val="009134A2"/>
    <w:rsid w:val="009134FE"/>
    <w:rsid w:val="00913834"/>
    <w:rsid w:val="0091451E"/>
    <w:rsid w:val="009148B6"/>
    <w:rsid w:val="009148CF"/>
    <w:rsid w:val="00914F5D"/>
    <w:rsid w:val="00916E71"/>
    <w:rsid w:val="00916FE3"/>
    <w:rsid w:val="0092013C"/>
    <w:rsid w:val="00920375"/>
    <w:rsid w:val="009213D9"/>
    <w:rsid w:val="00921D8A"/>
    <w:rsid w:val="00922195"/>
    <w:rsid w:val="00922940"/>
    <w:rsid w:val="00922C4B"/>
    <w:rsid w:val="00922DEA"/>
    <w:rsid w:val="0092471A"/>
    <w:rsid w:val="00925872"/>
    <w:rsid w:val="00925C38"/>
    <w:rsid w:val="00925E8A"/>
    <w:rsid w:val="00925EF4"/>
    <w:rsid w:val="00926055"/>
    <w:rsid w:val="0092709C"/>
    <w:rsid w:val="00927641"/>
    <w:rsid w:val="00927BB1"/>
    <w:rsid w:val="00927BF3"/>
    <w:rsid w:val="00927C38"/>
    <w:rsid w:val="00930D86"/>
    <w:rsid w:val="00930D9D"/>
    <w:rsid w:val="00930EC9"/>
    <w:rsid w:val="00931BD6"/>
    <w:rsid w:val="00933271"/>
    <w:rsid w:val="00933618"/>
    <w:rsid w:val="00933791"/>
    <w:rsid w:val="00934016"/>
    <w:rsid w:val="00934767"/>
    <w:rsid w:val="00934B4C"/>
    <w:rsid w:val="009355A9"/>
    <w:rsid w:val="00936965"/>
    <w:rsid w:val="009374C5"/>
    <w:rsid w:val="00941449"/>
    <w:rsid w:val="00941A50"/>
    <w:rsid w:val="00941A6A"/>
    <w:rsid w:val="00942DDD"/>
    <w:rsid w:val="009430CD"/>
    <w:rsid w:val="009434F3"/>
    <w:rsid w:val="009437AE"/>
    <w:rsid w:val="00944A67"/>
    <w:rsid w:val="00945675"/>
    <w:rsid w:val="00945B0A"/>
    <w:rsid w:val="00946074"/>
    <w:rsid w:val="0094657B"/>
    <w:rsid w:val="0094692E"/>
    <w:rsid w:val="00950170"/>
    <w:rsid w:val="009508D0"/>
    <w:rsid w:val="00950A62"/>
    <w:rsid w:val="00950B8B"/>
    <w:rsid w:val="00951AB3"/>
    <w:rsid w:val="00953233"/>
    <w:rsid w:val="0095334F"/>
    <w:rsid w:val="0095370F"/>
    <w:rsid w:val="00953DFD"/>
    <w:rsid w:val="00953EDB"/>
    <w:rsid w:val="00953F3A"/>
    <w:rsid w:val="00954302"/>
    <w:rsid w:val="009543EB"/>
    <w:rsid w:val="00954611"/>
    <w:rsid w:val="00954630"/>
    <w:rsid w:val="009548B2"/>
    <w:rsid w:val="00955DE1"/>
    <w:rsid w:val="00956658"/>
    <w:rsid w:val="00956F70"/>
    <w:rsid w:val="00960B43"/>
    <w:rsid w:val="009611B7"/>
    <w:rsid w:val="00962100"/>
    <w:rsid w:val="009625F3"/>
    <w:rsid w:val="00962674"/>
    <w:rsid w:val="00962889"/>
    <w:rsid w:val="0096294E"/>
    <w:rsid w:val="00962A59"/>
    <w:rsid w:val="00963039"/>
    <w:rsid w:val="0096401D"/>
    <w:rsid w:val="00964358"/>
    <w:rsid w:val="0096473D"/>
    <w:rsid w:val="009648C1"/>
    <w:rsid w:val="00964B28"/>
    <w:rsid w:val="00965381"/>
    <w:rsid w:val="0096545A"/>
    <w:rsid w:val="00967F38"/>
    <w:rsid w:val="00967FC1"/>
    <w:rsid w:val="00970037"/>
    <w:rsid w:val="009701AB"/>
    <w:rsid w:val="00970359"/>
    <w:rsid w:val="00970E98"/>
    <w:rsid w:val="00972870"/>
    <w:rsid w:val="0097297F"/>
    <w:rsid w:val="00973078"/>
    <w:rsid w:val="00973F9B"/>
    <w:rsid w:val="00975583"/>
    <w:rsid w:val="00976C9F"/>
    <w:rsid w:val="00976DB8"/>
    <w:rsid w:val="00977130"/>
    <w:rsid w:val="00977483"/>
    <w:rsid w:val="0098030B"/>
    <w:rsid w:val="009808A4"/>
    <w:rsid w:val="009813C0"/>
    <w:rsid w:val="009819F7"/>
    <w:rsid w:val="0098299C"/>
    <w:rsid w:val="00982E8C"/>
    <w:rsid w:val="00983005"/>
    <w:rsid w:val="00983F8C"/>
    <w:rsid w:val="0098437D"/>
    <w:rsid w:val="00984633"/>
    <w:rsid w:val="00984AD1"/>
    <w:rsid w:val="009861CE"/>
    <w:rsid w:val="00986577"/>
    <w:rsid w:val="0098672D"/>
    <w:rsid w:val="00986FAC"/>
    <w:rsid w:val="00987302"/>
    <w:rsid w:val="0099068B"/>
    <w:rsid w:val="0099071F"/>
    <w:rsid w:val="00990A07"/>
    <w:rsid w:val="00990BF4"/>
    <w:rsid w:val="00990CE3"/>
    <w:rsid w:val="00990FE6"/>
    <w:rsid w:val="0099169B"/>
    <w:rsid w:val="00992FEC"/>
    <w:rsid w:val="0099309B"/>
    <w:rsid w:val="009936F3"/>
    <w:rsid w:val="00993EDC"/>
    <w:rsid w:val="009942D4"/>
    <w:rsid w:val="00994BAE"/>
    <w:rsid w:val="00994BF1"/>
    <w:rsid w:val="0099511C"/>
    <w:rsid w:val="0099553F"/>
    <w:rsid w:val="0099674A"/>
    <w:rsid w:val="00996F93"/>
    <w:rsid w:val="00997015"/>
    <w:rsid w:val="009971BB"/>
    <w:rsid w:val="00997482"/>
    <w:rsid w:val="0099758C"/>
    <w:rsid w:val="009975EB"/>
    <w:rsid w:val="00997AC8"/>
    <w:rsid w:val="00997D4B"/>
    <w:rsid w:val="009A018F"/>
    <w:rsid w:val="009A024C"/>
    <w:rsid w:val="009A0B3F"/>
    <w:rsid w:val="009A0CDF"/>
    <w:rsid w:val="009A0E98"/>
    <w:rsid w:val="009A11BE"/>
    <w:rsid w:val="009A2737"/>
    <w:rsid w:val="009A3329"/>
    <w:rsid w:val="009A373D"/>
    <w:rsid w:val="009A38D0"/>
    <w:rsid w:val="009A3F96"/>
    <w:rsid w:val="009A41E9"/>
    <w:rsid w:val="009A50E3"/>
    <w:rsid w:val="009A5560"/>
    <w:rsid w:val="009A6727"/>
    <w:rsid w:val="009A681F"/>
    <w:rsid w:val="009A75C9"/>
    <w:rsid w:val="009A7C67"/>
    <w:rsid w:val="009B02FA"/>
    <w:rsid w:val="009B0387"/>
    <w:rsid w:val="009B1021"/>
    <w:rsid w:val="009B12B4"/>
    <w:rsid w:val="009B1A61"/>
    <w:rsid w:val="009B20AE"/>
    <w:rsid w:val="009B2407"/>
    <w:rsid w:val="009B2B1C"/>
    <w:rsid w:val="009B2F15"/>
    <w:rsid w:val="009B38AB"/>
    <w:rsid w:val="009B3E2B"/>
    <w:rsid w:val="009B4A32"/>
    <w:rsid w:val="009B4AFF"/>
    <w:rsid w:val="009B4F91"/>
    <w:rsid w:val="009B55FD"/>
    <w:rsid w:val="009B5B0F"/>
    <w:rsid w:val="009B5F70"/>
    <w:rsid w:val="009B7DBE"/>
    <w:rsid w:val="009B7DFC"/>
    <w:rsid w:val="009C00CD"/>
    <w:rsid w:val="009C07B6"/>
    <w:rsid w:val="009C098A"/>
    <w:rsid w:val="009C16F8"/>
    <w:rsid w:val="009C21D6"/>
    <w:rsid w:val="009C21E1"/>
    <w:rsid w:val="009C312F"/>
    <w:rsid w:val="009C381E"/>
    <w:rsid w:val="009C3889"/>
    <w:rsid w:val="009C3E74"/>
    <w:rsid w:val="009C4027"/>
    <w:rsid w:val="009C4B9B"/>
    <w:rsid w:val="009C4F00"/>
    <w:rsid w:val="009C5DE1"/>
    <w:rsid w:val="009C69D4"/>
    <w:rsid w:val="009C6A73"/>
    <w:rsid w:val="009C6F92"/>
    <w:rsid w:val="009C7050"/>
    <w:rsid w:val="009C751D"/>
    <w:rsid w:val="009C7AD4"/>
    <w:rsid w:val="009C7C5A"/>
    <w:rsid w:val="009C7D65"/>
    <w:rsid w:val="009D0184"/>
    <w:rsid w:val="009D07DC"/>
    <w:rsid w:val="009D1A94"/>
    <w:rsid w:val="009D1E2F"/>
    <w:rsid w:val="009D20EA"/>
    <w:rsid w:val="009D299F"/>
    <w:rsid w:val="009D35DD"/>
    <w:rsid w:val="009D3AA3"/>
    <w:rsid w:val="009D3F77"/>
    <w:rsid w:val="009D3FD7"/>
    <w:rsid w:val="009D41D5"/>
    <w:rsid w:val="009D43C7"/>
    <w:rsid w:val="009D44FB"/>
    <w:rsid w:val="009D486F"/>
    <w:rsid w:val="009D509B"/>
    <w:rsid w:val="009D6BC9"/>
    <w:rsid w:val="009D757B"/>
    <w:rsid w:val="009E004B"/>
    <w:rsid w:val="009E13C1"/>
    <w:rsid w:val="009E15D7"/>
    <w:rsid w:val="009E2691"/>
    <w:rsid w:val="009E2A56"/>
    <w:rsid w:val="009E2DB0"/>
    <w:rsid w:val="009E3186"/>
    <w:rsid w:val="009E326E"/>
    <w:rsid w:val="009E3279"/>
    <w:rsid w:val="009E3331"/>
    <w:rsid w:val="009E3354"/>
    <w:rsid w:val="009E3B3F"/>
    <w:rsid w:val="009E3C3C"/>
    <w:rsid w:val="009E3CBD"/>
    <w:rsid w:val="009E3F41"/>
    <w:rsid w:val="009E5151"/>
    <w:rsid w:val="009E5AFA"/>
    <w:rsid w:val="009E5DBF"/>
    <w:rsid w:val="009E6933"/>
    <w:rsid w:val="009E703A"/>
    <w:rsid w:val="009E7250"/>
    <w:rsid w:val="009E7588"/>
    <w:rsid w:val="009F0AEE"/>
    <w:rsid w:val="009F11E2"/>
    <w:rsid w:val="009F1B30"/>
    <w:rsid w:val="009F1E7C"/>
    <w:rsid w:val="009F1F07"/>
    <w:rsid w:val="009F220B"/>
    <w:rsid w:val="009F2865"/>
    <w:rsid w:val="009F2ED7"/>
    <w:rsid w:val="009F3654"/>
    <w:rsid w:val="009F43CD"/>
    <w:rsid w:val="009F4627"/>
    <w:rsid w:val="009F4A11"/>
    <w:rsid w:val="009F4F7F"/>
    <w:rsid w:val="009F505A"/>
    <w:rsid w:val="009F57C1"/>
    <w:rsid w:val="009F5AE9"/>
    <w:rsid w:val="009F607B"/>
    <w:rsid w:val="009F649F"/>
    <w:rsid w:val="009F6AA4"/>
    <w:rsid w:val="009F6C28"/>
    <w:rsid w:val="009F7489"/>
    <w:rsid w:val="009F7B10"/>
    <w:rsid w:val="00A01400"/>
    <w:rsid w:val="00A016E9"/>
    <w:rsid w:val="00A0215E"/>
    <w:rsid w:val="00A030C5"/>
    <w:rsid w:val="00A03BB6"/>
    <w:rsid w:val="00A03FC0"/>
    <w:rsid w:val="00A04570"/>
    <w:rsid w:val="00A045E4"/>
    <w:rsid w:val="00A05753"/>
    <w:rsid w:val="00A05811"/>
    <w:rsid w:val="00A05D3E"/>
    <w:rsid w:val="00A06A40"/>
    <w:rsid w:val="00A06B7D"/>
    <w:rsid w:val="00A06C4F"/>
    <w:rsid w:val="00A075BD"/>
    <w:rsid w:val="00A1133D"/>
    <w:rsid w:val="00A1144A"/>
    <w:rsid w:val="00A12B4D"/>
    <w:rsid w:val="00A12C88"/>
    <w:rsid w:val="00A13FA6"/>
    <w:rsid w:val="00A14BB0"/>
    <w:rsid w:val="00A14EE6"/>
    <w:rsid w:val="00A151FB"/>
    <w:rsid w:val="00A157CF"/>
    <w:rsid w:val="00A168A0"/>
    <w:rsid w:val="00A16B87"/>
    <w:rsid w:val="00A2014E"/>
    <w:rsid w:val="00A20922"/>
    <w:rsid w:val="00A20996"/>
    <w:rsid w:val="00A209F1"/>
    <w:rsid w:val="00A20E97"/>
    <w:rsid w:val="00A214F8"/>
    <w:rsid w:val="00A21967"/>
    <w:rsid w:val="00A21DBB"/>
    <w:rsid w:val="00A227AA"/>
    <w:rsid w:val="00A23308"/>
    <w:rsid w:val="00A24341"/>
    <w:rsid w:val="00A243E3"/>
    <w:rsid w:val="00A25855"/>
    <w:rsid w:val="00A26D01"/>
    <w:rsid w:val="00A26E27"/>
    <w:rsid w:val="00A26FB8"/>
    <w:rsid w:val="00A30947"/>
    <w:rsid w:val="00A30B9E"/>
    <w:rsid w:val="00A316C0"/>
    <w:rsid w:val="00A32839"/>
    <w:rsid w:val="00A328E5"/>
    <w:rsid w:val="00A32C10"/>
    <w:rsid w:val="00A339E3"/>
    <w:rsid w:val="00A33A44"/>
    <w:rsid w:val="00A33A53"/>
    <w:rsid w:val="00A33F5B"/>
    <w:rsid w:val="00A3439E"/>
    <w:rsid w:val="00A34460"/>
    <w:rsid w:val="00A34800"/>
    <w:rsid w:val="00A34BA6"/>
    <w:rsid w:val="00A3516E"/>
    <w:rsid w:val="00A35F37"/>
    <w:rsid w:val="00A3607E"/>
    <w:rsid w:val="00A361AB"/>
    <w:rsid w:val="00A36A10"/>
    <w:rsid w:val="00A36CDE"/>
    <w:rsid w:val="00A37038"/>
    <w:rsid w:val="00A37BEC"/>
    <w:rsid w:val="00A4007B"/>
    <w:rsid w:val="00A4043D"/>
    <w:rsid w:val="00A4050F"/>
    <w:rsid w:val="00A409EB"/>
    <w:rsid w:val="00A40A14"/>
    <w:rsid w:val="00A40C31"/>
    <w:rsid w:val="00A40D3A"/>
    <w:rsid w:val="00A41AD2"/>
    <w:rsid w:val="00A42723"/>
    <w:rsid w:val="00A42945"/>
    <w:rsid w:val="00A42B78"/>
    <w:rsid w:val="00A4332C"/>
    <w:rsid w:val="00A44A19"/>
    <w:rsid w:val="00A44E87"/>
    <w:rsid w:val="00A44F01"/>
    <w:rsid w:val="00A451A8"/>
    <w:rsid w:val="00A458A0"/>
    <w:rsid w:val="00A45A52"/>
    <w:rsid w:val="00A45D36"/>
    <w:rsid w:val="00A4669D"/>
    <w:rsid w:val="00A46780"/>
    <w:rsid w:val="00A4766E"/>
    <w:rsid w:val="00A47F9F"/>
    <w:rsid w:val="00A505C7"/>
    <w:rsid w:val="00A50703"/>
    <w:rsid w:val="00A5086F"/>
    <w:rsid w:val="00A50E1A"/>
    <w:rsid w:val="00A51191"/>
    <w:rsid w:val="00A51D95"/>
    <w:rsid w:val="00A523E7"/>
    <w:rsid w:val="00A52452"/>
    <w:rsid w:val="00A52BB8"/>
    <w:rsid w:val="00A53456"/>
    <w:rsid w:val="00A542B6"/>
    <w:rsid w:val="00A5483D"/>
    <w:rsid w:val="00A54D41"/>
    <w:rsid w:val="00A553EC"/>
    <w:rsid w:val="00A55A22"/>
    <w:rsid w:val="00A5619B"/>
    <w:rsid w:val="00A5621A"/>
    <w:rsid w:val="00A56737"/>
    <w:rsid w:val="00A569FA"/>
    <w:rsid w:val="00A572B6"/>
    <w:rsid w:val="00A60161"/>
    <w:rsid w:val="00A603D8"/>
    <w:rsid w:val="00A61281"/>
    <w:rsid w:val="00A612B5"/>
    <w:rsid w:val="00A62656"/>
    <w:rsid w:val="00A62EA5"/>
    <w:rsid w:val="00A645DD"/>
    <w:rsid w:val="00A65470"/>
    <w:rsid w:val="00A66B5E"/>
    <w:rsid w:val="00A670C9"/>
    <w:rsid w:val="00A67233"/>
    <w:rsid w:val="00A67E0C"/>
    <w:rsid w:val="00A707B3"/>
    <w:rsid w:val="00A7231A"/>
    <w:rsid w:val="00A726B7"/>
    <w:rsid w:val="00A73694"/>
    <w:rsid w:val="00A73B73"/>
    <w:rsid w:val="00A74BBC"/>
    <w:rsid w:val="00A753BE"/>
    <w:rsid w:val="00A753CF"/>
    <w:rsid w:val="00A753D0"/>
    <w:rsid w:val="00A75B17"/>
    <w:rsid w:val="00A760DF"/>
    <w:rsid w:val="00A770D0"/>
    <w:rsid w:val="00A773A6"/>
    <w:rsid w:val="00A775D5"/>
    <w:rsid w:val="00A77695"/>
    <w:rsid w:val="00A77706"/>
    <w:rsid w:val="00A809C2"/>
    <w:rsid w:val="00A80EF7"/>
    <w:rsid w:val="00A81705"/>
    <w:rsid w:val="00A81732"/>
    <w:rsid w:val="00A81766"/>
    <w:rsid w:val="00A81E22"/>
    <w:rsid w:val="00A81F07"/>
    <w:rsid w:val="00A8216A"/>
    <w:rsid w:val="00A82184"/>
    <w:rsid w:val="00A82534"/>
    <w:rsid w:val="00A8274E"/>
    <w:rsid w:val="00A84C4C"/>
    <w:rsid w:val="00A85E26"/>
    <w:rsid w:val="00A8630A"/>
    <w:rsid w:val="00A90529"/>
    <w:rsid w:val="00A91563"/>
    <w:rsid w:val="00A916CF"/>
    <w:rsid w:val="00A92A7A"/>
    <w:rsid w:val="00A92BEA"/>
    <w:rsid w:val="00A93202"/>
    <w:rsid w:val="00A932D6"/>
    <w:rsid w:val="00A93C36"/>
    <w:rsid w:val="00A94892"/>
    <w:rsid w:val="00A94C08"/>
    <w:rsid w:val="00A95226"/>
    <w:rsid w:val="00A955FD"/>
    <w:rsid w:val="00A9591C"/>
    <w:rsid w:val="00A95923"/>
    <w:rsid w:val="00A973F5"/>
    <w:rsid w:val="00A97640"/>
    <w:rsid w:val="00A97995"/>
    <w:rsid w:val="00A979B7"/>
    <w:rsid w:val="00AA0108"/>
    <w:rsid w:val="00AA04D2"/>
    <w:rsid w:val="00AA058E"/>
    <w:rsid w:val="00AA1F0D"/>
    <w:rsid w:val="00AA22E8"/>
    <w:rsid w:val="00AA46A2"/>
    <w:rsid w:val="00AA4880"/>
    <w:rsid w:val="00AA51FE"/>
    <w:rsid w:val="00AA5BC5"/>
    <w:rsid w:val="00AA5E3F"/>
    <w:rsid w:val="00AA61CE"/>
    <w:rsid w:val="00AA62C7"/>
    <w:rsid w:val="00AA7B07"/>
    <w:rsid w:val="00AA7E09"/>
    <w:rsid w:val="00AB090F"/>
    <w:rsid w:val="00AB1EF5"/>
    <w:rsid w:val="00AB25E2"/>
    <w:rsid w:val="00AB29BA"/>
    <w:rsid w:val="00AB2F04"/>
    <w:rsid w:val="00AB2FD6"/>
    <w:rsid w:val="00AB3531"/>
    <w:rsid w:val="00AB36D2"/>
    <w:rsid w:val="00AB3BB4"/>
    <w:rsid w:val="00AB3F4E"/>
    <w:rsid w:val="00AB4047"/>
    <w:rsid w:val="00AB42D7"/>
    <w:rsid w:val="00AB569C"/>
    <w:rsid w:val="00AB5FD7"/>
    <w:rsid w:val="00AB6057"/>
    <w:rsid w:val="00AB6730"/>
    <w:rsid w:val="00AB711C"/>
    <w:rsid w:val="00AC01DF"/>
    <w:rsid w:val="00AC0C0B"/>
    <w:rsid w:val="00AC123D"/>
    <w:rsid w:val="00AC1276"/>
    <w:rsid w:val="00AC1D5B"/>
    <w:rsid w:val="00AC291F"/>
    <w:rsid w:val="00AC3AA6"/>
    <w:rsid w:val="00AC437C"/>
    <w:rsid w:val="00AC57FA"/>
    <w:rsid w:val="00AC6011"/>
    <w:rsid w:val="00AC60E7"/>
    <w:rsid w:val="00AC6B0D"/>
    <w:rsid w:val="00AD04DF"/>
    <w:rsid w:val="00AD0B3B"/>
    <w:rsid w:val="00AD1076"/>
    <w:rsid w:val="00AD1953"/>
    <w:rsid w:val="00AD2194"/>
    <w:rsid w:val="00AD3429"/>
    <w:rsid w:val="00AD3889"/>
    <w:rsid w:val="00AD3ABF"/>
    <w:rsid w:val="00AD3CC8"/>
    <w:rsid w:val="00AD3ED4"/>
    <w:rsid w:val="00AD3FC1"/>
    <w:rsid w:val="00AD44FE"/>
    <w:rsid w:val="00AD4995"/>
    <w:rsid w:val="00AD4D20"/>
    <w:rsid w:val="00AD4D22"/>
    <w:rsid w:val="00AD590B"/>
    <w:rsid w:val="00AD6120"/>
    <w:rsid w:val="00AD6A2D"/>
    <w:rsid w:val="00AD6CC6"/>
    <w:rsid w:val="00AD7178"/>
    <w:rsid w:val="00AE111C"/>
    <w:rsid w:val="00AE143E"/>
    <w:rsid w:val="00AE1DA6"/>
    <w:rsid w:val="00AE1E79"/>
    <w:rsid w:val="00AE1E86"/>
    <w:rsid w:val="00AE1F3A"/>
    <w:rsid w:val="00AE258C"/>
    <w:rsid w:val="00AE2C24"/>
    <w:rsid w:val="00AE38BC"/>
    <w:rsid w:val="00AE3BBF"/>
    <w:rsid w:val="00AE48D6"/>
    <w:rsid w:val="00AE4AB9"/>
    <w:rsid w:val="00AE4ED0"/>
    <w:rsid w:val="00AE4F80"/>
    <w:rsid w:val="00AE5C21"/>
    <w:rsid w:val="00AE621E"/>
    <w:rsid w:val="00AE7C16"/>
    <w:rsid w:val="00AF0024"/>
    <w:rsid w:val="00AF1D89"/>
    <w:rsid w:val="00AF2243"/>
    <w:rsid w:val="00AF2AA2"/>
    <w:rsid w:val="00AF300D"/>
    <w:rsid w:val="00AF3754"/>
    <w:rsid w:val="00AF4787"/>
    <w:rsid w:val="00AF47B3"/>
    <w:rsid w:val="00AF4CFC"/>
    <w:rsid w:val="00AF4E65"/>
    <w:rsid w:val="00AF55F9"/>
    <w:rsid w:val="00AF5869"/>
    <w:rsid w:val="00AF64AD"/>
    <w:rsid w:val="00AF74AE"/>
    <w:rsid w:val="00AF7ADD"/>
    <w:rsid w:val="00AF7EBE"/>
    <w:rsid w:val="00B000A8"/>
    <w:rsid w:val="00B0076D"/>
    <w:rsid w:val="00B007D3"/>
    <w:rsid w:val="00B0266A"/>
    <w:rsid w:val="00B02BAB"/>
    <w:rsid w:val="00B03640"/>
    <w:rsid w:val="00B037E1"/>
    <w:rsid w:val="00B03E27"/>
    <w:rsid w:val="00B05BBB"/>
    <w:rsid w:val="00B06190"/>
    <w:rsid w:val="00B06D0A"/>
    <w:rsid w:val="00B074BD"/>
    <w:rsid w:val="00B07C9E"/>
    <w:rsid w:val="00B10839"/>
    <w:rsid w:val="00B10AB2"/>
    <w:rsid w:val="00B1103A"/>
    <w:rsid w:val="00B11081"/>
    <w:rsid w:val="00B11917"/>
    <w:rsid w:val="00B11B68"/>
    <w:rsid w:val="00B11D6E"/>
    <w:rsid w:val="00B1213F"/>
    <w:rsid w:val="00B12252"/>
    <w:rsid w:val="00B13349"/>
    <w:rsid w:val="00B136A9"/>
    <w:rsid w:val="00B14E75"/>
    <w:rsid w:val="00B156AB"/>
    <w:rsid w:val="00B16197"/>
    <w:rsid w:val="00B16449"/>
    <w:rsid w:val="00B16C00"/>
    <w:rsid w:val="00B16DC2"/>
    <w:rsid w:val="00B16E6E"/>
    <w:rsid w:val="00B17649"/>
    <w:rsid w:val="00B203B2"/>
    <w:rsid w:val="00B2063D"/>
    <w:rsid w:val="00B20704"/>
    <w:rsid w:val="00B2118A"/>
    <w:rsid w:val="00B214CF"/>
    <w:rsid w:val="00B222C3"/>
    <w:rsid w:val="00B234F4"/>
    <w:rsid w:val="00B23524"/>
    <w:rsid w:val="00B23786"/>
    <w:rsid w:val="00B23847"/>
    <w:rsid w:val="00B24212"/>
    <w:rsid w:val="00B24421"/>
    <w:rsid w:val="00B247CF"/>
    <w:rsid w:val="00B24955"/>
    <w:rsid w:val="00B25584"/>
    <w:rsid w:val="00B2583F"/>
    <w:rsid w:val="00B26324"/>
    <w:rsid w:val="00B2697D"/>
    <w:rsid w:val="00B26A06"/>
    <w:rsid w:val="00B306AA"/>
    <w:rsid w:val="00B3123E"/>
    <w:rsid w:val="00B318A9"/>
    <w:rsid w:val="00B32948"/>
    <w:rsid w:val="00B329A2"/>
    <w:rsid w:val="00B32E8D"/>
    <w:rsid w:val="00B3385B"/>
    <w:rsid w:val="00B339B6"/>
    <w:rsid w:val="00B3427C"/>
    <w:rsid w:val="00B34885"/>
    <w:rsid w:val="00B352A9"/>
    <w:rsid w:val="00B35446"/>
    <w:rsid w:val="00B36178"/>
    <w:rsid w:val="00B363FC"/>
    <w:rsid w:val="00B36AB1"/>
    <w:rsid w:val="00B40209"/>
    <w:rsid w:val="00B40DF2"/>
    <w:rsid w:val="00B40F06"/>
    <w:rsid w:val="00B40F84"/>
    <w:rsid w:val="00B42B8B"/>
    <w:rsid w:val="00B42C33"/>
    <w:rsid w:val="00B42F22"/>
    <w:rsid w:val="00B42FA4"/>
    <w:rsid w:val="00B436ED"/>
    <w:rsid w:val="00B43919"/>
    <w:rsid w:val="00B43FF2"/>
    <w:rsid w:val="00B44B24"/>
    <w:rsid w:val="00B44D33"/>
    <w:rsid w:val="00B44E8B"/>
    <w:rsid w:val="00B4603C"/>
    <w:rsid w:val="00B461AC"/>
    <w:rsid w:val="00B46807"/>
    <w:rsid w:val="00B46903"/>
    <w:rsid w:val="00B47A40"/>
    <w:rsid w:val="00B502EB"/>
    <w:rsid w:val="00B50536"/>
    <w:rsid w:val="00B50CAB"/>
    <w:rsid w:val="00B50EA2"/>
    <w:rsid w:val="00B51083"/>
    <w:rsid w:val="00B51287"/>
    <w:rsid w:val="00B5143F"/>
    <w:rsid w:val="00B51C01"/>
    <w:rsid w:val="00B51C83"/>
    <w:rsid w:val="00B520AD"/>
    <w:rsid w:val="00B5214A"/>
    <w:rsid w:val="00B52249"/>
    <w:rsid w:val="00B52413"/>
    <w:rsid w:val="00B525B8"/>
    <w:rsid w:val="00B52A50"/>
    <w:rsid w:val="00B534A3"/>
    <w:rsid w:val="00B53C32"/>
    <w:rsid w:val="00B54855"/>
    <w:rsid w:val="00B549BF"/>
    <w:rsid w:val="00B54CED"/>
    <w:rsid w:val="00B556D7"/>
    <w:rsid w:val="00B559ED"/>
    <w:rsid w:val="00B567AF"/>
    <w:rsid w:val="00B5760D"/>
    <w:rsid w:val="00B57A45"/>
    <w:rsid w:val="00B6033F"/>
    <w:rsid w:val="00B60907"/>
    <w:rsid w:val="00B61918"/>
    <w:rsid w:val="00B621B0"/>
    <w:rsid w:val="00B6225D"/>
    <w:rsid w:val="00B62276"/>
    <w:rsid w:val="00B6231C"/>
    <w:rsid w:val="00B6269B"/>
    <w:rsid w:val="00B62776"/>
    <w:rsid w:val="00B641E8"/>
    <w:rsid w:val="00B6471A"/>
    <w:rsid w:val="00B64743"/>
    <w:rsid w:val="00B64CBD"/>
    <w:rsid w:val="00B64D75"/>
    <w:rsid w:val="00B64E58"/>
    <w:rsid w:val="00B65C0D"/>
    <w:rsid w:val="00B65EA6"/>
    <w:rsid w:val="00B66AA2"/>
    <w:rsid w:val="00B72303"/>
    <w:rsid w:val="00B73860"/>
    <w:rsid w:val="00B73F01"/>
    <w:rsid w:val="00B74142"/>
    <w:rsid w:val="00B74146"/>
    <w:rsid w:val="00B7491B"/>
    <w:rsid w:val="00B760A4"/>
    <w:rsid w:val="00B766E6"/>
    <w:rsid w:val="00B76A1F"/>
    <w:rsid w:val="00B76FFF"/>
    <w:rsid w:val="00B77C87"/>
    <w:rsid w:val="00B8090B"/>
    <w:rsid w:val="00B80A6E"/>
    <w:rsid w:val="00B80CEE"/>
    <w:rsid w:val="00B813B3"/>
    <w:rsid w:val="00B81625"/>
    <w:rsid w:val="00B81AE6"/>
    <w:rsid w:val="00B82354"/>
    <w:rsid w:val="00B82CF0"/>
    <w:rsid w:val="00B82E20"/>
    <w:rsid w:val="00B842D3"/>
    <w:rsid w:val="00B85BC0"/>
    <w:rsid w:val="00B85D5D"/>
    <w:rsid w:val="00B862EC"/>
    <w:rsid w:val="00B8634B"/>
    <w:rsid w:val="00B86987"/>
    <w:rsid w:val="00B875FE"/>
    <w:rsid w:val="00B879E0"/>
    <w:rsid w:val="00B87E42"/>
    <w:rsid w:val="00B902C1"/>
    <w:rsid w:val="00B90FB3"/>
    <w:rsid w:val="00B91482"/>
    <w:rsid w:val="00B91DA8"/>
    <w:rsid w:val="00B92227"/>
    <w:rsid w:val="00B925B7"/>
    <w:rsid w:val="00B92F1A"/>
    <w:rsid w:val="00B931E9"/>
    <w:rsid w:val="00B93FE6"/>
    <w:rsid w:val="00B9400F"/>
    <w:rsid w:val="00B9454A"/>
    <w:rsid w:val="00B945D2"/>
    <w:rsid w:val="00B95F57"/>
    <w:rsid w:val="00B974B3"/>
    <w:rsid w:val="00B97A7F"/>
    <w:rsid w:val="00B97C71"/>
    <w:rsid w:val="00B97CAA"/>
    <w:rsid w:val="00BA0A0B"/>
    <w:rsid w:val="00BA0F1F"/>
    <w:rsid w:val="00BA13D2"/>
    <w:rsid w:val="00BA15EE"/>
    <w:rsid w:val="00BA201B"/>
    <w:rsid w:val="00BA2C6B"/>
    <w:rsid w:val="00BA2CE8"/>
    <w:rsid w:val="00BA30E2"/>
    <w:rsid w:val="00BA3101"/>
    <w:rsid w:val="00BA331F"/>
    <w:rsid w:val="00BA4502"/>
    <w:rsid w:val="00BA46DE"/>
    <w:rsid w:val="00BA4906"/>
    <w:rsid w:val="00BA4AEC"/>
    <w:rsid w:val="00BA50F7"/>
    <w:rsid w:val="00BA5605"/>
    <w:rsid w:val="00BA6408"/>
    <w:rsid w:val="00BA662D"/>
    <w:rsid w:val="00BA6C14"/>
    <w:rsid w:val="00BA6DA6"/>
    <w:rsid w:val="00BA6DBB"/>
    <w:rsid w:val="00BA7163"/>
    <w:rsid w:val="00BA765F"/>
    <w:rsid w:val="00BA7B3F"/>
    <w:rsid w:val="00BB0244"/>
    <w:rsid w:val="00BB0672"/>
    <w:rsid w:val="00BB0BE4"/>
    <w:rsid w:val="00BB0C41"/>
    <w:rsid w:val="00BB2104"/>
    <w:rsid w:val="00BB2C6E"/>
    <w:rsid w:val="00BB35D1"/>
    <w:rsid w:val="00BB3AB8"/>
    <w:rsid w:val="00BB44F7"/>
    <w:rsid w:val="00BB4872"/>
    <w:rsid w:val="00BB4949"/>
    <w:rsid w:val="00BB56FF"/>
    <w:rsid w:val="00BB5ACA"/>
    <w:rsid w:val="00BB6049"/>
    <w:rsid w:val="00BB645B"/>
    <w:rsid w:val="00BB6509"/>
    <w:rsid w:val="00BB6E5F"/>
    <w:rsid w:val="00BC097A"/>
    <w:rsid w:val="00BC0AA9"/>
    <w:rsid w:val="00BC15AA"/>
    <w:rsid w:val="00BC2A90"/>
    <w:rsid w:val="00BC329D"/>
    <w:rsid w:val="00BC3600"/>
    <w:rsid w:val="00BC463C"/>
    <w:rsid w:val="00BC5D27"/>
    <w:rsid w:val="00BC5E68"/>
    <w:rsid w:val="00BC5FC5"/>
    <w:rsid w:val="00BC61A2"/>
    <w:rsid w:val="00BC6F49"/>
    <w:rsid w:val="00BC706B"/>
    <w:rsid w:val="00BC76E2"/>
    <w:rsid w:val="00BC7D49"/>
    <w:rsid w:val="00BC7EC4"/>
    <w:rsid w:val="00BD0F08"/>
    <w:rsid w:val="00BD147B"/>
    <w:rsid w:val="00BD1A61"/>
    <w:rsid w:val="00BD24DE"/>
    <w:rsid w:val="00BD29E7"/>
    <w:rsid w:val="00BD2B17"/>
    <w:rsid w:val="00BD300C"/>
    <w:rsid w:val="00BD3F47"/>
    <w:rsid w:val="00BD4192"/>
    <w:rsid w:val="00BD5218"/>
    <w:rsid w:val="00BD5809"/>
    <w:rsid w:val="00BD5A43"/>
    <w:rsid w:val="00BD5BA3"/>
    <w:rsid w:val="00BD6251"/>
    <w:rsid w:val="00BD66AB"/>
    <w:rsid w:val="00BD6844"/>
    <w:rsid w:val="00BD7B51"/>
    <w:rsid w:val="00BE028B"/>
    <w:rsid w:val="00BE0601"/>
    <w:rsid w:val="00BE132A"/>
    <w:rsid w:val="00BE204A"/>
    <w:rsid w:val="00BE2325"/>
    <w:rsid w:val="00BE23FE"/>
    <w:rsid w:val="00BE27B2"/>
    <w:rsid w:val="00BE4527"/>
    <w:rsid w:val="00BE4FAE"/>
    <w:rsid w:val="00BE5CD5"/>
    <w:rsid w:val="00BE6D93"/>
    <w:rsid w:val="00BE7748"/>
    <w:rsid w:val="00BF0662"/>
    <w:rsid w:val="00BF0A5F"/>
    <w:rsid w:val="00BF1529"/>
    <w:rsid w:val="00BF15ED"/>
    <w:rsid w:val="00BF1C67"/>
    <w:rsid w:val="00BF2BB6"/>
    <w:rsid w:val="00BF31C1"/>
    <w:rsid w:val="00BF459E"/>
    <w:rsid w:val="00BF4807"/>
    <w:rsid w:val="00BF543F"/>
    <w:rsid w:val="00BF5606"/>
    <w:rsid w:val="00BF5738"/>
    <w:rsid w:val="00BF57C9"/>
    <w:rsid w:val="00BF5A55"/>
    <w:rsid w:val="00BF6C2B"/>
    <w:rsid w:val="00BF7A14"/>
    <w:rsid w:val="00C007A3"/>
    <w:rsid w:val="00C00F39"/>
    <w:rsid w:val="00C01BA6"/>
    <w:rsid w:val="00C01C55"/>
    <w:rsid w:val="00C023DA"/>
    <w:rsid w:val="00C02620"/>
    <w:rsid w:val="00C03B2E"/>
    <w:rsid w:val="00C03DFF"/>
    <w:rsid w:val="00C05DC9"/>
    <w:rsid w:val="00C064B2"/>
    <w:rsid w:val="00C06639"/>
    <w:rsid w:val="00C103DB"/>
    <w:rsid w:val="00C10B50"/>
    <w:rsid w:val="00C10BBE"/>
    <w:rsid w:val="00C110BE"/>
    <w:rsid w:val="00C123C7"/>
    <w:rsid w:val="00C1297B"/>
    <w:rsid w:val="00C12F09"/>
    <w:rsid w:val="00C13074"/>
    <w:rsid w:val="00C130F6"/>
    <w:rsid w:val="00C1341B"/>
    <w:rsid w:val="00C13578"/>
    <w:rsid w:val="00C1380A"/>
    <w:rsid w:val="00C13835"/>
    <w:rsid w:val="00C13C33"/>
    <w:rsid w:val="00C13E1D"/>
    <w:rsid w:val="00C14511"/>
    <w:rsid w:val="00C14699"/>
    <w:rsid w:val="00C149AD"/>
    <w:rsid w:val="00C157AA"/>
    <w:rsid w:val="00C15941"/>
    <w:rsid w:val="00C16FED"/>
    <w:rsid w:val="00C1798C"/>
    <w:rsid w:val="00C17B00"/>
    <w:rsid w:val="00C20D47"/>
    <w:rsid w:val="00C20DAD"/>
    <w:rsid w:val="00C214FD"/>
    <w:rsid w:val="00C21AEF"/>
    <w:rsid w:val="00C21DAC"/>
    <w:rsid w:val="00C226AD"/>
    <w:rsid w:val="00C2280E"/>
    <w:rsid w:val="00C22E29"/>
    <w:rsid w:val="00C22E30"/>
    <w:rsid w:val="00C23468"/>
    <w:rsid w:val="00C237A2"/>
    <w:rsid w:val="00C23829"/>
    <w:rsid w:val="00C23B06"/>
    <w:rsid w:val="00C24B7F"/>
    <w:rsid w:val="00C24DA7"/>
    <w:rsid w:val="00C251CA"/>
    <w:rsid w:val="00C251FC"/>
    <w:rsid w:val="00C259B9"/>
    <w:rsid w:val="00C26050"/>
    <w:rsid w:val="00C261E3"/>
    <w:rsid w:val="00C26373"/>
    <w:rsid w:val="00C263BF"/>
    <w:rsid w:val="00C27D17"/>
    <w:rsid w:val="00C27D30"/>
    <w:rsid w:val="00C27E73"/>
    <w:rsid w:val="00C30222"/>
    <w:rsid w:val="00C30561"/>
    <w:rsid w:val="00C30B26"/>
    <w:rsid w:val="00C30C75"/>
    <w:rsid w:val="00C31FC0"/>
    <w:rsid w:val="00C3218A"/>
    <w:rsid w:val="00C32241"/>
    <w:rsid w:val="00C32356"/>
    <w:rsid w:val="00C32676"/>
    <w:rsid w:val="00C329D3"/>
    <w:rsid w:val="00C32B80"/>
    <w:rsid w:val="00C33311"/>
    <w:rsid w:val="00C341F9"/>
    <w:rsid w:val="00C345AE"/>
    <w:rsid w:val="00C348A1"/>
    <w:rsid w:val="00C34E5C"/>
    <w:rsid w:val="00C3513E"/>
    <w:rsid w:val="00C35A68"/>
    <w:rsid w:val="00C36237"/>
    <w:rsid w:val="00C37243"/>
    <w:rsid w:val="00C37E4B"/>
    <w:rsid w:val="00C40116"/>
    <w:rsid w:val="00C4050B"/>
    <w:rsid w:val="00C40D04"/>
    <w:rsid w:val="00C419AC"/>
    <w:rsid w:val="00C419F2"/>
    <w:rsid w:val="00C41DFB"/>
    <w:rsid w:val="00C42080"/>
    <w:rsid w:val="00C424E5"/>
    <w:rsid w:val="00C429F7"/>
    <w:rsid w:val="00C43FD7"/>
    <w:rsid w:val="00C4494D"/>
    <w:rsid w:val="00C44F77"/>
    <w:rsid w:val="00C45B2A"/>
    <w:rsid w:val="00C460F1"/>
    <w:rsid w:val="00C468C9"/>
    <w:rsid w:val="00C46CD4"/>
    <w:rsid w:val="00C47104"/>
    <w:rsid w:val="00C50EFC"/>
    <w:rsid w:val="00C5108A"/>
    <w:rsid w:val="00C5171A"/>
    <w:rsid w:val="00C51944"/>
    <w:rsid w:val="00C520D3"/>
    <w:rsid w:val="00C527E8"/>
    <w:rsid w:val="00C52ADB"/>
    <w:rsid w:val="00C52F18"/>
    <w:rsid w:val="00C538B5"/>
    <w:rsid w:val="00C53B48"/>
    <w:rsid w:val="00C53E59"/>
    <w:rsid w:val="00C54454"/>
    <w:rsid w:val="00C54459"/>
    <w:rsid w:val="00C5523F"/>
    <w:rsid w:val="00C55E80"/>
    <w:rsid w:val="00C56444"/>
    <w:rsid w:val="00C56661"/>
    <w:rsid w:val="00C569D9"/>
    <w:rsid w:val="00C56BF9"/>
    <w:rsid w:val="00C571C5"/>
    <w:rsid w:val="00C5725D"/>
    <w:rsid w:val="00C572FD"/>
    <w:rsid w:val="00C57366"/>
    <w:rsid w:val="00C5750D"/>
    <w:rsid w:val="00C577E9"/>
    <w:rsid w:val="00C578B9"/>
    <w:rsid w:val="00C60005"/>
    <w:rsid w:val="00C6035A"/>
    <w:rsid w:val="00C60693"/>
    <w:rsid w:val="00C6143B"/>
    <w:rsid w:val="00C618FC"/>
    <w:rsid w:val="00C61945"/>
    <w:rsid w:val="00C61BD2"/>
    <w:rsid w:val="00C61D3A"/>
    <w:rsid w:val="00C63228"/>
    <w:rsid w:val="00C635EE"/>
    <w:rsid w:val="00C63FC0"/>
    <w:rsid w:val="00C64A91"/>
    <w:rsid w:val="00C657B6"/>
    <w:rsid w:val="00C65F64"/>
    <w:rsid w:val="00C668B7"/>
    <w:rsid w:val="00C66FA0"/>
    <w:rsid w:val="00C67961"/>
    <w:rsid w:val="00C67EAA"/>
    <w:rsid w:val="00C70211"/>
    <w:rsid w:val="00C703AF"/>
    <w:rsid w:val="00C70464"/>
    <w:rsid w:val="00C70F52"/>
    <w:rsid w:val="00C71FA5"/>
    <w:rsid w:val="00C72129"/>
    <w:rsid w:val="00C721CA"/>
    <w:rsid w:val="00C72982"/>
    <w:rsid w:val="00C7512B"/>
    <w:rsid w:val="00C751C3"/>
    <w:rsid w:val="00C75995"/>
    <w:rsid w:val="00C766C3"/>
    <w:rsid w:val="00C76755"/>
    <w:rsid w:val="00C76E3F"/>
    <w:rsid w:val="00C802A4"/>
    <w:rsid w:val="00C805D8"/>
    <w:rsid w:val="00C81A1C"/>
    <w:rsid w:val="00C81EC6"/>
    <w:rsid w:val="00C8422D"/>
    <w:rsid w:val="00C8423C"/>
    <w:rsid w:val="00C84A1B"/>
    <w:rsid w:val="00C86612"/>
    <w:rsid w:val="00C8688A"/>
    <w:rsid w:val="00C87CDE"/>
    <w:rsid w:val="00C90370"/>
    <w:rsid w:val="00C90B15"/>
    <w:rsid w:val="00C90E36"/>
    <w:rsid w:val="00C9144F"/>
    <w:rsid w:val="00C91AC8"/>
    <w:rsid w:val="00C91C38"/>
    <w:rsid w:val="00C91EC2"/>
    <w:rsid w:val="00C91EF4"/>
    <w:rsid w:val="00C92157"/>
    <w:rsid w:val="00C92813"/>
    <w:rsid w:val="00C92AAD"/>
    <w:rsid w:val="00C92DCE"/>
    <w:rsid w:val="00C9375E"/>
    <w:rsid w:val="00C939FA"/>
    <w:rsid w:val="00C93C73"/>
    <w:rsid w:val="00C94A0E"/>
    <w:rsid w:val="00C953E0"/>
    <w:rsid w:val="00C95425"/>
    <w:rsid w:val="00C9696A"/>
    <w:rsid w:val="00C96B9D"/>
    <w:rsid w:val="00C96C92"/>
    <w:rsid w:val="00C97221"/>
    <w:rsid w:val="00C97C08"/>
    <w:rsid w:val="00CA0327"/>
    <w:rsid w:val="00CA034B"/>
    <w:rsid w:val="00CA154B"/>
    <w:rsid w:val="00CA176D"/>
    <w:rsid w:val="00CA2B90"/>
    <w:rsid w:val="00CA30C0"/>
    <w:rsid w:val="00CA3575"/>
    <w:rsid w:val="00CA4AB5"/>
    <w:rsid w:val="00CA4E15"/>
    <w:rsid w:val="00CA4FB1"/>
    <w:rsid w:val="00CA5053"/>
    <w:rsid w:val="00CA55D0"/>
    <w:rsid w:val="00CA5988"/>
    <w:rsid w:val="00CA5EAE"/>
    <w:rsid w:val="00CA6AB2"/>
    <w:rsid w:val="00CA6DB6"/>
    <w:rsid w:val="00CA7D24"/>
    <w:rsid w:val="00CB0011"/>
    <w:rsid w:val="00CB00A8"/>
    <w:rsid w:val="00CB06E9"/>
    <w:rsid w:val="00CB0E26"/>
    <w:rsid w:val="00CB16F9"/>
    <w:rsid w:val="00CB19BE"/>
    <w:rsid w:val="00CB21DF"/>
    <w:rsid w:val="00CB28DD"/>
    <w:rsid w:val="00CB29FB"/>
    <w:rsid w:val="00CB2BCA"/>
    <w:rsid w:val="00CB2C9B"/>
    <w:rsid w:val="00CB3D2C"/>
    <w:rsid w:val="00CB3F09"/>
    <w:rsid w:val="00CB48D3"/>
    <w:rsid w:val="00CB4FC5"/>
    <w:rsid w:val="00CB5432"/>
    <w:rsid w:val="00CB591F"/>
    <w:rsid w:val="00CB66A1"/>
    <w:rsid w:val="00CB7246"/>
    <w:rsid w:val="00CB78DC"/>
    <w:rsid w:val="00CC0827"/>
    <w:rsid w:val="00CC0ADA"/>
    <w:rsid w:val="00CC1689"/>
    <w:rsid w:val="00CC20C8"/>
    <w:rsid w:val="00CC2DA5"/>
    <w:rsid w:val="00CC2EB4"/>
    <w:rsid w:val="00CC30F4"/>
    <w:rsid w:val="00CC439C"/>
    <w:rsid w:val="00CC452E"/>
    <w:rsid w:val="00CC4C00"/>
    <w:rsid w:val="00CC50B3"/>
    <w:rsid w:val="00CC567B"/>
    <w:rsid w:val="00CC602F"/>
    <w:rsid w:val="00CC626D"/>
    <w:rsid w:val="00CC65E4"/>
    <w:rsid w:val="00CC666D"/>
    <w:rsid w:val="00CC66CB"/>
    <w:rsid w:val="00CC6AC5"/>
    <w:rsid w:val="00CC7F24"/>
    <w:rsid w:val="00CD0312"/>
    <w:rsid w:val="00CD04B3"/>
    <w:rsid w:val="00CD0636"/>
    <w:rsid w:val="00CD08AD"/>
    <w:rsid w:val="00CD0C55"/>
    <w:rsid w:val="00CD19AC"/>
    <w:rsid w:val="00CD1FDD"/>
    <w:rsid w:val="00CD21BA"/>
    <w:rsid w:val="00CD37D7"/>
    <w:rsid w:val="00CD3A78"/>
    <w:rsid w:val="00CD3FE4"/>
    <w:rsid w:val="00CD40C4"/>
    <w:rsid w:val="00CD42B7"/>
    <w:rsid w:val="00CD4849"/>
    <w:rsid w:val="00CD50D9"/>
    <w:rsid w:val="00CD5B3F"/>
    <w:rsid w:val="00CD7272"/>
    <w:rsid w:val="00CD75D2"/>
    <w:rsid w:val="00CD76B0"/>
    <w:rsid w:val="00CD7912"/>
    <w:rsid w:val="00CD7C00"/>
    <w:rsid w:val="00CD7E6A"/>
    <w:rsid w:val="00CE09E2"/>
    <w:rsid w:val="00CE0A04"/>
    <w:rsid w:val="00CE0A2E"/>
    <w:rsid w:val="00CE1C13"/>
    <w:rsid w:val="00CE1F11"/>
    <w:rsid w:val="00CE1FF2"/>
    <w:rsid w:val="00CE216A"/>
    <w:rsid w:val="00CE2633"/>
    <w:rsid w:val="00CE2A85"/>
    <w:rsid w:val="00CE575B"/>
    <w:rsid w:val="00CE5F56"/>
    <w:rsid w:val="00CE6D67"/>
    <w:rsid w:val="00CE6F9F"/>
    <w:rsid w:val="00CE6FB7"/>
    <w:rsid w:val="00CE70C5"/>
    <w:rsid w:val="00CE70D3"/>
    <w:rsid w:val="00CE78AE"/>
    <w:rsid w:val="00CF016B"/>
    <w:rsid w:val="00CF0367"/>
    <w:rsid w:val="00CF1E48"/>
    <w:rsid w:val="00CF3135"/>
    <w:rsid w:val="00CF3232"/>
    <w:rsid w:val="00CF3710"/>
    <w:rsid w:val="00CF3D65"/>
    <w:rsid w:val="00CF4ECB"/>
    <w:rsid w:val="00CF538D"/>
    <w:rsid w:val="00CF59CF"/>
    <w:rsid w:val="00CF6758"/>
    <w:rsid w:val="00CF680D"/>
    <w:rsid w:val="00CF7812"/>
    <w:rsid w:val="00D01460"/>
    <w:rsid w:val="00D01F86"/>
    <w:rsid w:val="00D02240"/>
    <w:rsid w:val="00D02652"/>
    <w:rsid w:val="00D02B91"/>
    <w:rsid w:val="00D02D82"/>
    <w:rsid w:val="00D02DD2"/>
    <w:rsid w:val="00D030DA"/>
    <w:rsid w:val="00D03723"/>
    <w:rsid w:val="00D04391"/>
    <w:rsid w:val="00D0443F"/>
    <w:rsid w:val="00D04755"/>
    <w:rsid w:val="00D0588D"/>
    <w:rsid w:val="00D064F9"/>
    <w:rsid w:val="00D0679E"/>
    <w:rsid w:val="00D068B9"/>
    <w:rsid w:val="00D07A53"/>
    <w:rsid w:val="00D07CBE"/>
    <w:rsid w:val="00D07FA7"/>
    <w:rsid w:val="00D10D5F"/>
    <w:rsid w:val="00D113C6"/>
    <w:rsid w:val="00D123F3"/>
    <w:rsid w:val="00D12A09"/>
    <w:rsid w:val="00D135A2"/>
    <w:rsid w:val="00D136BF"/>
    <w:rsid w:val="00D13AC6"/>
    <w:rsid w:val="00D13B0B"/>
    <w:rsid w:val="00D143AC"/>
    <w:rsid w:val="00D14426"/>
    <w:rsid w:val="00D15274"/>
    <w:rsid w:val="00D15DC7"/>
    <w:rsid w:val="00D164CB"/>
    <w:rsid w:val="00D16781"/>
    <w:rsid w:val="00D17935"/>
    <w:rsid w:val="00D202B5"/>
    <w:rsid w:val="00D203A1"/>
    <w:rsid w:val="00D20B6D"/>
    <w:rsid w:val="00D20C54"/>
    <w:rsid w:val="00D20FD8"/>
    <w:rsid w:val="00D229EC"/>
    <w:rsid w:val="00D240AC"/>
    <w:rsid w:val="00D24B15"/>
    <w:rsid w:val="00D25646"/>
    <w:rsid w:val="00D2575A"/>
    <w:rsid w:val="00D25F02"/>
    <w:rsid w:val="00D269C0"/>
    <w:rsid w:val="00D3035C"/>
    <w:rsid w:val="00D30B66"/>
    <w:rsid w:val="00D30E07"/>
    <w:rsid w:val="00D31976"/>
    <w:rsid w:val="00D31EA0"/>
    <w:rsid w:val="00D32B03"/>
    <w:rsid w:val="00D32C1D"/>
    <w:rsid w:val="00D33619"/>
    <w:rsid w:val="00D337DF"/>
    <w:rsid w:val="00D33981"/>
    <w:rsid w:val="00D33FC7"/>
    <w:rsid w:val="00D33FDE"/>
    <w:rsid w:val="00D34733"/>
    <w:rsid w:val="00D349CE"/>
    <w:rsid w:val="00D353C5"/>
    <w:rsid w:val="00D355FB"/>
    <w:rsid w:val="00D36C07"/>
    <w:rsid w:val="00D3736F"/>
    <w:rsid w:val="00D405C7"/>
    <w:rsid w:val="00D40B4C"/>
    <w:rsid w:val="00D40DF4"/>
    <w:rsid w:val="00D41A49"/>
    <w:rsid w:val="00D41AB4"/>
    <w:rsid w:val="00D4280F"/>
    <w:rsid w:val="00D42F80"/>
    <w:rsid w:val="00D43CD8"/>
    <w:rsid w:val="00D44373"/>
    <w:rsid w:val="00D4644E"/>
    <w:rsid w:val="00D468C6"/>
    <w:rsid w:val="00D474C3"/>
    <w:rsid w:val="00D47944"/>
    <w:rsid w:val="00D479FB"/>
    <w:rsid w:val="00D47AFE"/>
    <w:rsid w:val="00D502E7"/>
    <w:rsid w:val="00D50A12"/>
    <w:rsid w:val="00D50B4A"/>
    <w:rsid w:val="00D50ED8"/>
    <w:rsid w:val="00D525B6"/>
    <w:rsid w:val="00D532E3"/>
    <w:rsid w:val="00D53476"/>
    <w:rsid w:val="00D5347C"/>
    <w:rsid w:val="00D539C9"/>
    <w:rsid w:val="00D54D37"/>
    <w:rsid w:val="00D54ED7"/>
    <w:rsid w:val="00D5524E"/>
    <w:rsid w:val="00D55D88"/>
    <w:rsid w:val="00D56873"/>
    <w:rsid w:val="00D56874"/>
    <w:rsid w:val="00D56EB8"/>
    <w:rsid w:val="00D57668"/>
    <w:rsid w:val="00D626A3"/>
    <w:rsid w:val="00D62804"/>
    <w:rsid w:val="00D634A3"/>
    <w:rsid w:val="00D63952"/>
    <w:rsid w:val="00D63A34"/>
    <w:rsid w:val="00D6430B"/>
    <w:rsid w:val="00D647BA"/>
    <w:rsid w:val="00D64D70"/>
    <w:rsid w:val="00D6520C"/>
    <w:rsid w:val="00D652D8"/>
    <w:rsid w:val="00D6546A"/>
    <w:rsid w:val="00D661ED"/>
    <w:rsid w:val="00D668EC"/>
    <w:rsid w:val="00D67103"/>
    <w:rsid w:val="00D675FE"/>
    <w:rsid w:val="00D676F3"/>
    <w:rsid w:val="00D67724"/>
    <w:rsid w:val="00D67CCC"/>
    <w:rsid w:val="00D67D63"/>
    <w:rsid w:val="00D7027C"/>
    <w:rsid w:val="00D70475"/>
    <w:rsid w:val="00D70733"/>
    <w:rsid w:val="00D70930"/>
    <w:rsid w:val="00D7222A"/>
    <w:rsid w:val="00D731E6"/>
    <w:rsid w:val="00D737F7"/>
    <w:rsid w:val="00D73D76"/>
    <w:rsid w:val="00D741F0"/>
    <w:rsid w:val="00D74E0D"/>
    <w:rsid w:val="00D759D3"/>
    <w:rsid w:val="00D7618F"/>
    <w:rsid w:val="00D76AB6"/>
    <w:rsid w:val="00D77372"/>
    <w:rsid w:val="00D77A1F"/>
    <w:rsid w:val="00D802B3"/>
    <w:rsid w:val="00D80A8D"/>
    <w:rsid w:val="00D81234"/>
    <w:rsid w:val="00D815CF"/>
    <w:rsid w:val="00D81734"/>
    <w:rsid w:val="00D8272F"/>
    <w:rsid w:val="00D82942"/>
    <w:rsid w:val="00D82953"/>
    <w:rsid w:val="00D83192"/>
    <w:rsid w:val="00D83267"/>
    <w:rsid w:val="00D8397B"/>
    <w:rsid w:val="00D83FD0"/>
    <w:rsid w:val="00D85AC1"/>
    <w:rsid w:val="00D85C3D"/>
    <w:rsid w:val="00D86103"/>
    <w:rsid w:val="00D866E3"/>
    <w:rsid w:val="00D8745F"/>
    <w:rsid w:val="00D8779A"/>
    <w:rsid w:val="00D87BB5"/>
    <w:rsid w:val="00D87C92"/>
    <w:rsid w:val="00D87D4B"/>
    <w:rsid w:val="00D90282"/>
    <w:rsid w:val="00D90905"/>
    <w:rsid w:val="00D911A4"/>
    <w:rsid w:val="00D91B61"/>
    <w:rsid w:val="00D92163"/>
    <w:rsid w:val="00D92E72"/>
    <w:rsid w:val="00D93538"/>
    <w:rsid w:val="00D93636"/>
    <w:rsid w:val="00D9416B"/>
    <w:rsid w:val="00D94546"/>
    <w:rsid w:val="00D945FD"/>
    <w:rsid w:val="00D95EAA"/>
    <w:rsid w:val="00D960AB"/>
    <w:rsid w:val="00D9637D"/>
    <w:rsid w:val="00D9716F"/>
    <w:rsid w:val="00D976C7"/>
    <w:rsid w:val="00D9774E"/>
    <w:rsid w:val="00D97BA6"/>
    <w:rsid w:val="00D97CC3"/>
    <w:rsid w:val="00D97CCD"/>
    <w:rsid w:val="00DA03CD"/>
    <w:rsid w:val="00DA07D7"/>
    <w:rsid w:val="00DA100C"/>
    <w:rsid w:val="00DA15EC"/>
    <w:rsid w:val="00DA2166"/>
    <w:rsid w:val="00DA2690"/>
    <w:rsid w:val="00DA2887"/>
    <w:rsid w:val="00DA2978"/>
    <w:rsid w:val="00DA2DED"/>
    <w:rsid w:val="00DA2E65"/>
    <w:rsid w:val="00DA3987"/>
    <w:rsid w:val="00DA3EEF"/>
    <w:rsid w:val="00DA4F7A"/>
    <w:rsid w:val="00DA5932"/>
    <w:rsid w:val="00DA7E50"/>
    <w:rsid w:val="00DB0027"/>
    <w:rsid w:val="00DB0118"/>
    <w:rsid w:val="00DB04B4"/>
    <w:rsid w:val="00DB0F75"/>
    <w:rsid w:val="00DB1164"/>
    <w:rsid w:val="00DB1176"/>
    <w:rsid w:val="00DB13A0"/>
    <w:rsid w:val="00DB183E"/>
    <w:rsid w:val="00DB1A1B"/>
    <w:rsid w:val="00DB1C6D"/>
    <w:rsid w:val="00DB21B8"/>
    <w:rsid w:val="00DB3302"/>
    <w:rsid w:val="00DB35F1"/>
    <w:rsid w:val="00DB3829"/>
    <w:rsid w:val="00DB3A8C"/>
    <w:rsid w:val="00DB544E"/>
    <w:rsid w:val="00DB586E"/>
    <w:rsid w:val="00DB5FF3"/>
    <w:rsid w:val="00DB613C"/>
    <w:rsid w:val="00DB636E"/>
    <w:rsid w:val="00DB6505"/>
    <w:rsid w:val="00DB6895"/>
    <w:rsid w:val="00DB6FA3"/>
    <w:rsid w:val="00DB71BA"/>
    <w:rsid w:val="00DB7910"/>
    <w:rsid w:val="00DB7C9F"/>
    <w:rsid w:val="00DC054E"/>
    <w:rsid w:val="00DC0706"/>
    <w:rsid w:val="00DC090B"/>
    <w:rsid w:val="00DC0A67"/>
    <w:rsid w:val="00DC0DB6"/>
    <w:rsid w:val="00DC2B00"/>
    <w:rsid w:val="00DC2CCE"/>
    <w:rsid w:val="00DC3317"/>
    <w:rsid w:val="00DC4A7E"/>
    <w:rsid w:val="00DC50B9"/>
    <w:rsid w:val="00DC5AFA"/>
    <w:rsid w:val="00DC5D12"/>
    <w:rsid w:val="00DC61EC"/>
    <w:rsid w:val="00DC640A"/>
    <w:rsid w:val="00DC64B3"/>
    <w:rsid w:val="00DD00B0"/>
    <w:rsid w:val="00DD0AD0"/>
    <w:rsid w:val="00DD18D4"/>
    <w:rsid w:val="00DD1C5A"/>
    <w:rsid w:val="00DD2D7E"/>
    <w:rsid w:val="00DD3ABD"/>
    <w:rsid w:val="00DD42DE"/>
    <w:rsid w:val="00DD4B0B"/>
    <w:rsid w:val="00DD545A"/>
    <w:rsid w:val="00DD5795"/>
    <w:rsid w:val="00DD5EDA"/>
    <w:rsid w:val="00DD686B"/>
    <w:rsid w:val="00DE003B"/>
    <w:rsid w:val="00DE0F55"/>
    <w:rsid w:val="00DE10C2"/>
    <w:rsid w:val="00DE1EA1"/>
    <w:rsid w:val="00DE2DC8"/>
    <w:rsid w:val="00DE2EB6"/>
    <w:rsid w:val="00DE3756"/>
    <w:rsid w:val="00DE3E41"/>
    <w:rsid w:val="00DE4740"/>
    <w:rsid w:val="00DE50B6"/>
    <w:rsid w:val="00DE5B4A"/>
    <w:rsid w:val="00DE5BD3"/>
    <w:rsid w:val="00DE63CF"/>
    <w:rsid w:val="00DE6668"/>
    <w:rsid w:val="00DE721E"/>
    <w:rsid w:val="00DE7F69"/>
    <w:rsid w:val="00DF09B0"/>
    <w:rsid w:val="00DF0C75"/>
    <w:rsid w:val="00DF0D1F"/>
    <w:rsid w:val="00DF0FC8"/>
    <w:rsid w:val="00DF1889"/>
    <w:rsid w:val="00DF21EB"/>
    <w:rsid w:val="00DF315D"/>
    <w:rsid w:val="00DF31C5"/>
    <w:rsid w:val="00DF33F5"/>
    <w:rsid w:val="00DF3636"/>
    <w:rsid w:val="00DF37FC"/>
    <w:rsid w:val="00DF423B"/>
    <w:rsid w:val="00DF51AD"/>
    <w:rsid w:val="00DF546C"/>
    <w:rsid w:val="00DF6430"/>
    <w:rsid w:val="00E01482"/>
    <w:rsid w:val="00E01CB7"/>
    <w:rsid w:val="00E02E92"/>
    <w:rsid w:val="00E0361B"/>
    <w:rsid w:val="00E0396C"/>
    <w:rsid w:val="00E056C3"/>
    <w:rsid w:val="00E062E7"/>
    <w:rsid w:val="00E0678E"/>
    <w:rsid w:val="00E06B5B"/>
    <w:rsid w:val="00E06F1F"/>
    <w:rsid w:val="00E077CF"/>
    <w:rsid w:val="00E1043C"/>
    <w:rsid w:val="00E1071B"/>
    <w:rsid w:val="00E1092B"/>
    <w:rsid w:val="00E11548"/>
    <w:rsid w:val="00E11B55"/>
    <w:rsid w:val="00E11C51"/>
    <w:rsid w:val="00E12455"/>
    <w:rsid w:val="00E1253E"/>
    <w:rsid w:val="00E13481"/>
    <w:rsid w:val="00E13788"/>
    <w:rsid w:val="00E13D66"/>
    <w:rsid w:val="00E1421F"/>
    <w:rsid w:val="00E147AF"/>
    <w:rsid w:val="00E148B5"/>
    <w:rsid w:val="00E14C3B"/>
    <w:rsid w:val="00E14CDC"/>
    <w:rsid w:val="00E15486"/>
    <w:rsid w:val="00E15B0C"/>
    <w:rsid w:val="00E162A4"/>
    <w:rsid w:val="00E166EC"/>
    <w:rsid w:val="00E16C9D"/>
    <w:rsid w:val="00E17066"/>
    <w:rsid w:val="00E173E4"/>
    <w:rsid w:val="00E177E6"/>
    <w:rsid w:val="00E178C1"/>
    <w:rsid w:val="00E2017C"/>
    <w:rsid w:val="00E21AB4"/>
    <w:rsid w:val="00E225BF"/>
    <w:rsid w:val="00E22E1A"/>
    <w:rsid w:val="00E23008"/>
    <w:rsid w:val="00E23202"/>
    <w:rsid w:val="00E233C6"/>
    <w:rsid w:val="00E233F5"/>
    <w:rsid w:val="00E2345F"/>
    <w:rsid w:val="00E238EF"/>
    <w:rsid w:val="00E23F36"/>
    <w:rsid w:val="00E240A2"/>
    <w:rsid w:val="00E24847"/>
    <w:rsid w:val="00E24F12"/>
    <w:rsid w:val="00E25B90"/>
    <w:rsid w:val="00E262F1"/>
    <w:rsid w:val="00E2674E"/>
    <w:rsid w:val="00E2679A"/>
    <w:rsid w:val="00E27F32"/>
    <w:rsid w:val="00E3002E"/>
    <w:rsid w:val="00E30C22"/>
    <w:rsid w:val="00E315F8"/>
    <w:rsid w:val="00E322D2"/>
    <w:rsid w:val="00E32921"/>
    <w:rsid w:val="00E32C4B"/>
    <w:rsid w:val="00E32FD8"/>
    <w:rsid w:val="00E331FE"/>
    <w:rsid w:val="00E33563"/>
    <w:rsid w:val="00E344C2"/>
    <w:rsid w:val="00E34F5A"/>
    <w:rsid w:val="00E3549B"/>
    <w:rsid w:val="00E35E09"/>
    <w:rsid w:val="00E36468"/>
    <w:rsid w:val="00E371FF"/>
    <w:rsid w:val="00E379F0"/>
    <w:rsid w:val="00E40ED2"/>
    <w:rsid w:val="00E4188B"/>
    <w:rsid w:val="00E41D64"/>
    <w:rsid w:val="00E4214D"/>
    <w:rsid w:val="00E4281F"/>
    <w:rsid w:val="00E4294B"/>
    <w:rsid w:val="00E43207"/>
    <w:rsid w:val="00E4437C"/>
    <w:rsid w:val="00E45749"/>
    <w:rsid w:val="00E459C2"/>
    <w:rsid w:val="00E4633B"/>
    <w:rsid w:val="00E465C0"/>
    <w:rsid w:val="00E46752"/>
    <w:rsid w:val="00E4722F"/>
    <w:rsid w:val="00E47D00"/>
    <w:rsid w:val="00E503EE"/>
    <w:rsid w:val="00E50D89"/>
    <w:rsid w:val="00E50FEF"/>
    <w:rsid w:val="00E51024"/>
    <w:rsid w:val="00E5103D"/>
    <w:rsid w:val="00E512A0"/>
    <w:rsid w:val="00E518C5"/>
    <w:rsid w:val="00E51AEB"/>
    <w:rsid w:val="00E52450"/>
    <w:rsid w:val="00E54FBD"/>
    <w:rsid w:val="00E5565A"/>
    <w:rsid w:val="00E55692"/>
    <w:rsid w:val="00E55B78"/>
    <w:rsid w:val="00E55C7F"/>
    <w:rsid w:val="00E562FD"/>
    <w:rsid w:val="00E57D2A"/>
    <w:rsid w:val="00E6060D"/>
    <w:rsid w:val="00E60B7C"/>
    <w:rsid w:val="00E61CB4"/>
    <w:rsid w:val="00E6229B"/>
    <w:rsid w:val="00E629E7"/>
    <w:rsid w:val="00E631A4"/>
    <w:rsid w:val="00E639F1"/>
    <w:rsid w:val="00E63A51"/>
    <w:rsid w:val="00E65B4C"/>
    <w:rsid w:val="00E66307"/>
    <w:rsid w:val="00E663A8"/>
    <w:rsid w:val="00E67EAC"/>
    <w:rsid w:val="00E70B21"/>
    <w:rsid w:val="00E70C4C"/>
    <w:rsid w:val="00E71576"/>
    <w:rsid w:val="00E716C3"/>
    <w:rsid w:val="00E71943"/>
    <w:rsid w:val="00E71CBA"/>
    <w:rsid w:val="00E722F6"/>
    <w:rsid w:val="00E72E8F"/>
    <w:rsid w:val="00E736C8"/>
    <w:rsid w:val="00E7402B"/>
    <w:rsid w:val="00E74680"/>
    <w:rsid w:val="00E746D3"/>
    <w:rsid w:val="00E7476E"/>
    <w:rsid w:val="00E74CE5"/>
    <w:rsid w:val="00E74D08"/>
    <w:rsid w:val="00E74D76"/>
    <w:rsid w:val="00E75675"/>
    <w:rsid w:val="00E764E5"/>
    <w:rsid w:val="00E766BC"/>
    <w:rsid w:val="00E76B63"/>
    <w:rsid w:val="00E76B9D"/>
    <w:rsid w:val="00E80622"/>
    <w:rsid w:val="00E81AB1"/>
    <w:rsid w:val="00E81F92"/>
    <w:rsid w:val="00E8222D"/>
    <w:rsid w:val="00E822A2"/>
    <w:rsid w:val="00E82C95"/>
    <w:rsid w:val="00E8393C"/>
    <w:rsid w:val="00E83D82"/>
    <w:rsid w:val="00E84FFC"/>
    <w:rsid w:val="00E850A9"/>
    <w:rsid w:val="00E857CB"/>
    <w:rsid w:val="00E858BF"/>
    <w:rsid w:val="00E86980"/>
    <w:rsid w:val="00E87D06"/>
    <w:rsid w:val="00E87EA7"/>
    <w:rsid w:val="00E90746"/>
    <w:rsid w:val="00E91B0F"/>
    <w:rsid w:val="00E91D33"/>
    <w:rsid w:val="00E92361"/>
    <w:rsid w:val="00E93122"/>
    <w:rsid w:val="00E937D8"/>
    <w:rsid w:val="00E9424A"/>
    <w:rsid w:val="00E95991"/>
    <w:rsid w:val="00E96093"/>
    <w:rsid w:val="00E963E8"/>
    <w:rsid w:val="00E965A3"/>
    <w:rsid w:val="00E97004"/>
    <w:rsid w:val="00E971FE"/>
    <w:rsid w:val="00E97838"/>
    <w:rsid w:val="00E97B7A"/>
    <w:rsid w:val="00E97CEA"/>
    <w:rsid w:val="00E97E1B"/>
    <w:rsid w:val="00EA058A"/>
    <w:rsid w:val="00EA067E"/>
    <w:rsid w:val="00EA0FDF"/>
    <w:rsid w:val="00EA1B49"/>
    <w:rsid w:val="00EA2674"/>
    <w:rsid w:val="00EA2C53"/>
    <w:rsid w:val="00EA3164"/>
    <w:rsid w:val="00EA3491"/>
    <w:rsid w:val="00EA3930"/>
    <w:rsid w:val="00EA399E"/>
    <w:rsid w:val="00EA3BCB"/>
    <w:rsid w:val="00EA4012"/>
    <w:rsid w:val="00EA4343"/>
    <w:rsid w:val="00EA47B0"/>
    <w:rsid w:val="00EA4D12"/>
    <w:rsid w:val="00EA4FD5"/>
    <w:rsid w:val="00EA5130"/>
    <w:rsid w:val="00EA6061"/>
    <w:rsid w:val="00EA623A"/>
    <w:rsid w:val="00EA6E14"/>
    <w:rsid w:val="00EA711C"/>
    <w:rsid w:val="00EA7184"/>
    <w:rsid w:val="00EA76A0"/>
    <w:rsid w:val="00EA7B30"/>
    <w:rsid w:val="00EB06E4"/>
    <w:rsid w:val="00EB0C1B"/>
    <w:rsid w:val="00EB0E74"/>
    <w:rsid w:val="00EB0EB2"/>
    <w:rsid w:val="00EB0F1F"/>
    <w:rsid w:val="00EB1238"/>
    <w:rsid w:val="00EB12D0"/>
    <w:rsid w:val="00EB170D"/>
    <w:rsid w:val="00EB1758"/>
    <w:rsid w:val="00EB1C70"/>
    <w:rsid w:val="00EB1DFF"/>
    <w:rsid w:val="00EB247B"/>
    <w:rsid w:val="00EB263C"/>
    <w:rsid w:val="00EB2B2E"/>
    <w:rsid w:val="00EB35D4"/>
    <w:rsid w:val="00EB375D"/>
    <w:rsid w:val="00EB3791"/>
    <w:rsid w:val="00EB3CAD"/>
    <w:rsid w:val="00EB42F8"/>
    <w:rsid w:val="00EB4486"/>
    <w:rsid w:val="00EB505C"/>
    <w:rsid w:val="00EB5384"/>
    <w:rsid w:val="00EB607A"/>
    <w:rsid w:val="00EB6332"/>
    <w:rsid w:val="00EB63A4"/>
    <w:rsid w:val="00EB654B"/>
    <w:rsid w:val="00EB6E5D"/>
    <w:rsid w:val="00EB723E"/>
    <w:rsid w:val="00EC0749"/>
    <w:rsid w:val="00EC0896"/>
    <w:rsid w:val="00EC0D89"/>
    <w:rsid w:val="00EC10D2"/>
    <w:rsid w:val="00EC1E56"/>
    <w:rsid w:val="00EC22CB"/>
    <w:rsid w:val="00EC280D"/>
    <w:rsid w:val="00EC2BF5"/>
    <w:rsid w:val="00EC32AE"/>
    <w:rsid w:val="00EC35A7"/>
    <w:rsid w:val="00EC3770"/>
    <w:rsid w:val="00EC398E"/>
    <w:rsid w:val="00EC41C8"/>
    <w:rsid w:val="00EC46C8"/>
    <w:rsid w:val="00EC4C9C"/>
    <w:rsid w:val="00EC5274"/>
    <w:rsid w:val="00EC57A4"/>
    <w:rsid w:val="00EC5A1A"/>
    <w:rsid w:val="00EC61A0"/>
    <w:rsid w:val="00EC6699"/>
    <w:rsid w:val="00EC6982"/>
    <w:rsid w:val="00EC6C10"/>
    <w:rsid w:val="00EC71BC"/>
    <w:rsid w:val="00EC74D3"/>
    <w:rsid w:val="00ED1043"/>
    <w:rsid w:val="00ED14B3"/>
    <w:rsid w:val="00ED174B"/>
    <w:rsid w:val="00ED1FF2"/>
    <w:rsid w:val="00ED278F"/>
    <w:rsid w:val="00ED2973"/>
    <w:rsid w:val="00ED2F43"/>
    <w:rsid w:val="00ED30EB"/>
    <w:rsid w:val="00ED370A"/>
    <w:rsid w:val="00ED4562"/>
    <w:rsid w:val="00ED46C5"/>
    <w:rsid w:val="00ED4C22"/>
    <w:rsid w:val="00ED4C50"/>
    <w:rsid w:val="00ED4E97"/>
    <w:rsid w:val="00ED5B6D"/>
    <w:rsid w:val="00ED63C5"/>
    <w:rsid w:val="00ED7610"/>
    <w:rsid w:val="00ED7B00"/>
    <w:rsid w:val="00ED7F76"/>
    <w:rsid w:val="00EE021F"/>
    <w:rsid w:val="00EE05FC"/>
    <w:rsid w:val="00EE1612"/>
    <w:rsid w:val="00EE1C20"/>
    <w:rsid w:val="00EE2363"/>
    <w:rsid w:val="00EE2A33"/>
    <w:rsid w:val="00EE2C64"/>
    <w:rsid w:val="00EE2E92"/>
    <w:rsid w:val="00EE3407"/>
    <w:rsid w:val="00EE3A16"/>
    <w:rsid w:val="00EE3FB9"/>
    <w:rsid w:val="00EE5355"/>
    <w:rsid w:val="00EE53C6"/>
    <w:rsid w:val="00EE55D1"/>
    <w:rsid w:val="00EE7138"/>
    <w:rsid w:val="00EF08B4"/>
    <w:rsid w:val="00EF0A36"/>
    <w:rsid w:val="00EF241A"/>
    <w:rsid w:val="00EF2C14"/>
    <w:rsid w:val="00EF2E31"/>
    <w:rsid w:val="00EF3687"/>
    <w:rsid w:val="00EF4002"/>
    <w:rsid w:val="00EF4DDF"/>
    <w:rsid w:val="00EF55BF"/>
    <w:rsid w:val="00EF5B5F"/>
    <w:rsid w:val="00EF5E33"/>
    <w:rsid w:val="00EF64E8"/>
    <w:rsid w:val="00EF6534"/>
    <w:rsid w:val="00EF67D7"/>
    <w:rsid w:val="00EF6E7D"/>
    <w:rsid w:val="00EF76FD"/>
    <w:rsid w:val="00EF79BF"/>
    <w:rsid w:val="00F00636"/>
    <w:rsid w:val="00F0099D"/>
    <w:rsid w:val="00F00E29"/>
    <w:rsid w:val="00F01411"/>
    <w:rsid w:val="00F01A7B"/>
    <w:rsid w:val="00F01E88"/>
    <w:rsid w:val="00F01F32"/>
    <w:rsid w:val="00F02D14"/>
    <w:rsid w:val="00F034D2"/>
    <w:rsid w:val="00F03D57"/>
    <w:rsid w:val="00F03DF4"/>
    <w:rsid w:val="00F05D6F"/>
    <w:rsid w:val="00F05E51"/>
    <w:rsid w:val="00F0610B"/>
    <w:rsid w:val="00F061D8"/>
    <w:rsid w:val="00F066C4"/>
    <w:rsid w:val="00F07D49"/>
    <w:rsid w:val="00F10087"/>
    <w:rsid w:val="00F10969"/>
    <w:rsid w:val="00F10C7E"/>
    <w:rsid w:val="00F11D23"/>
    <w:rsid w:val="00F12391"/>
    <w:rsid w:val="00F1279A"/>
    <w:rsid w:val="00F128AB"/>
    <w:rsid w:val="00F13817"/>
    <w:rsid w:val="00F13F07"/>
    <w:rsid w:val="00F14F0D"/>
    <w:rsid w:val="00F1515D"/>
    <w:rsid w:val="00F15490"/>
    <w:rsid w:val="00F154F7"/>
    <w:rsid w:val="00F15A9D"/>
    <w:rsid w:val="00F163A8"/>
    <w:rsid w:val="00F164E1"/>
    <w:rsid w:val="00F16597"/>
    <w:rsid w:val="00F16808"/>
    <w:rsid w:val="00F16A91"/>
    <w:rsid w:val="00F16CEC"/>
    <w:rsid w:val="00F17325"/>
    <w:rsid w:val="00F17799"/>
    <w:rsid w:val="00F20D64"/>
    <w:rsid w:val="00F21BA3"/>
    <w:rsid w:val="00F21DD6"/>
    <w:rsid w:val="00F22472"/>
    <w:rsid w:val="00F2249F"/>
    <w:rsid w:val="00F2265F"/>
    <w:rsid w:val="00F22B9C"/>
    <w:rsid w:val="00F23110"/>
    <w:rsid w:val="00F248F3"/>
    <w:rsid w:val="00F249C6"/>
    <w:rsid w:val="00F25DD9"/>
    <w:rsid w:val="00F262DC"/>
    <w:rsid w:val="00F26B33"/>
    <w:rsid w:val="00F2700B"/>
    <w:rsid w:val="00F27322"/>
    <w:rsid w:val="00F2761A"/>
    <w:rsid w:val="00F311E8"/>
    <w:rsid w:val="00F3173D"/>
    <w:rsid w:val="00F31B65"/>
    <w:rsid w:val="00F32136"/>
    <w:rsid w:val="00F32BFC"/>
    <w:rsid w:val="00F33BEA"/>
    <w:rsid w:val="00F344AD"/>
    <w:rsid w:val="00F35253"/>
    <w:rsid w:val="00F3554C"/>
    <w:rsid w:val="00F35661"/>
    <w:rsid w:val="00F35E6A"/>
    <w:rsid w:val="00F35ED0"/>
    <w:rsid w:val="00F364C3"/>
    <w:rsid w:val="00F37831"/>
    <w:rsid w:val="00F4024D"/>
    <w:rsid w:val="00F40576"/>
    <w:rsid w:val="00F4084D"/>
    <w:rsid w:val="00F40880"/>
    <w:rsid w:val="00F410EA"/>
    <w:rsid w:val="00F41844"/>
    <w:rsid w:val="00F41D56"/>
    <w:rsid w:val="00F4213A"/>
    <w:rsid w:val="00F42404"/>
    <w:rsid w:val="00F4267F"/>
    <w:rsid w:val="00F4276E"/>
    <w:rsid w:val="00F428F1"/>
    <w:rsid w:val="00F42BDE"/>
    <w:rsid w:val="00F4395C"/>
    <w:rsid w:val="00F448D2"/>
    <w:rsid w:val="00F44E8D"/>
    <w:rsid w:val="00F44EEE"/>
    <w:rsid w:val="00F454BE"/>
    <w:rsid w:val="00F46554"/>
    <w:rsid w:val="00F46C97"/>
    <w:rsid w:val="00F46D54"/>
    <w:rsid w:val="00F4785B"/>
    <w:rsid w:val="00F51431"/>
    <w:rsid w:val="00F51B05"/>
    <w:rsid w:val="00F51EE9"/>
    <w:rsid w:val="00F52001"/>
    <w:rsid w:val="00F521E8"/>
    <w:rsid w:val="00F52812"/>
    <w:rsid w:val="00F5438F"/>
    <w:rsid w:val="00F553CC"/>
    <w:rsid w:val="00F561B1"/>
    <w:rsid w:val="00F56953"/>
    <w:rsid w:val="00F56B94"/>
    <w:rsid w:val="00F609E2"/>
    <w:rsid w:val="00F60C5B"/>
    <w:rsid w:val="00F61435"/>
    <w:rsid w:val="00F61E3C"/>
    <w:rsid w:val="00F62A9C"/>
    <w:rsid w:val="00F62C6E"/>
    <w:rsid w:val="00F62DFE"/>
    <w:rsid w:val="00F6351D"/>
    <w:rsid w:val="00F6648B"/>
    <w:rsid w:val="00F66909"/>
    <w:rsid w:val="00F67246"/>
    <w:rsid w:val="00F67997"/>
    <w:rsid w:val="00F67D26"/>
    <w:rsid w:val="00F67DA6"/>
    <w:rsid w:val="00F70189"/>
    <w:rsid w:val="00F70295"/>
    <w:rsid w:val="00F703FB"/>
    <w:rsid w:val="00F70BF7"/>
    <w:rsid w:val="00F70F33"/>
    <w:rsid w:val="00F7106C"/>
    <w:rsid w:val="00F71BCF"/>
    <w:rsid w:val="00F728E2"/>
    <w:rsid w:val="00F72A99"/>
    <w:rsid w:val="00F72ABA"/>
    <w:rsid w:val="00F7371B"/>
    <w:rsid w:val="00F73771"/>
    <w:rsid w:val="00F739F8"/>
    <w:rsid w:val="00F73B26"/>
    <w:rsid w:val="00F73DA1"/>
    <w:rsid w:val="00F74715"/>
    <w:rsid w:val="00F753A2"/>
    <w:rsid w:val="00F75919"/>
    <w:rsid w:val="00F759F6"/>
    <w:rsid w:val="00F75ADB"/>
    <w:rsid w:val="00F7650F"/>
    <w:rsid w:val="00F767B2"/>
    <w:rsid w:val="00F76889"/>
    <w:rsid w:val="00F768F0"/>
    <w:rsid w:val="00F76C8F"/>
    <w:rsid w:val="00F76D80"/>
    <w:rsid w:val="00F77077"/>
    <w:rsid w:val="00F77CFD"/>
    <w:rsid w:val="00F77DAC"/>
    <w:rsid w:val="00F77F41"/>
    <w:rsid w:val="00F8030C"/>
    <w:rsid w:val="00F805D5"/>
    <w:rsid w:val="00F81027"/>
    <w:rsid w:val="00F8160E"/>
    <w:rsid w:val="00F82081"/>
    <w:rsid w:val="00F8215B"/>
    <w:rsid w:val="00F82251"/>
    <w:rsid w:val="00F8260B"/>
    <w:rsid w:val="00F82840"/>
    <w:rsid w:val="00F82899"/>
    <w:rsid w:val="00F82C15"/>
    <w:rsid w:val="00F8468F"/>
    <w:rsid w:val="00F85519"/>
    <w:rsid w:val="00F85FA4"/>
    <w:rsid w:val="00F868CB"/>
    <w:rsid w:val="00F86B68"/>
    <w:rsid w:val="00F87577"/>
    <w:rsid w:val="00F8787A"/>
    <w:rsid w:val="00F8796F"/>
    <w:rsid w:val="00F90275"/>
    <w:rsid w:val="00F90904"/>
    <w:rsid w:val="00F9199D"/>
    <w:rsid w:val="00F91B01"/>
    <w:rsid w:val="00F92836"/>
    <w:rsid w:val="00F9294A"/>
    <w:rsid w:val="00F931C6"/>
    <w:rsid w:val="00F937E2"/>
    <w:rsid w:val="00F94061"/>
    <w:rsid w:val="00F94926"/>
    <w:rsid w:val="00F95254"/>
    <w:rsid w:val="00F95482"/>
    <w:rsid w:val="00F961AC"/>
    <w:rsid w:val="00F963CE"/>
    <w:rsid w:val="00F96B34"/>
    <w:rsid w:val="00F970ED"/>
    <w:rsid w:val="00F97318"/>
    <w:rsid w:val="00F97386"/>
    <w:rsid w:val="00F97D2E"/>
    <w:rsid w:val="00F97F66"/>
    <w:rsid w:val="00FA02AE"/>
    <w:rsid w:val="00FA03A2"/>
    <w:rsid w:val="00FA043C"/>
    <w:rsid w:val="00FA05C2"/>
    <w:rsid w:val="00FA0647"/>
    <w:rsid w:val="00FA0710"/>
    <w:rsid w:val="00FA0EB8"/>
    <w:rsid w:val="00FA0EDF"/>
    <w:rsid w:val="00FA12A6"/>
    <w:rsid w:val="00FA17EB"/>
    <w:rsid w:val="00FA1BF2"/>
    <w:rsid w:val="00FA349F"/>
    <w:rsid w:val="00FA3642"/>
    <w:rsid w:val="00FA388D"/>
    <w:rsid w:val="00FA41AA"/>
    <w:rsid w:val="00FA4F46"/>
    <w:rsid w:val="00FA619E"/>
    <w:rsid w:val="00FA6603"/>
    <w:rsid w:val="00FA6855"/>
    <w:rsid w:val="00FA6BFB"/>
    <w:rsid w:val="00FA72B0"/>
    <w:rsid w:val="00FA7925"/>
    <w:rsid w:val="00FB02FE"/>
    <w:rsid w:val="00FB0652"/>
    <w:rsid w:val="00FB0748"/>
    <w:rsid w:val="00FB29EB"/>
    <w:rsid w:val="00FB3D10"/>
    <w:rsid w:val="00FB4145"/>
    <w:rsid w:val="00FB4902"/>
    <w:rsid w:val="00FB4CD3"/>
    <w:rsid w:val="00FB618B"/>
    <w:rsid w:val="00FB703F"/>
    <w:rsid w:val="00FB776A"/>
    <w:rsid w:val="00FC0735"/>
    <w:rsid w:val="00FC0D9D"/>
    <w:rsid w:val="00FC0E83"/>
    <w:rsid w:val="00FC1305"/>
    <w:rsid w:val="00FC1ACE"/>
    <w:rsid w:val="00FC2164"/>
    <w:rsid w:val="00FC2B4D"/>
    <w:rsid w:val="00FC2C26"/>
    <w:rsid w:val="00FC2F83"/>
    <w:rsid w:val="00FC3538"/>
    <w:rsid w:val="00FC3743"/>
    <w:rsid w:val="00FC3FD8"/>
    <w:rsid w:val="00FC413B"/>
    <w:rsid w:val="00FC42B5"/>
    <w:rsid w:val="00FC4478"/>
    <w:rsid w:val="00FC46E1"/>
    <w:rsid w:val="00FC4733"/>
    <w:rsid w:val="00FC49A8"/>
    <w:rsid w:val="00FC4EB6"/>
    <w:rsid w:val="00FC51B9"/>
    <w:rsid w:val="00FC5FA8"/>
    <w:rsid w:val="00FC636E"/>
    <w:rsid w:val="00FC6AEB"/>
    <w:rsid w:val="00FC77A5"/>
    <w:rsid w:val="00FC7ADB"/>
    <w:rsid w:val="00FD03BD"/>
    <w:rsid w:val="00FD07F0"/>
    <w:rsid w:val="00FD1155"/>
    <w:rsid w:val="00FD164E"/>
    <w:rsid w:val="00FD1CB8"/>
    <w:rsid w:val="00FD34E7"/>
    <w:rsid w:val="00FD376A"/>
    <w:rsid w:val="00FD3A37"/>
    <w:rsid w:val="00FD458C"/>
    <w:rsid w:val="00FD4991"/>
    <w:rsid w:val="00FD5829"/>
    <w:rsid w:val="00FD6A6A"/>
    <w:rsid w:val="00FD6DC3"/>
    <w:rsid w:val="00FD6EC7"/>
    <w:rsid w:val="00FD76E8"/>
    <w:rsid w:val="00FD77D5"/>
    <w:rsid w:val="00FE0DA8"/>
    <w:rsid w:val="00FE1424"/>
    <w:rsid w:val="00FE15B0"/>
    <w:rsid w:val="00FE15EA"/>
    <w:rsid w:val="00FE29D6"/>
    <w:rsid w:val="00FE2F47"/>
    <w:rsid w:val="00FE322F"/>
    <w:rsid w:val="00FE3A58"/>
    <w:rsid w:val="00FE4A80"/>
    <w:rsid w:val="00FE5486"/>
    <w:rsid w:val="00FE581A"/>
    <w:rsid w:val="00FE5B6A"/>
    <w:rsid w:val="00FE5DE3"/>
    <w:rsid w:val="00FE619A"/>
    <w:rsid w:val="00FE63F6"/>
    <w:rsid w:val="00FE65EA"/>
    <w:rsid w:val="00FE66CF"/>
    <w:rsid w:val="00FE6E47"/>
    <w:rsid w:val="00FE7DAA"/>
    <w:rsid w:val="00FE7E38"/>
    <w:rsid w:val="00FF0BC6"/>
    <w:rsid w:val="00FF0EA8"/>
    <w:rsid w:val="00FF1140"/>
    <w:rsid w:val="00FF13A5"/>
    <w:rsid w:val="00FF18D7"/>
    <w:rsid w:val="00FF1FD2"/>
    <w:rsid w:val="00FF2415"/>
    <w:rsid w:val="00FF2508"/>
    <w:rsid w:val="00FF262D"/>
    <w:rsid w:val="00FF2741"/>
    <w:rsid w:val="00FF27F8"/>
    <w:rsid w:val="00FF29B8"/>
    <w:rsid w:val="00FF2BC1"/>
    <w:rsid w:val="00FF2F08"/>
    <w:rsid w:val="00FF387E"/>
    <w:rsid w:val="00FF3DB4"/>
    <w:rsid w:val="00FF4521"/>
    <w:rsid w:val="00FF462B"/>
    <w:rsid w:val="00FF4FEA"/>
    <w:rsid w:val="00FF5A55"/>
    <w:rsid w:val="00FF5A6B"/>
    <w:rsid w:val="00FF6037"/>
    <w:rsid w:val="00FF627B"/>
    <w:rsid w:val="00FF66D9"/>
    <w:rsid w:val="00FF76DF"/>
    <w:rsid w:val="00FF7A9E"/>
    <w:rsid w:val="01175360"/>
    <w:rsid w:val="012B62E1"/>
    <w:rsid w:val="012D40F8"/>
    <w:rsid w:val="013069F7"/>
    <w:rsid w:val="01416027"/>
    <w:rsid w:val="01593C67"/>
    <w:rsid w:val="015B1D12"/>
    <w:rsid w:val="018F7ACA"/>
    <w:rsid w:val="01B33D29"/>
    <w:rsid w:val="01BA3C91"/>
    <w:rsid w:val="01C83C10"/>
    <w:rsid w:val="01E9764D"/>
    <w:rsid w:val="01FA3F1F"/>
    <w:rsid w:val="02012D16"/>
    <w:rsid w:val="020921ED"/>
    <w:rsid w:val="022B2FF7"/>
    <w:rsid w:val="024F2DC7"/>
    <w:rsid w:val="025F6A27"/>
    <w:rsid w:val="027142AC"/>
    <w:rsid w:val="0275544F"/>
    <w:rsid w:val="02771AD0"/>
    <w:rsid w:val="027B1835"/>
    <w:rsid w:val="029A4F51"/>
    <w:rsid w:val="02A70A20"/>
    <w:rsid w:val="02A74073"/>
    <w:rsid w:val="02BE012D"/>
    <w:rsid w:val="02C971D7"/>
    <w:rsid w:val="02EA0994"/>
    <w:rsid w:val="02F40DAC"/>
    <w:rsid w:val="031775A1"/>
    <w:rsid w:val="03187BAB"/>
    <w:rsid w:val="032E41A4"/>
    <w:rsid w:val="0358525F"/>
    <w:rsid w:val="035E41BA"/>
    <w:rsid w:val="036972BF"/>
    <w:rsid w:val="03720AA2"/>
    <w:rsid w:val="03791559"/>
    <w:rsid w:val="039A0181"/>
    <w:rsid w:val="03AE05AA"/>
    <w:rsid w:val="03BC0F9D"/>
    <w:rsid w:val="03C170ED"/>
    <w:rsid w:val="03E0120B"/>
    <w:rsid w:val="04047CC1"/>
    <w:rsid w:val="04195720"/>
    <w:rsid w:val="042567BA"/>
    <w:rsid w:val="04277CC9"/>
    <w:rsid w:val="042E5F2F"/>
    <w:rsid w:val="04330EB4"/>
    <w:rsid w:val="04336241"/>
    <w:rsid w:val="04445D56"/>
    <w:rsid w:val="045636C2"/>
    <w:rsid w:val="04582296"/>
    <w:rsid w:val="046173DA"/>
    <w:rsid w:val="04692B58"/>
    <w:rsid w:val="047D7A0E"/>
    <w:rsid w:val="04820391"/>
    <w:rsid w:val="0484170C"/>
    <w:rsid w:val="04964D56"/>
    <w:rsid w:val="04995EF0"/>
    <w:rsid w:val="04AA7468"/>
    <w:rsid w:val="04AB140D"/>
    <w:rsid w:val="04C30DC8"/>
    <w:rsid w:val="04C80251"/>
    <w:rsid w:val="04DE19BE"/>
    <w:rsid w:val="04FC710C"/>
    <w:rsid w:val="050B5F8F"/>
    <w:rsid w:val="051B5F40"/>
    <w:rsid w:val="05307A34"/>
    <w:rsid w:val="05431DB3"/>
    <w:rsid w:val="054F6D7D"/>
    <w:rsid w:val="056C29F0"/>
    <w:rsid w:val="057159BE"/>
    <w:rsid w:val="05867319"/>
    <w:rsid w:val="058769F2"/>
    <w:rsid w:val="059A7292"/>
    <w:rsid w:val="05E506BE"/>
    <w:rsid w:val="05E50B04"/>
    <w:rsid w:val="05EC0D34"/>
    <w:rsid w:val="05EF5C53"/>
    <w:rsid w:val="05F051D3"/>
    <w:rsid w:val="05F51BE6"/>
    <w:rsid w:val="05F566C2"/>
    <w:rsid w:val="05F93616"/>
    <w:rsid w:val="060C3795"/>
    <w:rsid w:val="06264E3E"/>
    <w:rsid w:val="063349E0"/>
    <w:rsid w:val="06451F4F"/>
    <w:rsid w:val="064F2F11"/>
    <w:rsid w:val="065034AE"/>
    <w:rsid w:val="06652429"/>
    <w:rsid w:val="066D17CE"/>
    <w:rsid w:val="066F422B"/>
    <w:rsid w:val="067046CD"/>
    <w:rsid w:val="06820743"/>
    <w:rsid w:val="06AE44A5"/>
    <w:rsid w:val="06C408DE"/>
    <w:rsid w:val="06E279C2"/>
    <w:rsid w:val="06F62013"/>
    <w:rsid w:val="070969B4"/>
    <w:rsid w:val="071754D2"/>
    <w:rsid w:val="07236D9B"/>
    <w:rsid w:val="07403941"/>
    <w:rsid w:val="0745209C"/>
    <w:rsid w:val="07607A05"/>
    <w:rsid w:val="07802B36"/>
    <w:rsid w:val="078C091D"/>
    <w:rsid w:val="078D4FE7"/>
    <w:rsid w:val="07994EC1"/>
    <w:rsid w:val="07B7012D"/>
    <w:rsid w:val="07B72274"/>
    <w:rsid w:val="07CA3DE0"/>
    <w:rsid w:val="080821D9"/>
    <w:rsid w:val="082A7961"/>
    <w:rsid w:val="082D65AC"/>
    <w:rsid w:val="08365B41"/>
    <w:rsid w:val="083C0A09"/>
    <w:rsid w:val="085749EE"/>
    <w:rsid w:val="08653B5B"/>
    <w:rsid w:val="087E57F9"/>
    <w:rsid w:val="08856D09"/>
    <w:rsid w:val="088836C0"/>
    <w:rsid w:val="089D2338"/>
    <w:rsid w:val="08A730C9"/>
    <w:rsid w:val="08B2368B"/>
    <w:rsid w:val="08CD03AB"/>
    <w:rsid w:val="08D2661A"/>
    <w:rsid w:val="08EB263C"/>
    <w:rsid w:val="08F00CC3"/>
    <w:rsid w:val="09151D02"/>
    <w:rsid w:val="09253D73"/>
    <w:rsid w:val="092E060B"/>
    <w:rsid w:val="09463F5B"/>
    <w:rsid w:val="09480720"/>
    <w:rsid w:val="099E1F56"/>
    <w:rsid w:val="09CE3C57"/>
    <w:rsid w:val="09DE15BE"/>
    <w:rsid w:val="09FB7C4C"/>
    <w:rsid w:val="09FC78C6"/>
    <w:rsid w:val="0A08191E"/>
    <w:rsid w:val="0A1A63C3"/>
    <w:rsid w:val="0A1C38C2"/>
    <w:rsid w:val="0A223489"/>
    <w:rsid w:val="0A261EEB"/>
    <w:rsid w:val="0A353886"/>
    <w:rsid w:val="0A487944"/>
    <w:rsid w:val="0A494C5A"/>
    <w:rsid w:val="0A4D6FFB"/>
    <w:rsid w:val="0A506B8D"/>
    <w:rsid w:val="0A712210"/>
    <w:rsid w:val="0A7551ED"/>
    <w:rsid w:val="0A82240F"/>
    <w:rsid w:val="0A8A7002"/>
    <w:rsid w:val="0A8D5BEB"/>
    <w:rsid w:val="0A94461B"/>
    <w:rsid w:val="0A9569BE"/>
    <w:rsid w:val="0ACB1056"/>
    <w:rsid w:val="0AD03BF3"/>
    <w:rsid w:val="0ADD330E"/>
    <w:rsid w:val="0AF84612"/>
    <w:rsid w:val="0AFA05B4"/>
    <w:rsid w:val="0AFD3132"/>
    <w:rsid w:val="0B242624"/>
    <w:rsid w:val="0B3065F9"/>
    <w:rsid w:val="0B427B7F"/>
    <w:rsid w:val="0B640D76"/>
    <w:rsid w:val="0B7A730C"/>
    <w:rsid w:val="0B9D7168"/>
    <w:rsid w:val="0BC00A06"/>
    <w:rsid w:val="0BE16F30"/>
    <w:rsid w:val="0BE83E1C"/>
    <w:rsid w:val="0BE93023"/>
    <w:rsid w:val="0BEA3311"/>
    <w:rsid w:val="0BED128D"/>
    <w:rsid w:val="0C0A065E"/>
    <w:rsid w:val="0C0A4604"/>
    <w:rsid w:val="0C0D074E"/>
    <w:rsid w:val="0C122C28"/>
    <w:rsid w:val="0C173540"/>
    <w:rsid w:val="0C3B32B0"/>
    <w:rsid w:val="0C4931E4"/>
    <w:rsid w:val="0C856962"/>
    <w:rsid w:val="0C9A10E8"/>
    <w:rsid w:val="0CA30433"/>
    <w:rsid w:val="0CB12702"/>
    <w:rsid w:val="0CB72C40"/>
    <w:rsid w:val="0CBB679C"/>
    <w:rsid w:val="0CD65B7A"/>
    <w:rsid w:val="0CDB6FA9"/>
    <w:rsid w:val="0CF803B9"/>
    <w:rsid w:val="0CF87EA1"/>
    <w:rsid w:val="0CF932D4"/>
    <w:rsid w:val="0CFE3D66"/>
    <w:rsid w:val="0D0F04BB"/>
    <w:rsid w:val="0D103433"/>
    <w:rsid w:val="0D1B0D11"/>
    <w:rsid w:val="0D3C4EF4"/>
    <w:rsid w:val="0D53571B"/>
    <w:rsid w:val="0D5D7803"/>
    <w:rsid w:val="0D657E5B"/>
    <w:rsid w:val="0D703040"/>
    <w:rsid w:val="0D860898"/>
    <w:rsid w:val="0D932660"/>
    <w:rsid w:val="0D952BCB"/>
    <w:rsid w:val="0D9A2B4F"/>
    <w:rsid w:val="0DA71578"/>
    <w:rsid w:val="0DAA03D9"/>
    <w:rsid w:val="0DB55CF7"/>
    <w:rsid w:val="0DD07E11"/>
    <w:rsid w:val="0DE00C43"/>
    <w:rsid w:val="0DE20837"/>
    <w:rsid w:val="0DF4130E"/>
    <w:rsid w:val="0E0806A7"/>
    <w:rsid w:val="0E0C5F4F"/>
    <w:rsid w:val="0E134762"/>
    <w:rsid w:val="0E2234A8"/>
    <w:rsid w:val="0E305A4D"/>
    <w:rsid w:val="0E3554B7"/>
    <w:rsid w:val="0E3953F3"/>
    <w:rsid w:val="0E450B61"/>
    <w:rsid w:val="0E874D20"/>
    <w:rsid w:val="0E8C5540"/>
    <w:rsid w:val="0E8E29F3"/>
    <w:rsid w:val="0EA06112"/>
    <w:rsid w:val="0EB03715"/>
    <w:rsid w:val="0EC40CCC"/>
    <w:rsid w:val="0ECD4748"/>
    <w:rsid w:val="0EE764E8"/>
    <w:rsid w:val="0EED3822"/>
    <w:rsid w:val="0EF060CF"/>
    <w:rsid w:val="0EFD402D"/>
    <w:rsid w:val="0F09272D"/>
    <w:rsid w:val="0F173A3F"/>
    <w:rsid w:val="0F1B5101"/>
    <w:rsid w:val="0F1C07C8"/>
    <w:rsid w:val="0F1F0029"/>
    <w:rsid w:val="0F2257AD"/>
    <w:rsid w:val="0F2A58BE"/>
    <w:rsid w:val="0F38668E"/>
    <w:rsid w:val="0F447BF8"/>
    <w:rsid w:val="0F4A6D71"/>
    <w:rsid w:val="0F7C6835"/>
    <w:rsid w:val="0FA844A3"/>
    <w:rsid w:val="0FB83433"/>
    <w:rsid w:val="0FBA0D2B"/>
    <w:rsid w:val="0FBF381F"/>
    <w:rsid w:val="0FCF5BA3"/>
    <w:rsid w:val="0FD573B4"/>
    <w:rsid w:val="0FF55E83"/>
    <w:rsid w:val="1009334D"/>
    <w:rsid w:val="100954A7"/>
    <w:rsid w:val="10143146"/>
    <w:rsid w:val="102C5E1E"/>
    <w:rsid w:val="10415485"/>
    <w:rsid w:val="104E02A8"/>
    <w:rsid w:val="1050621B"/>
    <w:rsid w:val="1052533D"/>
    <w:rsid w:val="10577741"/>
    <w:rsid w:val="105A0E8E"/>
    <w:rsid w:val="1066464D"/>
    <w:rsid w:val="107960F3"/>
    <w:rsid w:val="107C7D8D"/>
    <w:rsid w:val="107E3BE0"/>
    <w:rsid w:val="108C6F9C"/>
    <w:rsid w:val="10900516"/>
    <w:rsid w:val="1090352A"/>
    <w:rsid w:val="109365EE"/>
    <w:rsid w:val="109D42E1"/>
    <w:rsid w:val="10C54E23"/>
    <w:rsid w:val="10D32B3A"/>
    <w:rsid w:val="10D91D4F"/>
    <w:rsid w:val="10DB1B72"/>
    <w:rsid w:val="11130E2F"/>
    <w:rsid w:val="11252E99"/>
    <w:rsid w:val="11280C6F"/>
    <w:rsid w:val="116926A9"/>
    <w:rsid w:val="116B1BD7"/>
    <w:rsid w:val="116E0E33"/>
    <w:rsid w:val="117356C1"/>
    <w:rsid w:val="11805726"/>
    <w:rsid w:val="118A40D3"/>
    <w:rsid w:val="119D4B83"/>
    <w:rsid w:val="11A02C1B"/>
    <w:rsid w:val="11CD6430"/>
    <w:rsid w:val="120E1BE5"/>
    <w:rsid w:val="12375CAD"/>
    <w:rsid w:val="12472EBC"/>
    <w:rsid w:val="125C4572"/>
    <w:rsid w:val="126A4A03"/>
    <w:rsid w:val="1271563E"/>
    <w:rsid w:val="12862DC8"/>
    <w:rsid w:val="12AE1B0F"/>
    <w:rsid w:val="12BA50B8"/>
    <w:rsid w:val="12C452F5"/>
    <w:rsid w:val="12CE6B6C"/>
    <w:rsid w:val="12DB3F55"/>
    <w:rsid w:val="12F07445"/>
    <w:rsid w:val="13036E79"/>
    <w:rsid w:val="130C386D"/>
    <w:rsid w:val="1333788C"/>
    <w:rsid w:val="13373F48"/>
    <w:rsid w:val="13387D96"/>
    <w:rsid w:val="133D70FD"/>
    <w:rsid w:val="134857C9"/>
    <w:rsid w:val="135F7142"/>
    <w:rsid w:val="13664123"/>
    <w:rsid w:val="1382557B"/>
    <w:rsid w:val="138A4C70"/>
    <w:rsid w:val="13BC3BCA"/>
    <w:rsid w:val="13DA6538"/>
    <w:rsid w:val="13F96828"/>
    <w:rsid w:val="13FF7BC1"/>
    <w:rsid w:val="14150B8D"/>
    <w:rsid w:val="141A6E5F"/>
    <w:rsid w:val="14210B77"/>
    <w:rsid w:val="143856C7"/>
    <w:rsid w:val="14413AF5"/>
    <w:rsid w:val="14491CC3"/>
    <w:rsid w:val="144A2680"/>
    <w:rsid w:val="14656483"/>
    <w:rsid w:val="146F79AD"/>
    <w:rsid w:val="147D1767"/>
    <w:rsid w:val="147D1E6E"/>
    <w:rsid w:val="148649CF"/>
    <w:rsid w:val="1490165D"/>
    <w:rsid w:val="14973A22"/>
    <w:rsid w:val="149F4EFC"/>
    <w:rsid w:val="14B541C8"/>
    <w:rsid w:val="14C41D44"/>
    <w:rsid w:val="14CE56AF"/>
    <w:rsid w:val="14D26921"/>
    <w:rsid w:val="14E27DE1"/>
    <w:rsid w:val="14F25439"/>
    <w:rsid w:val="151775A0"/>
    <w:rsid w:val="15204255"/>
    <w:rsid w:val="15240041"/>
    <w:rsid w:val="15456EA1"/>
    <w:rsid w:val="15510CDE"/>
    <w:rsid w:val="15541BBA"/>
    <w:rsid w:val="15564808"/>
    <w:rsid w:val="155E7362"/>
    <w:rsid w:val="15850096"/>
    <w:rsid w:val="15D937D0"/>
    <w:rsid w:val="15FB5CAA"/>
    <w:rsid w:val="15FD20DC"/>
    <w:rsid w:val="15FE6376"/>
    <w:rsid w:val="161B2647"/>
    <w:rsid w:val="162F4B3F"/>
    <w:rsid w:val="16315349"/>
    <w:rsid w:val="1647043C"/>
    <w:rsid w:val="16517A43"/>
    <w:rsid w:val="165F1D92"/>
    <w:rsid w:val="1681742C"/>
    <w:rsid w:val="1688037A"/>
    <w:rsid w:val="16AF6776"/>
    <w:rsid w:val="16B95D62"/>
    <w:rsid w:val="16C91960"/>
    <w:rsid w:val="16E12A6C"/>
    <w:rsid w:val="16ED0359"/>
    <w:rsid w:val="16FF5609"/>
    <w:rsid w:val="17071A81"/>
    <w:rsid w:val="170C3D95"/>
    <w:rsid w:val="17115272"/>
    <w:rsid w:val="171163AE"/>
    <w:rsid w:val="17192CD5"/>
    <w:rsid w:val="172423A9"/>
    <w:rsid w:val="17441717"/>
    <w:rsid w:val="174F45EF"/>
    <w:rsid w:val="17584413"/>
    <w:rsid w:val="176526CF"/>
    <w:rsid w:val="178600C5"/>
    <w:rsid w:val="17863757"/>
    <w:rsid w:val="17893C68"/>
    <w:rsid w:val="178C2B60"/>
    <w:rsid w:val="178E3F78"/>
    <w:rsid w:val="179C2091"/>
    <w:rsid w:val="17AF062E"/>
    <w:rsid w:val="17B1511A"/>
    <w:rsid w:val="17EA5AEE"/>
    <w:rsid w:val="17F53892"/>
    <w:rsid w:val="18096BDF"/>
    <w:rsid w:val="182B3EC0"/>
    <w:rsid w:val="182C51CF"/>
    <w:rsid w:val="183B6A3F"/>
    <w:rsid w:val="183D2A6A"/>
    <w:rsid w:val="186B1E1D"/>
    <w:rsid w:val="187168B8"/>
    <w:rsid w:val="18740020"/>
    <w:rsid w:val="188729A6"/>
    <w:rsid w:val="188B79F1"/>
    <w:rsid w:val="189218C4"/>
    <w:rsid w:val="18D24935"/>
    <w:rsid w:val="18D829E2"/>
    <w:rsid w:val="18DA2103"/>
    <w:rsid w:val="18FB4938"/>
    <w:rsid w:val="18FE449B"/>
    <w:rsid w:val="19023A9D"/>
    <w:rsid w:val="19027D6E"/>
    <w:rsid w:val="190639F1"/>
    <w:rsid w:val="19146751"/>
    <w:rsid w:val="191C3ED4"/>
    <w:rsid w:val="19256EA6"/>
    <w:rsid w:val="195172AC"/>
    <w:rsid w:val="196567B4"/>
    <w:rsid w:val="196D332E"/>
    <w:rsid w:val="19707662"/>
    <w:rsid w:val="19A843CE"/>
    <w:rsid w:val="19B75EFF"/>
    <w:rsid w:val="19CB4324"/>
    <w:rsid w:val="19CE6C3E"/>
    <w:rsid w:val="19DD68A6"/>
    <w:rsid w:val="19F20614"/>
    <w:rsid w:val="19F80E54"/>
    <w:rsid w:val="1A006640"/>
    <w:rsid w:val="1A122511"/>
    <w:rsid w:val="1A150AB4"/>
    <w:rsid w:val="1A153FAE"/>
    <w:rsid w:val="1A295DAE"/>
    <w:rsid w:val="1A3F4BF5"/>
    <w:rsid w:val="1A4E44FC"/>
    <w:rsid w:val="1A5F4D51"/>
    <w:rsid w:val="1A7514FD"/>
    <w:rsid w:val="1A777D41"/>
    <w:rsid w:val="1AAB6099"/>
    <w:rsid w:val="1AD44663"/>
    <w:rsid w:val="1AD854B2"/>
    <w:rsid w:val="1AE71A92"/>
    <w:rsid w:val="1B042422"/>
    <w:rsid w:val="1B1C0B77"/>
    <w:rsid w:val="1B2D43C7"/>
    <w:rsid w:val="1B336C83"/>
    <w:rsid w:val="1B531D1D"/>
    <w:rsid w:val="1B704BD4"/>
    <w:rsid w:val="1B873CCC"/>
    <w:rsid w:val="1B8C1239"/>
    <w:rsid w:val="1B9614BF"/>
    <w:rsid w:val="1BA707B9"/>
    <w:rsid w:val="1BA7685D"/>
    <w:rsid w:val="1BE33E9E"/>
    <w:rsid w:val="1BFC5967"/>
    <w:rsid w:val="1C1925CC"/>
    <w:rsid w:val="1C1D60C4"/>
    <w:rsid w:val="1C3434E7"/>
    <w:rsid w:val="1C553DAE"/>
    <w:rsid w:val="1C6964BF"/>
    <w:rsid w:val="1C9301CD"/>
    <w:rsid w:val="1C964796"/>
    <w:rsid w:val="1C9F0C28"/>
    <w:rsid w:val="1C9F57EE"/>
    <w:rsid w:val="1CAC5B28"/>
    <w:rsid w:val="1CAD3B31"/>
    <w:rsid w:val="1CB25378"/>
    <w:rsid w:val="1CB3311E"/>
    <w:rsid w:val="1CCA6E27"/>
    <w:rsid w:val="1CCD7FDD"/>
    <w:rsid w:val="1CF704D3"/>
    <w:rsid w:val="1D1D6DBD"/>
    <w:rsid w:val="1D204336"/>
    <w:rsid w:val="1D205B0D"/>
    <w:rsid w:val="1D3B5DE1"/>
    <w:rsid w:val="1D4012D5"/>
    <w:rsid w:val="1D5A11A7"/>
    <w:rsid w:val="1D601D32"/>
    <w:rsid w:val="1D6A2756"/>
    <w:rsid w:val="1D6C4F7D"/>
    <w:rsid w:val="1D734762"/>
    <w:rsid w:val="1D853552"/>
    <w:rsid w:val="1DAA2675"/>
    <w:rsid w:val="1DAE185E"/>
    <w:rsid w:val="1DDD2FF5"/>
    <w:rsid w:val="1DE50576"/>
    <w:rsid w:val="1DEA2DF4"/>
    <w:rsid w:val="1DF0153B"/>
    <w:rsid w:val="1E0725C5"/>
    <w:rsid w:val="1E2A3FAA"/>
    <w:rsid w:val="1E3374E0"/>
    <w:rsid w:val="1E3B514F"/>
    <w:rsid w:val="1E3D0A58"/>
    <w:rsid w:val="1E4E40E8"/>
    <w:rsid w:val="1E593C50"/>
    <w:rsid w:val="1E6F1CB7"/>
    <w:rsid w:val="1E75201B"/>
    <w:rsid w:val="1E8F7506"/>
    <w:rsid w:val="1E9A2641"/>
    <w:rsid w:val="1E9B1230"/>
    <w:rsid w:val="1EAA2A73"/>
    <w:rsid w:val="1EBD7E9A"/>
    <w:rsid w:val="1ECE1AFD"/>
    <w:rsid w:val="1ED603CC"/>
    <w:rsid w:val="1EDB1AFD"/>
    <w:rsid w:val="1EE246F6"/>
    <w:rsid w:val="1EF05D87"/>
    <w:rsid w:val="1EF73851"/>
    <w:rsid w:val="1EFE319E"/>
    <w:rsid w:val="1F041E0C"/>
    <w:rsid w:val="1F054079"/>
    <w:rsid w:val="1F070678"/>
    <w:rsid w:val="1F134D4A"/>
    <w:rsid w:val="1F1750A2"/>
    <w:rsid w:val="1F2100B1"/>
    <w:rsid w:val="1F2576E4"/>
    <w:rsid w:val="1F3441F1"/>
    <w:rsid w:val="1F3A4ADB"/>
    <w:rsid w:val="1F3E0E39"/>
    <w:rsid w:val="1F481BBB"/>
    <w:rsid w:val="1F4869C3"/>
    <w:rsid w:val="1F6664FE"/>
    <w:rsid w:val="1F7D2651"/>
    <w:rsid w:val="1F8262DC"/>
    <w:rsid w:val="1FBF4AA8"/>
    <w:rsid w:val="1FCF62CF"/>
    <w:rsid w:val="1FD03333"/>
    <w:rsid w:val="1FD7643C"/>
    <w:rsid w:val="1FDD0FBC"/>
    <w:rsid w:val="1FF63ECE"/>
    <w:rsid w:val="1FF901B3"/>
    <w:rsid w:val="1FFA39FF"/>
    <w:rsid w:val="20142D5A"/>
    <w:rsid w:val="2017049E"/>
    <w:rsid w:val="203D1070"/>
    <w:rsid w:val="203E58AA"/>
    <w:rsid w:val="204F7B7F"/>
    <w:rsid w:val="20535689"/>
    <w:rsid w:val="2060498A"/>
    <w:rsid w:val="206700E7"/>
    <w:rsid w:val="207A0E2D"/>
    <w:rsid w:val="208374E5"/>
    <w:rsid w:val="2085162D"/>
    <w:rsid w:val="20863878"/>
    <w:rsid w:val="208A0C2E"/>
    <w:rsid w:val="209325AA"/>
    <w:rsid w:val="20AA31FF"/>
    <w:rsid w:val="20B61F88"/>
    <w:rsid w:val="20BA5764"/>
    <w:rsid w:val="20BB7937"/>
    <w:rsid w:val="20BF359C"/>
    <w:rsid w:val="20C842DD"/>
    <w:rsid w:val="212B4158"/>
    <w:rsid w:val="212E3449"/>
    <w:rsid w:val="213C4B6D"/>
    <w:rsid w:val="215204A3"/>
    <w:rsid w:val="215D083B"/>
    <w:rsid w:val="21683062"/>
    <w:rsid w:val="218B694E"/>
    <w:rsid w:val="21A11B67"/>
    <w:rsid w:val="21A80A3D"/>
    <w:rsid w:val="21AC78E7"/>
    <w:rsid w:val="21AE6A79"/>
    <w:rsid w:val="21B25D06"/>
    <w:rsid w:val="21C8121E"/>
    <w:rsid w:val="21D222EB"/>
    <w:rsid w:val="21DB14FB"/>
    <w:rsid w:val="21E378EF"/>
    <w:rsid w:val="220579D8"/>
    <w:rsid w:val="220D0C90"/>
    <w:rsid w:val="2210399C"/>
    <w:rsid w:val="22136AE4"/>
    <w:rsid w:val="2219479F"/>
    <w:rsid w:val="2221397A"/>
    <w:rsid w:val="222E667A"/>
    <w:rsid w:val="224906C4"/>
    <w:rsid w:val="2250628C"/>
    <w:rsid w:val="22537826"/>
    <w:rsid w:val="227C220B"/>
    <w:rsid w:val="228406FD"/>
    <w:rsid w:val="22BB6C69"/>
    <w:rsid w:val="22D32195"/>
    <w:rsid w:val="22D771BF"/>
    <w:rsid w:val="2303361D"/>
    <w:rsid w:val="230A3250"/>
    <w:rsid w:val="230C411E"/>
    <w:rsid w:val="23110A40"/>
    <w:rsid w:val="23116DD3"/>
    <w:rsid w:val="2326214E"/>
    <w:rsid w:val="232E1E4E"/>
    <w:rsid w:val="23426781"/>
    <w:rsid w:val="23462CE2"/>
    <w:rsid w:val="23584AFE"/>
    <w:rsid w:val="236B17EF"/>
    <w:rsid w:val="236D5BE6"/>
    <w:rsid w:val="23726B54"/>
    <w:rsid w:val="237853B0"/>
    <w:rsid w:val="23905B9D"/>
    <w:rsid w:val="239416E2"/>
    <w:rsid w:val="23A4009E"/>
    <w:rsid w:val="23A505FF"/>
    <w:rsid w:val="23B45F3A"/>
    <w:rsid w:val="23C50E02"/>
    <w:rsid w:val="23D107A9"/>
    <w:rsid w:val="23D21650"/>
    <w:rsid w:val="23DA17E5"/>
    <w:rsid w:val="23DB24EE"/>
    <w:rsid w:val="23DC3A48"/>
    <w:rsid w:val="23DC6D90"/>
    <w:rsid w:val="23FD0B12"/>
    <w:rsid w:val="24003F09"/>
    <w:rsid w:val="24173AE1"/>
    <w:rsid w:val="241F25F1"/>
    <w:rsid w:val="242929F4"/>
    <w:rsid w:val="24311635"/>
    <w:rsid w:val="243B35DE"/>
    <w:rsid w:val="243D3650"/>
    <w:rsid w:val="24585D63"/>
    <w:rsid w:val="2458770E"/>
    <w:rsid w:val="24596367"/>
    <w:rsid w:val="245A7614"/>
    <w:rsid w:val="246E6664"/>
    <w:rsid w:val="24835253"/>
    <w:rsid w:val="248B0143"/>
    <w:rsid w:val="248E1824"/>
    <w:rsid w:val="249332E4"/>
    <w:rsid w:val="24935554"/>
    <w:rsid w:val="24A568C4"/>
    <w:rsid w:val="24A777EE"/>
    <w:rsid w:val="24BB2AF7"/>
    <w:rsid w:val="24D01761"/>
    <w:rsid w:val="24F95E99"/>
    <w:rsid w:val="24FC12B7"/>
    <w:rsid w:val="24FD5130"/>
    <w:rsid w:val="24FF7082"/>
    <w:rsid w:val="25017CD2"/>
    <w:rsid w:val="25026826"/>
    <w:rsid w:val="251D0273"/>
    <w:rsid w:val="251F6D03"/>
    <w:rsid w:val="25625402"/>
    <w:rsid w:val="256817FF"/>
    <w:rsid w:val="256D6DD6"/>
    <w:rsid w:val="25945A9E"/>
    <w:rsid w:val="259472C1"/>
    <w:rsid w:val="259661DE"/>
    <w:rsid w:val="25B653F2"/>
    <w:rsid w:val="25C02462"/>
    <w:rsid w:val="25D96BD5"/>
    <w:rsid w:val="25E07198"/>
    <w:rsid w:val="25FE39F5"/>
    <w:rsid w:val="261511F7"/>
    <w:rsid w:val="2659362E"/>
    <w:rsid w:val="26753BEA"/>
    <w:rsid w:val="26772653"/>
    <w:rsid w:val="26891FE2"/>
    <w:rsid w:val="269410E6"/>
    <w:rsid w:val="26A31954"/>
    <w:rsid w:val="26AA022F"/>
    <w:rsid w:val="26BA0974"/>
    <w:rsid w:val="26BA0995"/>
    <w:rsid w:val="26C946BC"/>
    <w:rsid w:val="26CA7384"/>
    <w:rsid w:val="26D113BD"/>
    <w:rsid w:val="26D74947"/>
    <w:rsid w:val="26F07454"/>
    <w:rsid w:val="26FF444F"/>
    <w:rsid w:val="27020D90"/>
    <w:rsid w:val="270441C1"/>
    <w:rsid w:val="27076287"/>
    <w:rsid w:val="27127E7C"/>
    <w:rsid w:val="27306C8E"/>
    <w:rsid w:val="27445A33"/>
    <w:rsid w:val="27474D6F"/>
    <w:rsid w:val="275B7182"/>
    <w:rsid w:val="276E0751"/>
    <w:rsid w:val="27857BAC"/>
    <w:rsid w:val="278A1989"/>
    <w:rsid w:val="279970EC"/>
    <w:rsid w:val="279F6271"/>
    <w:rsid w:val="27C27198"/>
    <w:rsid w:val="27D36F21"/>
    <w:rsid w:val="27DC08F1"/>
    <w:rsid w:val="27DE069C"/>
    <w:rsid w:val="27E777EC"/>
    <w:rsid w:val="27F96ED6"/>
    <w:rsid w:val="28251466"/>
    <w:rsid w:val="282515D7"/>
    <w:rsid w:val="28267E84"/>
    <w:rsid w:val="282A479F"/>
    <w:rsid w:val="282F5594"/>
    <w:rsid w:val="283876EF"/>
    <w:rsid w:val="28401709"/>
    <w:rsid w:val="284D0DAD"/>
    <w:rsid w:val="284D1945"/>
    <w:rsid w:val="286303DB"/>
    <w:rsid w:val="287563E4"/>
    <w:rsid w:val="287E4C69"/>
    <w:rsid w:val="28805BA2"/>
    <w:rsid w:val="288829C2"/>
    <w:rsid w:val="28892C92"/>
    <w:rsid w:val="288A7A55"/>
    <w:rsid w:val="28930F99"/>
    <w:rsid w:val="28AE44A8"/>
    <w:rsid w:val="28B82533"/>
    <w:rsid w:val="28C96EA4"/>
    <w:rsid w:val="291000AD"/>
    <w:rsid w:val="291B4624"/>
    <w:rsid w:val="29330034"/>
    <w:rsid w:val="2936114F"/>
    <w:rsid w:val="294B3824"/>
    <w:rsid w:val="29501746"/>
    <w:rsid w:val="2962363F"/>
    <w:rsid w:val="29625B3F"/>
    <w:rsid w:val="297C6D87"/>
    <w:rsid w:val="298404EF"/>
    <w:rsid w:val="298D2B49"/>
    <w:rsid w:val="29961A41"/>
    <w:rsid w:val="29AF01B7"/>
    <w:rsid w:val="29B11898"/>
    <w:rsid w:val="29B81A50"/>
    <w:rsid w:val="29E503E6"/>
    <w:rsid w:val="29EB66EF"/>
    <w:rsid w:val="29F93C36"/>
    <w:rsid w:val="29FA68A8"/>
    <w:rsid w:val="2A001383"/>
    <w:rsid w:val="2A153661"/>
    <w:rsid w:val="2A1708CC"/>
    <w:rsid w:val="2A1C47A1"/>
    <w:rsid w:val="2A35785A"/>
    <w:rsid w:val="2A44211C"/>
    <w:rsid w:val="2A466B2A"/>
    <w:rsid w:val="2A4F2B1A"/>
    <w:rsid w:val="2A5F68E1"/>
    <w:rsid w:val="2A6462C1"/>
    <w:rsid w:val="2A777154"/>
    <w:rsid w:val="2A8662DA"/>
    <w:rsid w:val="2A97243D"/>
    <w:rsid w:val="2AAA072B"/>
    <w:rsid w:val="2AB66F8F"/>
    <w:rsid w:val="2AC327A9"/>
    <w:rsid w:val="2ADE403C"/>
    <w:rsid w:val="2AEB3BFF"/>
    <w:rsid w:val="2AF43146"/>
    <w:rsid w:val="2AF4760F"/>
    <w:rsid w:val="2AFA58E6"/>
    <w:rsid w:val="2AFD2ECF"/>
    <w:rsid w:val="2B253C04"/>
    <w:rsid w:val="2B4600D5"/>
    <w:rsid w:val="2B5E1AB5"/>
    <w:rsid w:val="2B67682F"/>
    <w:rsid w:val="2B6B60BA"/>
    <w:rsid w:val="2B6E29FB"/>
    <w:rsid w:val="2B8B15A7"/>
    <w:rsid w:val="2BB2220F"/>
    <w:rsid w:val="2BB52F8C"/>
    <w:rsid w:val="2BC162BB"/>
    <w:rsid w:val="2BE97BB4"/>
    <w:rsid w:val="2BF0598F"/>
    <w:rsid w:val="2BF17842"/>
    <w:rsid w:val="2C09022E"/>
    <w:rsid w:val="2C090B22"/>
    <w:rsid w:val="2C0A3C9E"/>
    <w:rsid w:val="2C23415B"/>
    <w:rsid w:val="2C2A7455"/>
    <w:rsid w:val="2C2D43D2"/>
    <w:rsid w:val="2C433FEE"/>
    <w:rsid w:val="2C5A776F"/>
    <w:rsid w:val="2C5D0015"/>
    <w:rsid w:val="2C67326C"/>
    <w:rsid w:val="2C6A7F35"/>
    <w:rsid w:val="2C716EA3"/>
    <w:rsid w:val="2C7B3D7C"/>
    <w:rsid w:val="2C7E7B71"/>
    <w:rsid w:val="2C8D69D0"/>
    <w:rsid w:val="2C8E154B"/>
    <w:rsid w:val="2C926FD0"/>
    <w:rsid w:val="2CA505EC"/>
    <w:rsid w:val="2CE10F7C"/>
    <w:rsid w:val="2D040730"/>
    <w:rsid w:val="2D0428EB"/>
    <w:rsid w:val="2D102A94"/>
    <w:rsid w:val="2D2224A0"/>
    <w:rsid w:val="2D2B0031"/>
    <w:rsid w:val="2D3548D7"/>
    <w:rsid w:val="2D3E37EB"/>
    <w:rsid w:val="2D4327F4"/>
    <w:rsid w:val="2D537CD1"/>
    <w:rsid w:val="2D5A133B"/>
    <w:rsid w:val="2D6908B3"/>
    <w:rsid w:val="2D704FA8"/>
    <w:rsid w:val="2D8353C0"/>
    <w:rsid w:val="2D8F5441"/>
    <w:rsid w:val="2D943D3A"/>
    <w:rsid w:val="2DA62C6A"/>
    <w:rsid w:val="2DB05236"/>
    <w:rsid w:val="2DB9546A"/>
    <w:rsid w:val="2DBD455A"/>
    <w:rsid w:val="2DDB13D7"/>
    <w:rsid w:val="2DF65264"/>
    <w:rsid w:val="2DF845DB"/>
    <w:rsid w:val="2DF879ED"/>
    <w:rsid w:val="2E0F199C"/>
    <w:rsid w:val="2E194D74"/>
    <w:rsid w:val="2E244D6C"/>
    <w:rsid w:val="2E3057BF"/>
    <w:rsid w:val="2E3B28ED"/>
    <w:rsid w:val="2E4C173C"/>
    <w:rsid w:val="2E6426F8"/>
    <w:rsid w:val="2E650E91"/>
    <w:rsid w:val="2E7E27DB"/>
    <w:rsid w:val="2E8072C1"/>
    <w:rsid w:val="2EAF5C05"/>
    <w:rsid w:val="2EB8462C"/>
    <w:rsid w:val="2EBD6E6B"/>
    <w:rsid w:val="2EC13EAE"/>
    <w:rsid w:val="2ED66070"/>
    <w:rsid w:val="2F101925"/>
    <w:rsid w:val="2F113395"/>
    <w:rsid w:val="2F2A3C43"/>
    <w:rsid w:val="2F4714D2"/>
    <w:rsid w:val="2F490B8D"/>
    <w:rsid w:val="2F645701"/>
    <w:rsid w:val="2F720B58"/>
    <w:rsid w:val="2F757214"/>
    <w:rsid w:val="2FBD082C"/>
    <w:rsid w:val="2FBD5AB3"/>
    <w:rsid w:val="300F1A5D"/>
    <w:rsid w:val="30260D36"/>
    <w:rsid w:val="30297B5C"/>
    <w:rsid w:val="30391DBE"/>
    <w:rsid w:val="30555DEE"/>
    <w:rsid w:val="305E61D6"/>
    <w:rsid w:val="30627AB5"/>
    <w:rsid w:val="30691444"/>
    <w:rsid w:val="30784337"/>
    <w:rsid w:val="309D31C1"/>
    <w:rsid w:val="30B04C30"/>
    <w:rsid w:val="30ED2E48"/>
    <w:rsid w:val="30EE3473"/>
    <w:rsid w:val="310F4B1D"/>
    <w:rsid w:val="31184DA6"/>
    <w:rsid w:val="312F66C0"/>
    <w:rsid w:val="31326553"/>
    <w:rsid w:val="31504F90"/>
    <w:rsid w:val="315513A6"/>
    <w:rsid w:val="316D1728"/>
    <w:rsid w:val="31744F4D"/>
    <w:rsid w:val="318F3AC2"/>
    <w:rsid w:val="318F5F83"/>
    <w:rsid w:val="31951E44"/>
    <w:rsid w:val="31A16AA4"/>
    <w:rsid w:val="31AB5E49"/>
    <w:rsid w:val="31AF5D85"/>
    <w:rsid w:val="31B8065A"/>
    <w:rsid w:val="31BE085D"/>
    <w:rsid w:val="31C85C73"/>
    <w:rsid w:val="31D74705"/>
    <w:rsid w:val="31E065DD"/>
    <w:rsid w:val="31EA76A2"/>
    <w:rsid w:val="31F5388B"/>
    <w:rsid w:val="320919D2"/>
    <w:rsid w:val="320B75DE"/>
    <w:rsid w:val="32152345"/>
    <w:rsid w:val="32360A6B"/>
    <w:rsid w:val="32415B71"/>
    <w:rsid w:val="32552DCC"/>
    <w:rsid w:val="325D7420"/>
    <w:rsid w:val="32607224"/>
    <w:rsid w:val="32634E06"/>
    <w:rsid w:val="32637CB3"/>
    <w:rsid w:val="32664346"/>
    <w:rsid w:val="32873D41"/>
    <w:rsid w:val="32916935"/>
    <w:rsid w:val="32960103"/>
    <w:rsid w:val="32A12445"/>
    <w:rsid w:val="32A322C9"/>
    <w:rsid w:val="32AC27F3"/>
    <w:rsid w:val="32C1529D"/>
    <w:rsid w:val="32C24528"/>
    <w:rsid w:val="32D036DC"/>
    <w:rsid w:val="331A03DF"/>
    <w:rsid w:val="33230735"/>
    <w:rsid w:val="332C038F"/>
    <w:rsid w:val="33481517"/>
    <w:rsid w:val="334D4301"/>
    <w:rsid w:val="3352174D"/>
    <w:rsid w:val="33593292"/>
    <w:rsid w:val="33672A87"/>
    <w:rsid w:val="336D1B3F"/>
    <w:rsid w:val="33706633"/>
    <w:rsid w:val="337E74E9"/>
    <w:rsid w:val="33827776"/>
    <w:rsid w:val="33964DC3"/>
    <w:rsid w:val="33964DF6"/>
    <w:rsid w:val="339C12E0"/>
    <w:rsid w:val="33B90614"/>
    <w:rsid w:val="33C33DFE"/>
    <w:rsid w:val="33D81F42"/>
    <w:rsid w:val="33E36C4D"/>
    <w:rsid w:val="33FC6A82"/>
    <w:rsid w:val="34250259"/>
    <w:rsid w:val="34335BD9"/>
    <w:rsid w:val="343B7D58"/>
    <w:rsid w:val="34583ACA"/>
    <w:rsid w:val="34595FA2"/>
    <w:rsid w:val="34792A55"/>
    <w:rsid w:val="34810309"/>
    <w:rsid w:val="34974318"/>
    <w:rsid w:val="34B237FE"/>
    <w:rsid w:val="34B65655"/>
    <w:rsid w:val="34B96A7D"/>
    <w:rsid w:val="34D826BA"/>
    <w:rsid w:val="34E52995"/>
    <w:rsid w:val="34F8360B"/>
    <w:rsid w:val="34F8379E"/>
    <w:rsid w:val="350630AB"/>
    <w:rsid w:val="350F7FF6"/>
    <w:rsid w:val="3523404A"/>
    <w:rsid w:val="352B697F"/>
    <w:rsid w:val="35410E8C"/>
    <w:rsid w:val="35430082"/>
    <w:rsid w:val="354E0CF7"/>
    <w:rsid w:val="35614B97"/>
    <w:rsid w:val="3562588B"/>
    <w:rsid w:val="35660463"/>
    <w:rsid w:val="35820D2E"/>
    <w:rsid w:val="358637E4"/>
    <w:rsid w:val="358B5E16"/>
    <w:rsid w:val="35976C03"/>
    <w:rsid w:val="35987369"/>
    <w:rsid w:val="35A06380"/>
    <w:rsid w:val="35A20F67"/>
    <w:rsid w:val="35AA08D8"/>
    <w:rsid w:val="35C20D6E"/>
    <w:rsid w:val="35C278A7"/>
    <w:rsid w:val="35CA4418"/>
    <w:rsid w:val="361117F8"/>
    <w:rsid w:val="362211BA"/>
    <w:rsid w:val="36253183"/>
    <w:rsid w:val="362B502D"/>
    <w:rsid w:val="36387C95"/>
    <w:rsid w:val="36486605"/>
    <w:rsid w:val="36553569"/>
    <w:rsid w:val="365A20B4"/>
    <w:rsid w:val="3666273E"/>
    <w:rsid w:val="3669624C"/>
    <w:rsid w:val="36777B38"/>
    <w:rsid w:val="368D2041"/>
    <w:rsid w:val="36967CAF"/>
    <w:rsid w:val="36A44BD9"/>
    <w:rsid w:val="36B81886"/>
    <w:rsid w:val="36D35258"/>
    <w:rsid w:val="36DD4157"/>
    <w:rsid w:val="36FD0D6B"/>
    <w:rsid w:val="36FD3997"/>
    <w:rsid w:val="37142BDC"/>
    <w:rsid w:val="371B1F44"/>
    <w:rsid w:val="374E5186"/>
    <w:rsid w:val="375E1667"/>
    <w:rsid w:val="3764456E"/>
    <w:rsid w:val="376D3CCA"/>
    <w:rsid w:val="376E6CF9"/>
    <w:rsid w:val="377004A6"/>
    <w:rsid w:val="377525C9"/>
    <w:rsid w:val="377C1F54"/>
    <w:rsid w:val="37811376"/>
    <w:rsid w:val="37820848"/>
    <w:rsid w:val="378878AF"/>
    <w:rsid w:val="37933B2E"/>
    <w:rsid w:val="37E66E64"/>
    <w:rsid w:val="37ED4D89"/>
    <w:rsid w:val="381217C5"/>
    <w:rsid w:val="381D111A"/>
    <w:rsid w:val="38235402"/>
    <w:rsid w:val="38295FB6"/>
    <w:rsid w:val="383538DA"/>
    <w:rsid w:val="384D2FFF"/>
    <w:rsid w:val="38515015"/>
    <w:rsid w:val="386C35A1"/>
    <w:rsid w:val="38833737"/>
    <w:rsid w:val="38864363"/>
    <w:rsid w:val="38937D7F"/>
    <w:rsid w:val="38940A7A"/>
    <w:rsid w:val="389F76A3"/>
    <w:rsid w:val="38B9564B"/>
    <w:rsid w:val="38D604AA"/>
    <w:rsid w:val="38D643BF"/>
    <w:rsid w:val="38D76531"/>
    <w:rsid w:val="38E22B5A"/>
    <w:rsid w:val="38EB4736"/>
    <w:rsid w:val="38FF6911"/>
    <w:rsid w:val="390E0795"/>
    <w:rsid w:val="39124A27"/>
    <w:rsid w:val="391A3AA2"/>
    <w:rsid w:val="391D4847"/>
    <w:rsid w:val="391E3887"/>
    <w:rsid w:val="392954A2"/>
    <w:rsid w:val="393813FF"/>
    <w:rsid w:val="393A39A9"/>
    <w:rsid w:val="393D4214"/>
    <w:rsid w:val="394D1993"/>
    <w:rsid w:val="3952510E"/>
    <w:rsid w:val="3956666D"/>
    <w:rsid w:val="395B1CB3"/>
    <w:rsid w:val="396343A1"/>
    <w:rsid w:val="3964006B"/>
    <w:rsid w:val="398E6030"/>
    <w:rsid w:val="398F6643"/>
    <w:rsid w:val="3991608D"/>
    <w:rsid w:val="39A1132A"/>
    <w:rsid w:val="39A26C35"/>
    <w:rsid w:val="39BF0867"/>
    <w:rsid w:val="39D66665"/>
    <w:rsid w:val="39F34CEC"/>
    <w:rsid w:val="39F75D32"/>
    <w:rsid w:val="3A0B3DFD"/>
    <w:rsid w:val="3A1E0719"/>
    <w:rsid w:val="3A2662A9"/>
    <w:rsid w:val="3A27119B"/>
    <w:rsid w:val="3A307C10"/>
    <w:rsid w:val="3A4818F7"/>
    <w:rsid w:val="3A4C4978"/>
    <w:rsid w:val="3A6A7FF1"/>
    <w:rsid w:val="3A747AF0"/>
    <w:rsid w:val="3A777AD8"/>
    <w:rsid w:val="3A7E76ED"/>
    <w:rsid w:val="3A922616"/>
    <w:rsid w:val="3A944C17"/>
    <w:rsid w:val="3AB95128"/>
    <w:rsid w:val="3AE01675"/>
    <w:rsid w:val="3AE53DAE"/>
    <w:rsid w:val="3AFE4833"/>
    <w:rsid w:val="3B0032FA"/>
    <w:rsid w:val="3B0535DB"/>
    <w:rsid w:val="3B0D34BD"/>
    <w:rsid w:val="3B13564F"/>
    <w:rsid w:val="3B162AC9"/>
    <w:rsid w:val="3B1B2AF0"/>
    <w:rsid w:val="3B484E5C"/>
    <w:rsid w:val="3B4D4AEA"/>
    <w:rsid w:val="3B534729"/>
    <w:rsid w:val="3B5B10C5"/>
    <w:rsid w:val="3B5B2BF6"/>
    <w:rsid w:val="3B626CE9"/>
    <w:rsid w:val="3B8D47A8"/>
    <w:rsid w:val="3B8F253E"/>
    <w:rsid w:val="3BB32DD0"/>
    <w:rsid w:val="3BBE08D1"/>
    <w:rsid w:val="3BBF7933"/>
    <w:rsid w:val="3BC7756E"/>
    <w:rsid w:val="3BCB2B1A"/>
    <w:rsid w:val="3BCC6EDC"/>
    <w:rsid w:val="3BD1158A"/>
    <w:rsid w:val="3BD25CB0"/>
    <w:rsid w:val="3BE654AF"/>
    <w:rsid w:val="3C0528EC"/>
    <w:rsid w:val="3C070798"/>
    <w:rsid w:val="3C0B7652"/>
    <w:rsid w:val="3C175B48"/>
    <w:rsid w:val="3C7D410B"/>
    <w:rsid w:val="3C970518"/>
    <w:rsid w:val="3C9B3556"/>
    <w:rsid w:val="3CB70D63"/>
    <w:rsid w:val="3CBF0CB5"/>
    <w:rsid w:val="3CC934E3"/>
    <w:rsid w:val="3CCD4ACC"/>
    <w:rsid w:val="3CF05E92"/>
    <w:rsid w:val="3D1162BB"/>
    <w:rsid w:val="3D2013CB"/>
    <w:rsid w:val="3D2D0B44"/>
    <w:rsid w:val="3D663A81"/>
    <w:rsid w:val="3D691B1D"/>
    <w:rsid w:val="3D855446"/>
    <w:rsid w:val="3D863024"/>
    <w:rsid w:val="3D890B08"/>
    <w:rsid w:val="3D89247D"/>
    <w:rsid w:val="3D8E011B"/>
    <w:rsid w:val="3D911D54"/>
    <w:rsid w:val="3D960E27"/>
    <w:rsid w:val="3D97276F"/>
    <w:rsid w:val="3DA15A9A"/>
    <w:rsid w:val="3DA6068A"/>
    <w:rsid w:val="3DA83973"/>
    <w:rsid w:val="3DB5727F"/>
    <w:rsid w:val="3DB95B62"/>
    <w:rsid w:val="3DD81FF9"/>
    <w:rsid w:val="3DD94377"/>
    <w:rsid w:val="3DEE155B"/>
    <w:rsid w:val="3DF7768C"/>
    <w:rsid w:val="3DFD522A"/>
    <w:rsid w:val="3E1B3086"/>
    <w:rsid w:val="3E2D05D9"/>
    <w:rsid w:val="3E4673CF"/>
    <w:rsid w:val="3E5835CD"/>
    <w:rsid w:val="3E632102"/>
    <w:rsid w:val="3E717C95"/>
    <w:rsid w:val="3EA06184"/>
    <w:rsid w:val="3EE856A7"/>
    <w:rsid w:val="3EFF270E"/>
    <w:rsid w:val="3EFF580C"/>
    <w:rsid w:val="3F05281E"/>
    <w:rsid w:val="3F1B00CF"/>
    <w:rsid w:val="3F1E1A92"/>
    <w:rsid w:val="3F1F1FB7"/>
    <w:rsid w:val="3F2139CD"/>
    <w:rsid w:val="3F32631C"/>
    <w:rsid w:val="3F4336CF"/>
    <w:rsid w:val="3F471C2C"/>
    <w:rsid w:val="3F483864"/>
    <w:rsid w:val="3F76058C"/>
    <w:rsid w:val="3F7C5976"/>
    <w:rsid w:val="3F911211"/>
    <w:rsid w:val="3F992989"/>
    <w:rsid w:val="3FA31CFD"/>
    <w:rsid w:val="3FAF5CA6"/>
    <w:rsid w:val="3FD95760"/>
    <w:rsid w:val="3FE12F5A"/>
    <w:rsid w:val="3FEF2248"/>
    <w:rsid w:val="3FF10608"/>
    <w:rsid w:val="40133E2A"/>
    <w:rsid w:val="40175F24"/>
    <w:rsid w:val="401F1A83"/>
    <w:rsid w:val="40237B65"/>
    <w:rsid w:val="405635CE"/>
    <w:rsid w:val="406303C9"/>
    <w:rsid w:val="4065101F"/>
    <w:rsid w:val="407943FD"/>
    <w:rsid w:val="407A1DEE"/>
    <w:rsid w:val="40984C0B"/>
    <w:rsid w:val="40B718AC"/>
    <w:rsid w:val="40C90399"/>
    <w:rsid w:val="40CA031F"/>
    <w:rsid w:val="40E45B16"/>
    <w:rsid w:val="40E651B7"/>
    <w:rsid w:val="40F356C9"/>
    <w:rsid w:val="40F4658F"/>
    <w:rsid w:val="40FA0031"/>
    <w:rsid w:val="40FF5866"/>
    <w:rsid w:val="41110BB6"/>
    <w:rsid w:val="411761A7"/>
    <w:rsid w:val="411A20AE"/>
    <w:rsid w:val="412212C4"/>
    <w:rsid w:val="41271690"/>
    <w:rsid w:val="412B046D"/>
    <w:rsid w:val="41760E61"/>
    <w:rsid w:val="417878FF"/>
    <w:rsid w:val="419516AA"/>
    <w:rsid w:val="41967463"/>
    <w:rsid w:val="41990A8E"/>
    <w:rsid w:val="41A1705C"/>
    <w:rsid w:val="41B52F85"/>
    <w:rsid w:val="41C62902"/>
    <w:rsid w:val="41E604E7"/>
    <w:rsid w:val="41EC2ABA"/>
    <w:rsid w:val="41FE164E"/>
    <w:rsid w:val="420C7505"/>
    <w:rsid w:val="42362BEA"/>
    <w:rsid w:val="42385F07"/>
    <w:rsid w:val="42405DC0"/>
    <w:rsid w:val="42465EED"/>
    <w:rsid w:val="4247670F"/>
    <w:rsid w:val="42495A0A"/>
    <w:rsid w:val="425158A8"/>
    <w:rsid w:val="42647ED8"/>
    <w:rsid w:val="426A6BB1"/>
    <w:rsid w:val="426D137B"/>
    <w:rsid w:val="42854A86"/>
    <w:rsid w:val="4289250D"/>
    <w:rsid w:val="42962679"/>
    <w:rsid w:val="42A068D6"/>
    <w:rsid w:val="42A2422A"/>
    <w:rsid w:val="42BB5FB4"/>
    <w:rsid w:val="42DB271C"/>
    <w:rsid w:val="42EE2A62"/>
    <w:rsid w:val="42FE4B3F"/>
    <w:rsid w:val="4303131C"/>
    <w:rsid w:val="43123ED2"/>
    <w:rsid w:val="431406D0"/>
    <w:rsid w:val="43145605"/>
    <w:rsid w:val="431D27FF"/>
    <w:rsid w:val="43270C7A"/>
    <w:rsid w:val="435C7B66"/>
    <w:rsid w:val="436D0665"/>
    <w:rsid w:val="4388672E"/>
    <w:rsid w:val="438B75DC"/>
    <w:rsid w:val="439815CE"/>
    <w:rsid w:val="43A121D7"/>
    <w:rsid w:val="43B33975"/>
    <w:rsid w:val="43B64413"/>
    <w:rsid w:val="43BC3A40"/>
    <w:rsid w:val="43C727F3"/>
    <w:rsid w:val="43CA31A0"/>
    <w:rsid w:val="43E423D4"/>
    <w:rsid w:val="43F43141"/>
    <w:rsid w:val="440E0FC2"/>
    <w:rsid w:val="441630E2"/>
    <w:rsid w:val="44190F18"/>
    <w:rsid w:val="443E11E9"/>
    <w:rsid w:val="4457126D"/>
    <w:rsid w:val="44677C07"/>
    <w:rsid w:val="44741842"/>
    <w:rsid w:val="447647C4"/>
    <w:rsid w:val="44797CCF"/>
    <w:rsid w:val="448835CC"/>
    <w:rsid w:val="448D6AE7"/>
    <w:rsid w:val="44BE3D23"/>
    <w:rsid w:val="44CB7032"/>
    <w:rsid w:val="44DF70EB"/>
    <w:rsid w:val="44E665F4"/>
    <w:rsid w:val="45070E07"/>
    <w:rsid w:val="450D60DE"/>
    <w:rsid w:val="45143F9D"/>
    <w:rsid w:val="45197B73"/>
    <w:rsid w:val="451B22E7"/>
    <w:rsid w:val="453358B9"/>
    <w:rsid w:val="454719ED"/>
    <w:rsid w:val="454C0E4E"/>
    <w:rsid w:val="455A74B8"/>
    <w:rsid w:val="455F23A0"/>
    <w:rsid w:val="45605531"/>
    <w:rsid w:val="4567364C"/>
    <w:rsid w:val="456F4BD7"/>
    <w:rsid w:val="45854C50"/>
    <w:rsid w:val="45C37976"/>
    <w:rsid w:val="45FE11F4"/>
    <w:rsid w:val="46031313"/>
    <w:rsid w:val="460766D7"/>
    <w:rsid w:val="460C7041"/>
    <w:rsid w:val="462A3516"/>
    <w:rsid w:val="463409F9"/>
    <w:rsid w:val="464F19F4"/>
    <w:rsid w:val="46556A2D"/>
    <w:rsid w:val="465B0F22"/>
    <w:rsid w:val="466F67A3"/>
    <w:rsid w:val="467417B1"/>
    <w:rsid w:val="468803FF"/>
    <w:rsid w:val="468D65A9"/>
    <w:rsid w:val="469644FC"/>
    <w:rsid w:val="46986CF6"/>
    <w:rsid w:val="46A97A22"/>
    <w:rsid w:val="46CD6C95"/>
    <w:rsid w:val="46DC17E9"/>
    <w:rsid w:val="46EA0ECB"/>
    <w:rsid w:val="46EC12B2"/>
    <w:rsid w:val="46FD3082"/>
    <w:rsid w:val="46FF4848"/>
    <w:rsid w:val="470F3325"/>
    <w:rsid w:val="47105457"/>
    <w:rsid w:val="47135795"/>
    <w:rsid w:val="471F7F6F"/>
    <w:rsid w:val="47434864"/>
    <w:rsid w:val="47731402"/>
    <w:rsid w:val="47834AFD"/>
    <w:rsid w:val="47845AE4"/>
    <w:rsid w:val="479175FF"/>
    <w:rsid w:val="47A00FC9"/>
    <w:rsid w:val="47A318E5"/>
    <w:rsid w:val="47B5734E"/>
    <w:rsid w:val="47CF1D0F"/>
    <w:rsid w:val="47D42251"/>
    <w:rsid w:val="47D63AB8"/>
    <w:rsid w:val="47DF1B4F"/>
    <w:rsid w:val="47E631D3"/>
    <w:rsid w:val="47F132AD"/>
    <w:rsid w:val="47F97EA0"/>
    <w:rsid w:val="48084399"/>
    <w:rsid w:val="484B3BDB"/>
    <w:rsid w:val="48512FAB"/>
    <w:rsid w:val="48626003"/>
    <w:rsid w:val="486C1300"/>
    <w:rsid w:val="486D1C3A"/>
    <w:rsid w:val="48786BFC"/>
    <w:rsid w:val="488A1E3E"/>
    <w:rsid w:val="488B73F8"/>
    <w:rsid w:val="489C25DB"/>
    <w:rsid w:val="48B76095"/>
    <w:rsid w:val="48B9106F"/>
    <w:rsid w:val="48DF1E44"/>
    <w:rsid w:val="48EC5C9A"/>
    <w:rsid w:val="490E30D1"/>
    <w:rsid w:val="491542DD"/>
    <w:rsid w:val="4920244D"/>
    <w:rsid w:val="492C4DBD"/>
    <w:rsid w:val="49320C13"/>
    <w:rsid w:val="493E5EB7"/>
    <w:rsid w:val="49515A7B"/>
    <w:rsid w:val="49545CC7"/>
    <w:rsid w:val="49686075"/>
    <w:rsid w:val="496F302E"/>
    <w:rsid w:val="4978527D"/>
    <w:rsid w:val="497B306B"/>
    <w:rsid w:val="49A02094"/>
    <w:rsid w:val="49C90977"/>
    <w:rsid w:val="49CA5613"/>
    <w:rsid w:val="49D21CDE"/>
    <w:rsid w:val="49D37BDD"/>
    <w:rsid w:val="49E76698"/>
    <w:rsid w:val="49FD1C5F"/>
    <w:rsid w:val="49FF786F"/>
    <w:rsid w:val="4A0D66A4"/>
    <w:rsid w:val="4A1F3254"/>
    <w:rsid w:val="4A2F7EEF"/>
    <w:rsid w:val="4A431EB7"/>
    <w:rsid w:val="4A650ED1"/>
    <w:rsid w:val="4A662F61"/>
    <w:rsid w:val="4A7D4894"/>
    <w:rsid w:val="4A9900FC"/>
    <w:rsid w:val="4AB05BFA"/>
    <w:rsid w:val="4AB05CF9"/>
    <w:rsid w:val="4AB46200"/>
    <w:rsid w:val="4AC050F0"/>
    <w:rsid w:val="4AC121D8"/>
    <w:rsid w:val="4AC24373"/>
    <w:rsid w:val="4AD43F9E"/>
    <w:rsid w:val="4ADA297D"/>
    <w:rsid w:val="4B163313"/>
    <w:rsid w:val="4B20093D"/>
    <w:rsid w:val="4B2B6709"/>
    <w:rsid w:val="4B2F3F00"/>
    <w:rsid w:val="4B36316E"/>
    <w:rsid w:val="4B4C4C54"/>
    <w:rsid w:val="4B621DA9"/>
    <w:rsid w:val="4B690391"/>
    <w:rsid w:val="4B6D09EC"/>
    <w:rsid w:val="4B962BDE"/>
    <w:rsid w:val="4BAF7A2E"/>
    <w:rsid w:val="4BB308F8"/>
    <w:rsid w:val="4BC0074A"/>
    <w:rsid w:val="4BCA6BD6"/>
    <w:rsid w:val="4BCB3BF0"/>
    <w:rsid w:val="4BCE0A6C"/>
    <w:rsid w:val="4BEA6EE2"/>
    <w:rsid w:val="4BFD6F0D"/>
    <w:rsid w:val="4C1D325B"/>
    <w:rsid w:val="4C252742"/>
    <w:rsid w:val="4C27612E"/>
    <w:rsid w:val="4C2E469C"/>
    <w:rsid w:val="4C530ED5"/>
    <w:rsid w:val="4C672AEF"/>
    <w:rsid w:val="4C6B45F3"/>
    <w:rsid w:val="4C7819EE"/>
    <w:rsid w:val="4C815FAA"/>
    <w:rsid w:val="4C886007"/>
    <w:rsid w:val="4C8962F8"/>
    <w:rsid w:val="4C8D4321"/>
    <w:rsid w:val="4C96577B"/>
    <w:rsid w:val="4C966937"/>
    <w:rsid w:val="4C991E77"/>
    <w:rsid w:val="4CB44B78"/>
    <w:rsid w:val="4CB46AC4"/>
    <w:rsid w:val="4CBC2760"/>
    <w:rsid w:val="4CC31833"/>
    <w:rsid w:val="4CD116B4"/>
    <w:rsid w:val="4CD6650A"/>
    <w:rsid w:val="4CE13C48"/>
    <w:rsid w:val="4CF60DC3"/>
    <w:rsid w:val="4CFB19E4"/>
    <w:rsid w:val="4D0418F8"/>
    <w:rsid w:val="4D1E30A2"/>
    <w:rsid w:val="4D245D4D"/>
    <w:rsid w:val="4D355C0B"/>
    <w:rsid w:val="4D481120"/>
    <w:rsid w:val="4D5C3984"/>
    <w:rsid w:val="4D76337D"/>
    <w:rsid w:val="4D823F64"/>
    <w:rsid w:val="4D8B7FA7"/>
    <w:rsid w:val="4DB10F21"/>
    <w:rsid w:val="4DBD5924"/>
    <w:rsid w:val="4DC20984"/>
    <w:rsid w:val="4DD67087"/>
    <w:rsid w:val="4DDB472E"/>
    <w:rsid w:val="4DF1027E"/>
    <w:rsid w:val="4E0404D9"/>
    <w:rsid w:val="4E0F6A33"/>
    <w:rsid w:val="4E15529F"/>
    <w:rsid w:val="4E225DAA"/>
    <w:rsid w:val="4E393282"/>
    <w:rsid w:val="4E540892"/>
    <w:rsid w:val="4E5A7203"/>
    <w:rsid w:val="4E674AE8"/>
    <w:rsid w:val="4E70182C"/>
    <w:rsid w:val="4E812203"/>
    <w:rsid w:val="4E8A2A13"/>
    <w:rsid w:val="4E97394F"/>
    <w:rsid w:val="4ECA2ECF"/>
    <w:rsid w:val="4EE752FD"/>
    <w:rsid w:val="4EEA141D"/>
    <w:rsid w:val="4F240F09"/>
    <w:rsid w:val="4F2454E5"/>
    <w:rsid w:val="4F2B12AF"/>
    <w:rsid w:val="4F305377"/>
    <w:rsid w:val="4F4A6073"/>
    <w:rsid w:val="4F513A8A"/>
    <w:rsid w:val="4F5D78AE"/>
    <w:rsid w:val="4F67157E"/>
    <w:rsid w:val="4F70143B"/>
    <w:rsid w:val="4F8A0B78"/>
    <w:rsid w:val="4F92583E"/>
    <w:rsid w:val="4F9902D6"/>
    <w:rsid w:val="4F9A2FEC"/>
    <w:rsid w:val="4FB04F74"/>
    <w:rsid w:val="4FB619FD"/>
    <w:rsid w:val="4FBA1DC6"/>
    <w:rsid w:val="4FDB759E"/>
    <w:rsid w:val="4FEA5BB4"/>
    <w:rsid w:val="4FF42FE3"/>
    <w:rsid w:val="4FFB52CE"/>
    <w:rsid w:val="500129BC"/>
    <w:rsid w:val="5010089C"/>
    <w:rsid w:val="50135755"/>
    <w:rsid w:val="502F1AA4"/>
    <w:rsid w:val="503F3A8A"/>
    <w:rsid w:val="505635C3"/>
    <w:rsid w:val="5071799F"/>
    <w:rsid w:val="5076080C"/>
    <w:rsid w:val="50862088"/>
    <w:rsid w:val="508A2B59"/>
    <w:rsid w:val="50915E78"/>
    <w:rsid w:val="5095689F"/>
    <w:rsid w:val="509C782A"/>
    <w:rsid w:val="50B0705A"/>
    <w:rsid w:val="50D540AF"/>
    <w:rsid w:val="50E11209"/>
    <w:rsid w:val="51036D93"/>
    <w:rsid w:val="51182744"/>
    <w:rsid w:val="511B2FAF"/>
    <w:rsid w:val="51223CB4"/>
    <w:rsid w:val="516E747F"/>
    <w:rsid w:val="5177021E"/>
    <w:rsid w:val="51771706"/>
    <w:rsid w:val="518E32CC"/>
    <w:rsid w:val="518F214D"/>
    <w:rsid w:val="519C6E46"/>
    <w:rsid w:val="51C27D9B"/>
    <w:rsid w:val="51C62308"/>
    <w:rsid w:val="51D429E2"/>
    <w:rsid w:val="51D61FFB"/>
    <w:rsid w:val="51DC2764"/>
    <w:rsid w:val="51F56314"/>
    <w:rsid w:val="520E2A86"/>
    <w:rsid w:val="52101A60"/>
    <w:rsid w:val="521735CE"/>
    <w:rsid w:val="522449D7"/>
    <w:rsid w:val="522D7105"/>
    <w:rsid w:val="522E7DC1"/>
    <w:rsid w:val="522F4AB4"/>
    <w:rsid w:val="52496802"/>
    <w:rsid w:val="52580495"/>
    <w:rsid w:val="525C6D50"/>
    <w:rsid w:val="526A769F"/>
    <w:rsid w:val="526E1E9E"/>
    <w:rsid w:val="52794C2E"/>
    <w:rsid w:val="527F40E0"/>
    <w:rsid w:val="52821247"/>
    <w:rsid w:val="52891791"/>
    <w:rsid w:val="528E2ED6"/>
    <w:rsid w:val="529F00F2"/>
    <w:rsid w:val="529F5018"/>
    <w:rsid w:val="52A0129E"/>
    <w:rsid w:val="52A3505C"/>
    <w:rsid w:val="52A60E61"/>
    <w:rsid w:val="52AE7DEA"/>
    <w:rsid w:val="52B5283B"/>
    <w:rsid w:val="52BC17D5"/>
    <w:rsid w:val="52C5146A"/>
    <w:rsid w:val="52F66394"/>
    <w:rsid w:val="52F7044A"/>
    <w:rsid w:val="53015BB3"/>
    <w:rsid w:val="530479D8"/>
    <w:rsid w:val="530B5425"/>
    <w:rsid w:val="5324316B"/>
    <w:rsid w:val="53506482"/>
    <w:rsid w:val="53637F8C"/>
    <w:rsid w:val="538C69B0"/>
    <w:rsid w:val="538D12C1"/>
    <w:rsid w:val="53A457F4"/>
    <w:rsid w:val="53A45A44"/>
    <w:rsid w:val="53B00A26"/>
    <w:rsid w:val="53E31F75"/>
    <w:rsid w:val="53EE11A3"/>
    <w:rsid w:val="53EF39FB"/>
    <w:rsid w:val="53FA19DC"/>
    <w:rsid w:val="540B6340"/>
    <w:rsid w:val="54280303"/>
    <w:rsid w:val="54386DBB"/>
    <w:rsid w:val="543E2D11"/>
    <w:rsid w:val="54550B86"/>
    <w:rsid w:val="546C59CB"/>
    <w:rsid w:val="547C5AC1"/>
    <w:rsid w:val="54AA764D"/>
    <w:rsid w:val="54AB2D91"/>
    <w:rsid w:val="54B656D1"/>
    <w:rsid w:val="54B94AD7"/>
    <w:rsid w:val="54BB5E71"/>
    <w:rsid w:val="54CB1B6D"/>
    <w:rsid w:val="54F6286D"/>
    <w:rsid w:val="54F84BA1"/>
    <w:rsid w:val="5501305E"/>
    <w:rsid w:val="55105512"/>
    <w:rsid w:val="551A5611"/>
    <w:rsid w:val="551E4C84"/>
    <w:rsid w:val="554311EE"/>
    <w:rsid w:val="5545487B"/>
    <w:rsid w:val="554B2228"/>
    <w:rsid w:val="554F2A37"/>
    <w:rsid w:val="555B23E4"/>
    <w:rsid w:val="555F621A"/>
    <w:rsid w:val="5586382C"/>
    <w:rsid w:val="558B5F34"/>
    <w:rsid w:val="55A41A5D"/>
    <w:rsid w:val="55A5580B"/>
    <w:rsid w:val="55C90E28"/>
    <w:rsid w:val="55C91A29"/>
    <w:rsid w:val="55CB525D"/>
    <w:rsid w:val="55E059C0"/>
    <w:rsid w:val="55F663AF"/>
    <w:rsid w:val="56004008"/>
    <w:rsid w:val="56030ED4"/>
    <w:rsid w:val="560464E1"/>
    <w:rsid w:val="5617290B"/>
    <w:rsid w:val="5625469E"/>
    <w:rsid w:val="563741E0"/>
    <w:rsid w:val="56436896"/>
    <w:rsid w:val="56442467"/>
    <w:rsid w:val="56454045"/>
    <w:rsid w:val="564A52AA"/>
    <w:rsid w:val="564E008E"/>
    <w:rsid w:val="565D7FD6"/>
    <w:rsid w:val="565F1988"/>
    <w:rsid w:val="5669095E"/>
    <w:rsid w:val="566B687B"/>
    <w:rsid w:val="566D027E"/>
    <w:rsid w:val="56A340D5"/>
    <w:rsid w:val="56A97113"/>
    <w:rsid w:val="56B12434"/>
    <w:rsid w:val="56B47DAA"/>
    <w:rsid w:val="56C241D2"/>
    <w:rsid w:val="570C03FA"/>
    <w:rsid w:val="57105CA6"/>
    <w:rsid w:val="57234776"/>
    <w:rsid w:val="573E5EBF"/>
    <w:rsid w:val="57444362"/>
    <w:rsid w:val="57515676"/>
    <w:rsid w:val="575C1E66"/>
    <w:rsid w:val="57685D10"/>
    <w:rsid w:val="577C060E"/>
    <w:rsid w:val="578533CA"/>
    <w:rsid w:val="57887F50"/>
    <w:rsid w:val="579379DD"/>
    <w:rsid w:val="57A21E02"/>
    <w:rsid w:val="57B16BCE"/>
    <w:rsid w:val="57B17E81"/>
    <w:rsid w:val="57BB5D6E"/>
    <w:rsid w:val="57C32B85"/>
    <w:rsid w:val="57CC49FE"/>
    <w:rsid w:val="57D479E8"/>
    <w:rsid w:val="57DB7984"/>
    <w:rsid w:val="57F11225"/>
    <w:rsid w:val="582A1ADA"/>
    <w:rsid w:val="5849726D"/>
    <w:rsid w:val="585C2193"/>
    <w:rsid w:val="585F4FE0"/>
    <w:rsid w:val="586625F4"/>
    <w:rsid w:val="586A1A57"/>
    <w:rsid w:val="587209A9"/>
    <w:rsid w:val="58836C29"/>
    <w:rsid w:val="589737EF"/>
    <w:rsid w:val="589A6E57"/>
    <w:rsid w:val="58C07789"/>
    <w:rsid w:val="58D104CB"/>
    <w:rsid w:val="58D92F3F"/>
    <w:rsid w:val="58DF6175"/>
    <w:rsid w:val="58E75B44"/>
    <w:rsid w:val="58F55582"/>
    <w:rsid w:val="58F83E83"/>
    <w:rsid w:val="58FF6A12"/>
    <w:rsid w:val="59061297"/>
    <w:rsid w:val="59073517"/>
    <w:rsid w:val="591236B9"/>
    <w:rsid w:val="59127C90"/>
    <w:rsid w:val="591D6882"/>
    <w:rsid w:val="59212F91"/>
    <w:rsid w:val="5924316A"/>
    <w:rsid w:val="59307F14"/>
    <w:rsid w:val="59316911"/>
    <w:rsid w:val="59377FD1"/>
    <w:rsid w:val="5941062E"/>
    <w:rsid w:val="59575FD0"/>
    <w:rsid w:val="59704B91"/>
    <w:rsid w:val="597727F0"/>
    <w:rsid w:val="598312E4"/>
    <w:rsid w:val="59951601"/>
    <w:rsid w:val="59957D49"/>
    <w:rsid w:val="59CA2E8A"/>
    <w:rsid w:val="59CE3EEE"/>
    <w:rsid w:val="59DA06B5"/>
    <w:rsid w:val="5A291788"/>
    <w:rsid w:val="5A355B80"/>
    <w:rsid w:val="5A3752D0"/>
    <w:rsid w:val="5A382E73"/>
    <w:rsid w:val="5A384A2E"/>
    <w:rsid w:val="5A653ABA"/>
    <w:rsid w:val="5A6A2FFB"/>
    <w:rsid w:val="5A7D7C16"/>
    <w:rsid w:val="5ABC503D"/>
    <w:rsid w:val="5AC32202"/>
    <w:rsid w:val="5AD83369"/>
    <w:rsid w:val="5AF72BCE"/>
    <w:rsid w:val="5B155753"/>
    <w:rsid w:val="5B1A44C2"/>
    <w:rsid w:val="5B2A7AEB"/>
    <w:rsid w:val="5B2E735C"/>
    <w:rsid w:val="5B6353E9"/>
    <w:rsid w:val="5B7727B0"/>
    <w:rsid w:val="5B94433F"/>
    <w:rsid w:val="5B985286"/>
    <w:rsid w:val="5B9D0444"/>
    <w:rsid w:val="5BCE1C4A"/>
    <w:rsid w:val="5C147D78"/>
    <w:rsid w:val="5C150975"/>
    <w:rsid w:val="5C1E2494"/>
    <w:rsid w:val="5C365553"/>
    <w:rsid w:val="5C516CC3"/>
    <w:rsid w:val="5C563825"/>
    <w:rsid w:val="5C6F7958"/>
    <w:rsid w:val="5C7306FC"/>
    <w:rsid w:val="5C83704B"/>
    <w:rsid w:val="5C8413EC"/>
    <w:rsid w:val="5C8706D9"/>
    <w:rsid w:val="5C8C4094"/>
    <w:rsid w:val="5C8D20CE"/>
    <w:rsid w:val="5C9D171C"/>
    <w:rsid w:val="5CA23F16"/>
    <w:rsid w:val="5CA82464"/>
    <w:rsid w:val="5CB37434"/>
    <w:rsid w:val="5CB624B2"/>
    <w:rsid w:val="5CDC5CDE"/>
    <w:rsid w:val="5CEB7FB9"/>
    <w:rsid w:val="5CF14BFE"/>
    <w:rsid w:val="5D082A64"/>
    <w:rsid w:val="5D180BD5"/>
    <w:rsid w:val="5D3C00A4"/>
    <w:rsid w:val="5D495DC0"/>
    <w:rsid w:val="5D496DF2"/>
    <w:rsid w:val="5D536755"/>
    <w:rsid w:val="5D651FA1"/>
    <w:rsid w:val="5D872D24"/>
    <w:rsid w:val="5D8E0772"/>
    <w:rsid w:val="5D9361A7"/>
    <w:rsid w:val="5DBE35CC"/>
    <w:rsid w:val="5DD17B24"/>
    <w:rsid w:val="5DD310A5"/>
    <w:rsid w:val="5E301CF7"/>
    <w:rsid w:val="5E3044D6"/>
    <w:rsid w:val="5E790B08"/>
    <w:rsid w:val="5E985D2E"/>
    <w:rsid w:val="5EA1238E"/>
    <w:rsid w:val="5EAE21BC"/>
    <w:rsid w:val="5EEC0EB1"/>
    <w:rsid w:val="5EFE1017"/>
    <w:rsid w:val="5F0C68BB"/>
    <w:rsid w:val="5F0F3972"/>
    <w:rsid w:val="5F10475E"/>
    <w:rsid w:val="5F152F6F"/>
    <w:rsid w:val="5F1F21F6"/>
    <w:rsid w:val="5F1F5CCC"/>
    <w:rsid w:val="5F3735A9"/>
    <w:rsid w:val="5F4F1FC2"/>
    <w:rsid w:val="5F5758AE"/>
    <w:rsid w:val="5F6835F6"/>
    <w:rsid w:val="5F732E2E"/>
    <w:rsid w:val="5F7D4CCF"/>
    <w:rsid w:val="5F8127C6"/>
    <w:rsid w:val="5F8F595D"/>
    <w:rsid w:val="5F9016EB"/>
    <w:rsid w:val="5F9160DE"/>
    <w:rsid w:val="5F9B6321"/>
    <w:rsid w:val="5FBA17E5"/>
    <w:rsid w:val="5FBB6229"/>
    <w:rsid w:val="5FD51F6F"/>
    <w:rsid w:val="5FD9428F"/>
    <w:rsid w:val="5FE50CE9"/>
    <w:rsid w:val="600F1B2F"/>
    <w:rsid w:val="6021302C"/>
    <w:rsid w:val="60250AD0"/>
    <w:rsid w:val="60354DAC"/>
    <w:rsid w:val="603649F8"/>
    <w:rsid w:val="60385413"/>
    <w:rsid w:val="60490968"/>
    <w:rsid w:val="604A2DDD"/>
    <w:rsid w:val="604A6344"/>
    <w:rsid w:val="60503857"/>
    <w:rsid w:val="605B6174"/>
    <w:rsid w:val="60645439"/>
    <w:rsid w:val="6067348A"/>
    <w:rsid w:val="606D0572"/>
    <w:rsid w:val="60710C1D"/>
    <w:rsid w:val="608D40A2"/>
    <w:rsid w:val="608E51B0"/>
    <w:rsid w:val="60B27347"/>
    <w:rsid w:val="60C27BCC"/>
    <w:rsid w:val="60C576A1"/>
    <w:rsid w:val="60D420E6"/>
    <w:rsid w:val="60DB5BA3"/>
    <w:rsid w:val="60FE2615"/>
    <w:rsid w:val="610D063D"/>
    <w:rsid w:val="61110EC4"/>
    <w:rsid w:val="611429C9"/>
    <w:rsid w:val="61226D3C"/>
    <w:rsid w:val="61467043"/>
    <w:rsid w:val="616E35B6"/>
    <w:rsid w:val="61711948"/>
    <w:rsid w:val="617C3ABB"/>
    <w:rsid w:val="61866452"/>
    <w:rsid w:val="618B2280"/>
    <w:rsid w:val="61EA22E1"/>
    <w:rsid w:val="61F517C6"/>
    <w:rsid w:val="62093017"/>
    <w:rsid w:val="621B092A"/>
    <w:rsid w:val="621B7791"/>
    <w:rsid w:val="62261937"/>
    <w:rsid w:val="62306C28"/>
    <w:rsid w:val="625A68C1"/>
    <w:rsid w:val="626E474C"/>
    <w:rsid w:val="628937FB"/>
    <w:rsid w:val="628C7897"/>
    <w:rsid w:val="628F375C"/>
    <w:rsid w:val="629E09F5"/>
    <w:rsid w:val="62B70EA4"/>
    <w:rsid w:val="62E41E28"/>
    <w:rsid w:val="62F80711"/>
    <w:rsid w:val="633764FF"/>
    <w:rsid w:val="63390DA6"/>
    <w:rsid w:val="63587450"/>
    <w:rsid w:val="63696456"/>
    <w:rsid w:val="637621C0"/>
    <w:rsid w:val="637A3534"/>
    <w:rsid w:val="639578C3"/>
    <w:rsid w:val="63A60237"/>
    <w:rsid w:val="63A96545"/>
    <w:rsid w:val="63AC3C87"/>
    <w:rsid w:val="63B025B0"/>
    <w:rsid w:val="63B5261C"/>
    <w:rsid w:val="63B61A92"/>
    <w:rsid w:val="63C779CA"/>
    <w:rsid w:val="63CC462C"/>
    <w:rsid w:val="63D82E8E"/>
    <w:rsid w:val="63E8207B"/>
    <w:rsid w:val="63EB5587"/>
    <w:rsid w:val="63EE292E"/>
    <w:rsid w:val="63F86BDA"/>
    <w:rsid w:val="63FD11A6"/>
    <w:rsid w:val="641E4DBB"/>
    <w:rsid w:val="642633BF"/>
    <w:rsid w:val="643C697B"/>
    <w:rsid w:val="643D2AF3"/>
    <w:rsid w:val="64472129"/>
    <w:rsid w:val="645041E2"/>
    <w:rsid w:val="64541360"/>
    <w:rsid w:val="645419D8"/>
    <w:rsid w:val="64571480"/>
    <w:rsid w:val="645F3040"/>
    <w:rsid w:val="64622046"/>
    <w:rsid w:val="64667FF5"/>
    <w:rsid w:val="647A609C"/>
    <w:rsid w:val="648375E0"/>
    <w:rsid w:val="64A8232A"/>
    <w:rsid w:val="64B32EF5"/>
    <w:rsid w:val="64B90C15"/>
    <w:rsid w:val="64BA37EC"/>
    <w:rsid w:val="64C07B94"/>
    <w:rsid w:val="64C31443"/>
    <w:rsid w:val="64CA3E7A"/>
    <w:rsid w:val="64D73E5F"/>
    <w:rsid w:val="64FD3421"/>
    <w:rsid w:val="651C55DE"/>
    <w:rsid w:val="651D1DB1"/>
    <w:rsid w:val="651E1E6E"/>
    <w:rsid w:val="65200F6D"/>
    <w:rsid w:val="653C06C1"/>
    <w:rsid w:val="654F5D4D"/>
    <w:rsid w:val="65703E2E"/>
    <w:rsid w:val="65812B5A"/>
    <w:rsid w:val="65922B5F"/>
    <w:rsid w:val="65A311FF"/>
    <w:rsid w:val="65AE3C3C"/>
    <w:rsid w:val="65D11328"/>
    <w:rsid w:val="65E21615"/>
    <w:rsid w:val="65E67719"/>
    <w:rsid w:val="65F67686"/>
    <w:rsid w:val="660A4387"/>
    <w:rsid w:val="662826FD"/>
    <w:rsid w:val="662A2EAC"/>
    <w:rsid w:val="664E6FD1"/>
    <w:rsid w:val="664F3B4A"/>
    <w:rsid w:val="665126EC"/>
    <w:rsid w:val="66514029"/>
    <w:rsid w:val="665A4562"/>
    <w:rsid w:val="66643208"/>
    <w:rsid w:val="666B3921"/>
    <w:rsid w:val="669064E1"/>
    <w:rsid w:val="669A7A3D"/>
    <w:rsid w:val="66AC0AC4"/>
    <w:rsid w:val="66BD4809"/>
    <w:rsid w:val="66C97F49"/>
    <w:rsid w:val="66D572A4"/>
    <w:rsid w:val="66DB6C9E"/>
    <w:rsid w:val="66F119DD"/>
    <w:rsid w:val="66FA7753"/>
    <w:rsid w:val="67007C6F"/>
    <w:rsid w:val="671565A1"/>
    <w:rsid w:val="67326A08"/>
    <w:rsid w:val="673A7F64"/>
    <w:rsid w:val="673D13B2"/>
    <w:rsid w:val="676033F8"/>
    <w:rsid w:val="67620560"/>
    <w:rsid w:val="67854CB1"/>
    <w:rsid w:val="67890B0E"/>
    <w:rsid w:val="67923BAC"/>
    <w:rsid w:val="67D80205"/>
    <w:rsid w:val="67F50894"/>
    <w:rsid w:val="67F57568"/>
    <w:rsid w:val="67FA5C23"/>
    <w:rsid w:val="680B494F"/>
    <w:rsid w:val="68110D74"/>
    <w:rsid w:val="68184F37"/>
    <w:rsid w:val="68232943"/>
    <w:rsid w:val="682940E3"/>
    <w:rsid w:val="683A3C7C"/>
    <w:rsid w:val="68585346"/>
    <w:rsid w:val="686D71CE"/>
    <w:rsid w:val="686F1F0D"/>
    <w:rsid w:val="687455E0"/>
    <w:rsid w:val="687B5F20"/>
    <w:rsid w:val="6895307A"/>
    <w:rsid w:val="689872E1"/>
    <w:rsid w:val="68AF5E42"/>
    <w:rsid w:val="68C13B76"/>
    <w:rsid w:val="68C760EC"/>
    <w:rsid w:val="68ED3E6D"/>
    <w:rsid w:val="68F224B3"/>
    <w:rsid w:val="690565A7"/>
    <w:rsid w:val="690E1558"/>
    <w:rsid w:val="693C3966"/>
    <w:rsid w:val="694D6DCE"/>
    <w:rsid w:val="69681C4E"/>
    <w:rsid w:val="697D05FA"/>
    <w:rsid w:val="69915392"/>
    <w:rsid w:val="69A91904"/>
    <w:rsid w:val="69AD06FC"/>
    <w:rsid w:val="69AF5B4C"/>
    <w:rsid w:val="69B123C8"/>
    <w:rsid w:val="69B30376"/>
    <w:rsid w:val="69CD29EB"/>
    <w:rsid w:val="69D44F17"/>
    <w:rsid w:val="69FB7574"/>
    <w:rsid w:val="69FF3F5C"/>
    <w:rsid w:val="6A007347"/>
    <w:rsid w:val="6A111204"/>
    <w:rsid w:val="6A3749F1"/>
    <w:rsid w:val="6A3C71B0"/>
    <w:rsid w:val="6A402A12"/>
    <w:rsid w:val="6A561A42"/>
    <w:rsid w:val="6A745C6A"/>
    <w:rsid w:val="6AA95C2F"/>
    <w:rsid w:val="6ABA0A3C"/>
    <w:rsid w:val="6ADC7DB0"/>
    <w:rsid w:val="6ADF6499"/>
    <w:rsid w:val="6AEA081C"/>
    <w:rsid w:val="6AF03ACD"/>
    <w:rsid w:val="6B066B15"/>
    <w:rsid w:val="6B1E1DF6"/>
    <w:rsid w:val="6B2015BB"/>
    <w:rsid w:val="6B3A66BC"/>
    <w:rsid w:val="6B3C5D81"/>
    <w:rsid w:val="6B5C7E44"/>
    <w:rsid w:val="6B622DE5"/>
    <w:rsid w:val="6B7239B5"/>
    <w:rsid w:val="6B780211"/>
    <w:rsid w:val="6B79121A"/>
    <w:rsid w:val="6B832405"/>
    <w:rsid w:val="6B9D408E"/>
    <w:rsid w:val="6BA44091"/>
    <w:rsid w:val="6BAE2DC1"/>
    <w:rsid w:val="6BB10EBE"/>
    <w:rsid w:val="6BB5521B"/>
    <w:rsid w:val="6BD2406A"/>
    <w:rsid w:val="6BD9242A"/>
    <w:rsid w:val="6C012298"/>
    <w:rsid w:val="6C1A27B9"/>
    <w:rsid w:val="6C547A24"/>
    <w:rsid w:val="6C64475B"/>
    <w:rsid w:val="6C66579F"/>
    <w:rsid w:val="6C803A04"/>
    <w:rsid w:val="6C97076B"/>
    <w:rsid w:val="6C9E52E1"/>
    <w:rsid w:val="6CA14C59"/>
    <w:rsid w:val="6CB31739"/>
    <w:rsid w:val="6CC4260E"/>
    <w:rsid w:val="6CC5664B"/>
    <w:rsid w:val="6CCC5167"/>
    <w:rsid w:val="6CD36D93"/>
    <w:rsid w:val="6CE5352F"/>
    <w:rsid w:val="6D011A48"/>
    <w:rsid w:val="6D245B01"/>
    <w:rsid w:val="6D4116B4"/>
    <w:rsid w:val="6D417091"/>
    <w:rsid w:val="6D621403"/>
    <w:rsid w:val="6D642812"/>
    <w:rsid w:val="6D6E0DC1"/>
    <w:rsid w:val="6D786A15"/>
    <w:rsid w:val="6D8279F8"/>
    <w:rsid w:val="6D864AF8"/>
    <w:rsid w:val="6D886C97"/>
    <w:rsid w:val="6D9D6E8D"/>
    <w:rsid w:val="6DC069B1"/>
    <w:rsid w:val="6DC73D6E"/>
    <w:rsid w:val="6DCA72B6"/>
    <w:rsid w:val="6DD111D5"/>
    <w:rsid w:val="6DD81392"/>
    <w:rsid w:val="6DDF03EE"/>
    <w:rsid w:val="6DEC12A6"/>
    <w:rsid w:val="6DFE3F9A"/>
    <w:rsid w:val="6E1870C1"/>
    <w:rsid w:val="6E1F1C98"/>
    <w:rsid w:val="6E2145BE"/>
    <w:rsid w:val="6E2E20D2"/>
    <w:rsid w:val="6E3062E1"/>
    <w:rsid w:val="6E5C6503"/>
    <w:rsid w:val="6E710BCC"/>
    <w:rsid w:val="6E871537"/>
    <w:rsid w:val="6E8B46EF"/>
    <w:rsid w:val="6E8F09E1"/>
    <w:rsid w:val="6E8F5794"/>
    <w:rsid w:val="6E9B33C3"/>
    <w:rsid w:val="6EA04D74"/>
    <w:rsid w:val="6EA80232"/>
    <w:rsid w:val="6EAC6DA9"/>
    <w:rsid w:val="6EB03225"/>
    <w:rsid w:val="6ECD0527"/>
    <w:rsid w:val="6ED07B81"/>
    <w:rsid w:val="6ED9247E"/>
    <w:rsid w:val="6EEB6E6D"/>
    <w:rsid w:val="6EF47358"/>
    <w:rsid w:val="6F056A68"/>
    <w:rsid w:val="6F0F550C"/>
    <w:rsid w:val="6F106FDB"/>
    <w:rsid w:val="6F206495"/>
    <w:rsid w:val="6F211294"/>
    <w:rsid w:val="6F2A143A"/>
    <w:rsid w:val="6F3358CB"/>
    <w:rsid w:val="6F375219"/>
    <w:rsid w:val="6F3927A5"/>
    <w:rsid w:val="6F4C0E96"/>
    <w:rsid w:val="6F4E6A8E"/>
    <w:rsid w:val="6F5C6EBD"/>
    <w:rsid w:val="6F6D5A74"/>
    <w:rsid w:val="6F7734F5"/>
    <w:rsid w:val="6F964DFD"/>
    <w:rsid w:val="6F9A4A3A"/>
    <w:rsid w:val="6F9A6561"/>
    <w:rsid w:val="6FC4359C"/>
    <w:rsid w:val="6FE6260C"/>
    <w:rsid w:val="6FEF4791"/>
    <w:rsid w:val="6FF148E3"/>
    <w:rsid w:val="6FF63821"/>
    <w:rsid w:val="6FFD2E34"/>
    <w:rsid w:val="701C31D6"/>
    <w:rsid w:val="701E0747"/>
    <w:rsid w:val="70216845"/>
    <w:rsid w:val="70220717"/>
    <w:rsid w:val="703E7D36"/>
    <w:rsid w:val="704206BB"/>
    <w:rsid w:val="70484C17"/>
    <w:rsid w:val="704B6FA7"/>
    <w:rsid w:val="704C4DAC"/>
    <w:rsid w:val="706A4B12"/>
    <w:rsid w:val="706B75FE"/>
    <w:rsid w:val="706E7904"/>
    <w:rsid w:val="707B1952"/>
    <w:rsid w:val="707D2B9B"/>
    <w:rsid w:val="70821464"/>
    <w:rsid w:val="70851FEE"/>
    <w:rsid w:val="70A02E38"/>
    <w:rsid w:val="70A23BEE"/>
    <w:rsid w:val="70A53148"/>
    <w:rsid w:val="70A73768"/>
    <w:rsid w:val="70AD299A"/>
    <w:rsid w:val="70B40170"/>
    <w:rsid w:val="70ED27C5"/>
    <w:rsid w:val="70FC744F"/>
    <w:rsid w:val="71061B4F"/>
    <w:rsid w:val="71175957"/>
    <w:rsid w:val="711F7F52"/>
    <w:rsid w:val="71261F23"/>
    <w:rsid w:val="715557FE"/>
    <w:rsid w:val="71576172"/>
    <w:rsid w:val="717A42DC"/>
    <w:rsid w:val="71820396"/>
    <w:rsid w:val="719E4E12"/>
    <w:rsid w:val="71BD6552"/>
    <w:rsid w:val="71C0288E"/>
    <w:rsid w:val="71F135DA"/>
    <w:rsid w:val="71FA2EA1"/>
    <w:rsid w:val="720F280F"/>
    <w:rsid w:val="72117FB9"/>
    <w:rsid w:val="723463F8"/>
    <w:rsid w:val="723A39F4"/>
    <w:rsid w:val="7242194B"/>
    <w:rsid w:val="725A2C8B"/>
    <w:rsid w:val="726322C3"/>
    <w:rsid w:val="727E134C"/>
    <w:rsid w:val="72923B0A"/>
    <w:rsid w:val="72D42A16"/>
    <w:rsid w:val="72F23D8A"/>
    <w:rsid w:val="72F30B3D"/>
    <w:rsid w:val="73094558"/>
    <w:rsid w:val="73185F5D"/>
    <w:rsid w:val="731B165E"/>
    <w:rsid w:val="732121DC"/>
    <w:rsid w:val="7331091E"/>
    <w:rsid w:val="73397976"/>
    <w:rsid w:val="73576EE7"/>
    <w:rsid w:val="73614D5F"/>
    <w:rsid w:val="73622866"/>
    <w:rsid w:val="73644B50"/>
    <w:rsid w:val="737B2A29"/>
    <w:rsid w:val="73866F56"/>
    <w:rsid w:val="738E1772"/>
    <w:rsid w:val="739C3F84"/>
    <w:rsid w:val="739D2544"/>
    <w:rsid w:val="73A458BB"/>
    <w:rsid w:val="73AC2127"/>
    <w:rsid w:val="73BC11F5"/>
    <w:rsid w:val="73DE146C"/>
    <w:rsid w:val="73E171B2"/>
    <w:rsid w:val="74000CBC"/>
    <w:rsid w:val="741A01D3"/>
    <w:rsid w:val="74261347"/>
    <w:rsid w:val="742979A4"/>
    <w:rsid w:val="74325839"/>
    <w:rsid w:val="7442662D"/>
    <w:rsid w:val="744A24FF"/>
    <w:rsid w:val="74621666"/>
    <w:rsid w:val="746C5E87"/>
    <w:rsid w:val="747E3EB5"/>
    <w:rsid w:val="748A18D9"/>
    <w:rsid w:val="748D1670"/>
    <w:rsid w:val="74910B51"/>
    <w:rsid w:val="749C4ED9"/>
    <w:rsid w:val="74A8693F"/>
    <w:rsid w:val="74AB7CB1"/>
    <w:rsid w:val="74BA63C8"/>
    <w:rsid w:val="74BC4FB9"/>
    <w:rsid w:val="75064F21"/>
    <w:rsid w:val="751F5945"/>
    <w:rsid w:val="75260C7C"/>
    <w:rsid w:val="752A6BE8"/>
    <w:rsid w:val="754B6042"/>
    <w:rsid w:val="7552576B"/>
    <w:rsid w:val="75620359"/>
    <w:rsid w:val="75661F25"/>
    <w:rsid w:val="7568114C"/>
    <w:rsid w:val="757F12DB"/>
    <w:rsid w:val="758350D3"/>
    <w:rsid w:val="75980B62"/>
    <w:rsid w:val="75A23F9C"/>
    <w:rsid w:val="75BC020D"/>
    <w:rsid w:val="75BC519F"/>
    <w:rsid w:val="75C9256F"/>
    <w:rsid w:val="75D03F3A"/>
    <w:rsid w:val="75D410BB"/>
    <w:rsid w:val="75E62CEF"/>
    <w:rsid w:val="75EC28EB"/>
    <w:rsid w:val="75FB7105"/>
    <w:rsid w:val="76186B07"/>
    <w:rsid w:val="76206118"/>
    <w:rsid w:val="76212C09"/>
    <w:rsid w:val="76251811"/>
    <w:rsid w:val="76290573"/>
    <w:rsid w:val="762A3E46"/>
    <w:rsid w:val="762E1B5D"/>
    <w:rsid w:val="763E68B8"/>
    <w:rsid w:val="76610FA1"/>
    <w:rsid w:val="766169C6"/>
    <w:rsid w:val="767B6144"/>
    <w:rsid w:val="76A35DDA"/>
    <w:rsid w:val="76BE71BC"/>
    <w:rsid w:val="76BF625A"/>
    <w:rsid w:val="76E213DB"/>
    <w:rsid w:val="76E52C5E"/>
    <w:rsid w:val="76F10A85"/>
    <w:rsid w:val="770225F2"/>
    <w:rsid w:val="770D0788"/>
    <w:rsid w:val="770F5A9D"/>
    <w:rsid w:val="7726323F"/>
    <w:rsid w:val="772A3256"/>
    <w:rsid w:val="774A783A"/>
    <w:rsid w:val="775D6600"/>
    <w:rsid w:val="776A0D4A"/>
    <w:rsid w:val="77707577"/>
    <w:rsid w:val="77956961"/>
    <w:rsid w:val="77A81400"/>
    <w:rsid w:val="77BA71BB"/>
    <w:rsid w:val="77E33889"/>
    <w:rsid w:val="77EA0F9C"/>
    <w:rsid w:val="77F92E6C"/>
    <w:rsid w:val="780748A0"/>
    <w:rsid w:val="7808025E"/>
    <w:rsid w:val="7810094C"/>
    <w:rsid w:val="78266242"/>
    <w:rsid w:val="78350EBC"/>
    <w:rsid w:val="78416DC4"/>
    <w:rsid w:val="784A5A10"/>
    <w:rsid w:val="785E744A"/>
    <w:rsid w:val="786A11A1"/>
    <w:rsid w:val="78720417"/>
    <w:rsid w:val="7888084C"/>
    <w:rsid w:val="78954F15"/>
    <w:rsid w:val="78A75A8C"/>
    <w:rsid w:val="78B60C93"/>
    <w:rsid w:val="78DA2CA9"/>
    <w:rsid w:val="78F43955"/>
    <w:rsid w:val="7908392F"/>
    <w:rsid w:val="791E5A91"/>
    <w:rsid w:val="79270215"/>
    <w:rsid w:val="792A57E9"/>
    <w:rsid w:val="79310E2F"/>
    <w:rsid w:val="7942738D"/>
    <w:rsid w:val="79510171"/>
    <w:rsid w:val="797320A1"/>
    <w:rsid w:val="797D74C9"/>
    <w:rsid w:val="797F505A"/>
    <w:rsid w:val="799912C4"/>
    <w:rsid w:val="79A77CBD"/>
    <w:rsid w:val="79AE2D07"/>
    <w:rsid w:val="79E1174F"/>
    <w:rsid w:val="79FE0994"/>
    <w:rsid w:val="7A054CE1"/>
    <w:rsid w:val="7A2C4C83"/>
    <w:rsid w:val="7A2D4595"/>
    <w:rsid w:val="7A423E81"/>
    <w:rsid w:val="7A4D4B3F"/>
    <w:rsid w:val="7A6A0A5E"/>
    <w:rsid w:val="7A785E4C"/>
    <w:rsid w:val="7A922685"/>
    <w:rsid w:val="7AA26D01"/>
    <w:rsid w:val="7AA635DD"/>
    <w:rsid w:val="7ABB59F8"/>
    <w:rsid w:val="7ACC7869"/>
    <w:rsid w:val="7AD45B99"/>
    <w:rsid w:val="7AD7365B"/>
    <w:rsid w:val="7AD86C4E"/>
    <w:rsid w:val="7ADF6AC0"/>
    <w:rsid w:val="7AE2547C"/>
    <w:rsid w:val="7AE8473C"/>
    <w:rsid w:val="7AEC4B48"/>
    <w:rsid w:val="7AF82E2D"/>
    <w:rsid w:val="7B060538"/>
    <w:rsid w:val="7B1B1138"/>
    <w:rsid w:val="7B25199D"/>
    <w:rsid w:val="7B255F72"/>
    <w:rsid w:val="7B2D1F26"/>
    <w:rsid w:val="7B301574"/>
    <w:rsid w:val="7B366570"/>
    <w:rsid w:val="7B465409"/>
    <w:rsid w:val="7B4E3E9C"/>
    <w:rsid w:val="7B6218AD"/>
    <w:rsid w:val="7B6B2E05"/>
    <w:rsid w:val="7BAC4944"/>
    <w:rsid w:val="7BAD3033"/>
    <w:rsid w:val="7BB61B65"/>
    <w:rsid w:val="7BB67DB5"/>
    <w:rsid w:val="7BC216EB"/>
    <w:rsid w:val="7BC36D1F"/>
    <w:rsid w:val="7BC76BE0"/>
    <w:rsid w:val="7BC7759B"/>
    <w:rsid w:val="7BF1043B"/>
    <w:rsid w:val="7C0325C9"/>
    <w:rsid w:val="7C046C55"/>
    <w:rsid w:val="7C060DCD"/>
    <w:rsid w:val="7C186AD1"/>
    <w:rsid w:val="7C2531AB"/>
    <w:rsid w:val="7C296708"/>
    <w:rsid w:val="7C3344A2"/>
    <w:rsid w:val="7C3C3793"/>
    <w:rsid w:val="7C4371B8"/>
    <w:rsid w:val="7C447D1C"/>
    <w:rsid w:val="7C6930CF"/>
    <w:rsid w:val="7C716563"/>
    <w:rsid w:val="7C77107C"/>
    <w:rsid w:val="7C8071D2"/>
    <w:rsid w:val="7C9B7B9F"/>
    <w:rsid w:val="7CCC61B6"/>
    <w:rsid w:val="7CEC4ABF"/>
    <w:rsid w:val="7CF5675E"/>
    <w:rsid w:val="7CF72615"/>
    <w:rsid w:val="7CFD0712"/>
    <w:rsid w:val="7D0242CD"/>
    <w:rsid w:val="7D0D0FE7"/>
    <w:rsid w:val="7D0F0E59"/>
    <w:rsid w:val="7D195DEC"/>
    <w:rsid w:val="7D1B5078"/>
    <w:rsid w:val="7D3F2C49"/>
    <w:rsid w:val="7D463ED2"/>
    <w:rsid w:val="7D622F1D"/>
    <w:rsid w:val="7D636CAC"/>
    <w:rsid w:val="7D6862B5"/>
    <w:rsid w:val="7D7C60AD"/>
    <w:rsid w:val="7D8669FB"/>
    <w:rsid w:val="7D9F556C"/>
    <w:rsid w:val="7DAF1576"/>
    <w:rsid w:val="7DBB368C"/>
    <w:rsid w:val="7DD32D34"/>
    <w:rsid w:val="7DFB1147"/>
    <w:rsid w:val="7E0332F2"/>
    <w:rsid w:val="7E351100"/>
    <w:rsid w:val="7E474BE6"/>
    <w:rsid w:val="7E5853BE"/>
    <w:rsid w:val="7E613351"/>
    <w:rsid w:val="7E764CB0"/>
    <w:rsid w:val="7E76514B"/>
    <w:rsid w:val="7EAC4D21"/>
    <w:rsid w:val="7EAD5E67"/>
    <w:rsid w:val="7EB94B5C"/>
    <w:rsid w:val="7EC119A2"/>
    <w:rsid w:val="7EC806A1"/>
    <w:rsid w:val="7EE529E4"/>
    <w:rsid w:val="7EE77481"/>
    <w:rsid w:val="7F5069C1"/>
    <w:rsid w:val="7F5560CC"/>
    <w:rsid w:val="7F7865EF"/>
    <w:rsid w:val="7F7E4E6E"/>
    <w:rsid w:val="7F862442"/>
    <w:rsid w:val="7F8668A3"/>
    <w:rsid w:val="7F8A056A"/>
    <w:rsid w:val="7F931FA5"/>
    <w:rsid w:val="7F93503C"/>
    <w:rsid w:val="7FAD4FF6"/>
    <w:rsid w:val="7FBA3809"/>
    <w:rsid w:val="7FC15D4F"/>
    <w:rsid w:val="7FCD23D8"/>
    <w:rsid w:val="7FE002AF"/>
    <w:rsid w:val="7FF138C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99"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GB" w:eastAsia="zh-TW" w:bidi="ar-SA"/>
    </w:rPr>
  </w:style>
  <w:style w:type="paragraph" w:styleId="3">
    <w:name w:val="heading 1"/>
    <w:basedOn w:val="1"/>
    <w:next w:val="1"/>
    <w:link w:val="168"/>
    <w:qFormat/>
    <w:uiPriority w:val="0"/>
    <w:pPr>
      <w:keepNext/>
      <w:keepLines/>
      <w:numPr>
        <w:ilvl w:val="0"/>
        <w:numId w:val="1"/>
      </w:numPr>
      <w:spacing w:before="340" w:after="330" w:line="578" w:lineRule="auto"/>
      <w:outlineLvl w:val="0"/>
    </w:pPr>
    <w:rPr>
      <w:b/>
      <w:bCs/>
      <w:kern w:val="44"/>
      <w:sz w:val="44"/>
      <w:szCs w:val="44"/>
      <w:lang w:val="en-US" w:eastAsia="zh-CN"/>
    </w:rPr>
  </w:style>
  <w:style w:type="paragraph" w:styleId="2">
    <w:name w:val="heading 2"/>
    <w:basedOn w:val="1"/>
    <w:next w:val="1"/>
    <w:link w:val="169"/>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link w:val="170"/>
    <w:qFormat/>
    <w:uiPriority w:val="0"/>
    <w:pPr>
      <w:keepNext/>
      <w:keepLines/>
      <w:spacing w:before="260" w:after="260" w:line="416" w:lineRule="auto"/>
      <w:outlineLvl w:val="2"/>
    </w:pPr>
    <w:rPr>
      <w:b/>
      <w:bCs/>
      <w:sz w:val="32"/>
      <w:szCs w:val="32"/>
      <w:lang w:val="en-US" w:eastAsia="zh-CN"/>
    </w:rPr>
  </w:style>
  <w:style w:type="paragraph" w:styleId="5">
    <w:name w:val="heading 4"/>
    <w:basedOn w:val="1"/>
    <w:next w:val="1"/>
    <w:link w:val="79"/>
    <w:qFormat/>
    <w:uiPriority w:val="0"/>
    <w:pPr>
      <w:keepNext/>
      <w:keepLines/>
      <w:spacing w:before="280" w:after="290" w:line="376" w:lineRule="auto"/>
      <w:outlineLvl w:val="3"/>
    </w:pPr>
    <w:rPr>
      <w:rFonts w:ascii="Cambria" w:hAnsi="Cambria"/>
      <w:b/>
      <w:bCs/>
      <w:sz w:val="28"/>
      <w:szCs w:val="28"/>
    </w:rPr>
  </w:style>
  <w:style w:type="paragraph" w:styleId="6">
    <w:name w:val="heading 5"/>
    <w:basedOn w:val="1"/>
    <w:next w:val="1"/>
    <w:qFormat/>
    <w:uiPriority w:val="0"/>
    <w:pPr>
      <w:keepNext/>
      <w:keepLines/>
      <w:spacing w:before="280" w:after="290" w:line="376" w:lineRule="auto"/>
      <w:outlineLvl w:val="4"/>
    </w:pPr>
    <w:rPr>
      <w:b/>
      <w:bCs/>
      <w:sz w:val="28"/>
      <w:szCs w:val="28"/>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7">
    <w:name w:val="Normal Indent"/>
    <w:basedOn w:val="1"/>
    <w:link w:val="44"/>
    <w:qFormat/>
    <w:uiPriority w:val="0"/>
    <w:pPr>
      <w:ind w:firstLine="420" w:firstLineChars="200"/>
    </w:pPr>
    <w:rPr>
      <w:szCs w:val="20"/>
      <w:lang w:val="en-US" w:eastAsia="zh-CN"/>
    </w:rPr>
  </w:style>
  <w:style w:type="paragraph" w:styleId="8">
    <w:name w:val="caption"/>
    <w:basedOn w:val="1"/>
    <w:next w:val="1"/>
    <w:qFormat/>
    <w:uiPriority w:val="0"/>
    <w:pPr>
      <w:spacing w:line="520" w:lineRule="exact"/>
      <w:jc w:val="center"/>
    </w:pPr>
    <w:rPr>
      <w:rFonts w:eastAsia="黑体"/>
      <w:szCs w:val="20"/>
    </w:rPr>
  </w:style>
  <w:style w:type="paragraph" w:styleId="9">
    <w:name w:val="Document Map"/>
    <w:basedOn w:val="1"/>
    <w:semiHidden/>
    <w:qFormat/>
    <w:uiPriority w:val="0"/>
    <w:pPr>
      <w:shd w:val="clear" w:color="auto" w:fill="000080"/>
    </w:pPr>
  </w:style>
  <w:style w:type="paragraph" w:styleId="10">
    <w:name w:val="annotation text"/>
    <w:basedOn w:val="1"/>
    <w:link w:val="69"/>
    <w:qFormat/>
    <w:uiPriority w:val="99"/>
    <w:pPr>
      <w:jc w:val="left"/>
    </w:pPr>
  </w:style>
  <w:style w:type="paragraph" w:styleId="11">
    <w:name w:val="Body Text"/>
    <w:basedOn w:val="1"/>
    <w:link w:val="59"/>
    <w:qFormat/>
    <w:uiPriority w:val="0"/>
    <w:pPr>
      <w:spacing w:after="120"/>
    </w:pPr>
  </w:style>
  <w:style w:type="paragraph" w:styleId="12">
    <w:name w:val="Body Text Indent"/>
    <w:basedOn w:val="1"/>
    <w:qFormat/>
    <w:uiPriority w:val="0"/>
    <w:pPr>
      <w:spacing w:after="120"/>
      <w:ind w:left="420" w:leftChars="200"/>
    </w:pPr>
    <w:rPr>
      <w:lang w:val="en-US" w:eastAsia="zh-CN"/>
    </w:rPr>
  </w:style>
  <w:style w:type="paragraph" w:styleId="13">
    <w:name w:val="List 2"/>
    <w:basedOn w:val="1"/>
    <w:qFormat/>
    <w:uiPriority w:val="0"/>
    <w:pPr>
      <w:spacing w:line="360" w:lineRule="exact"/>
      <w:jc w:val="center"/>
    </w:pPr>
    <w:rPr>
      <w:rFonts w:ascii="仿宋_GB2312" w:eastAsia="仿宋_GB2312"/>
      <w:szCs w:val="20"/>
    </w:rPr>
  </w:style>
  <w:style w:type="paragraph" w:styleId="14">
    <w:name w:val="toc 3"/>
    <w:basedOn w:val="1"/>
    <w:next w:val="1"/>
    <w:qFormat/>
    <w:uiPriority w:val="0"/>
    <w:pPr>
      <w:ind w:left="840" w:leftChars="400"/>
    </w:pPr>
  </w:style>
  <w:style w:type="paragraph" w:styleId="15">
    <w:name w:val="Plain Text"/>
    <w:basedOn w:val="1"/>
    <w:link w:val="56"/>
    <w:qFormat/>
    <w:uiPriority w:val="0"/>
    <w:rPr>
      <w:rFonts w:ascii="宋体" w:hAnsi="Courier New"/>
      <w:szCs w:val="21"/>
    </w:rPr>
  </w:style>
  <w:style w:type="paragraph" w:styleId="16">
    <w:name w:val="Date"/>
    <w:basedOn w:val="1"/>
    <w:next w:val="1"/>
    <w:qFormat/>
    <w:uiPriority w:val="0"/>
    <w:pPr>
      <w:ind w:left="100" w:leftChars="2500"/>
    </w:pPr>
    <w:rPr>
      <w:szCs w:val="20"/>
      <w:lang w:val="en-US" w:eastAsia="zh-CN"/>
    </w:rPr>
  </w:style>
  <w:style w:type="paragraph" w:styleId="17">
    <w:name w:val="Body Text Indent 2"/>
    <w:basedOn w:val="1"/>
    <w:qFormat/>
    <w:uiPriority w:val="0"/>
    <w:pPr>
      <w:ind w:firstLine="480" w:firstLineChars="200"/>
    </w:pPr>
    <w:rPr>
      <w:rFonts w:ascii="宋体" w:hAnsi="宋体"/>
      <w:sz w:val="24"/>
      <w:szCs w:val="20"/>
      <w:lang w:val="en-US" w:eastAsia="zh-CN"/>
    </w:rPr>
  </w:style>
  <w:style w:type="paragraph" w:styleId="18">
    <w:name w:val="Balloon Text"/>
    <w:basedOn w:val="1"/>
    <w:link w:val="68"/>
    <w:qFormat/>
    <w:uiPriority w:val="0"/>
    <w:rPr>
      <w:sz w:val="18"/>
      <w:szCs w:val="18"/>
    </w:rPr>
  </w:style>
  <w:style w:type="paragraph" w:styleId="19">
    <w:name w:val="footer"/>
    <w:basedOn w:val="1"/>
    <w:qFormat/>
    <w:uiPriority w:val="0"/>
    <w:pPr>
      <w:tabs>
        <w:tab w:val="center" w:pos="4153"/>
        <w:tab w:val="right" w:pos="8306"/>
      </w:tabs>
      <w:snapToGrid w:val="0"/>
      <w:jc w:val="left"/>
    </w:pPr>
    <w:rPr>
      <w:sz w:val="18"/>
      <w:szCs w:val="18"/>
    </w:rPr>
  </w:style>
  <w:style w:type="paragraph" w:styleId="20">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21">
    <w:name w:val="toc 1"/>
    <w:basedOn w:val="1"/>
    <w:next w:val="1"/>
    <w:qFormat/>
    <w:uiPriority w:val="39"/>
  </w:style>
  <w:style w:type="paragraph" w:styleId="22">
    <w:name w:val="Body Text Indent 3"/>
    <w:basedOn w:val="1"/>
    <w:qFormat/>
    <w:uiPriority w:val="0"/>
    <w:pPr>
      <w:spacing w:after="120"/>
      <w:ind w:left="420" w:leftChars="200"/>
    </w:pPr>
    <w:rPr>
      <w:sz w:val="16"/>
      <w:szCs w:val="16"/>
    </w:rPr>
  </w:style>
  <w:style w:type="paragraph" w:styleId="23">
    <w:name w:val="HTML Preformatted"/>
    <w:basedOn w:val="1"/>
    <w:link w:val="40"/>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paragraph" w:styleId="24">
    <w:name w:val="Normal (Web)"/>
    <w:basedOn w:val="1"/>
    <w:qFormat/>
    <w:uiPriority w:val="0"/>
    <w:pPr>
      <w:widowControl/>
      <w:spacing w:before="100" w:beforeAutospacing="1" w:after="100" w:afterAutospacing="1"/>
      <w:jc w:val="left"/>
    </w:pPr>
    <w:rPr>
      <w:rFonts w:ascii="宋体" w:hAnsi="宋体"/>
      <w:kern w:val="0"/>
      <w:sz w:val="24"/>
      <w:lang w:val="en-US" w:eastAsia="zh-CN"/>
    </w:rPr>
  </w:style>
  <w:style w:type="paragraph" w:styleId="25">
    <w:name w:val="Title"/>
    <w:basedOn w:val="1"/>
    <w:next w:val="1"/>
    <w:link w:val="171"/>
    <w:qFormat/>
    <w:uiPriority w:val="0"/>
    <w:pPr>
      <w:spacing w:before="240" w:after="60"/>
      <w:jc w:val="center"/>
      <w:outlineLvl w:val="0"/>
    </w:pPr>
    <w:rPr>
      <w:rFonts w:ascii="Cambria" w:hAnsi="Cambria"/>
      <w:b/>
      <w:bCs/>
      <w:sz w:val="32"/>
      <w:szCs w:val="32"/>
    </w:rPr>
  </w:style>
  <w:style w:type="paragraph" w:styleId="26">
    <w:name w:val="annotation subject"/>
    <w:basedOn w:val="10"/>
    <w:next w:val="10"/>
    <w:link w:val="53"/>
    <w:qFormat/>
    <w:uiPriority w:val="0"/>
    <w:rPr>
      <w:b/>
      <w:bCs/>
    </w:rPr>
  </w:style>
  <w:style w:type="paragraph" w:styleId="27">
    <w:name w:val="Body Text First Indent"/>
    <w:basedOn w:val="11"/>
    <w:qFormat/>
    <w:uiPriority w:val="0"/>
    <w:pPr>
      <w:ind w:firstLine="420" w:firstLineChars="100"/>
    </w:pPr>
  </w:style>
  <w:style w:type="paragraph" w:styleId="28">
    <w:name w:val="Body Text First Indent 2"/>
    <w:basedOn w:val="12"/>
    <w:next w:val="29"/>
    <w:qFormat/>
    <w:uiPriority w:val="0"/>
    <w:pPr>
      <w:ind w:firstLine="420" w:firstLineChars="200"/>
    </w:pPr>
  </w:style>
  <w:style w:type="paragraph" w:customStyle="1" w:styleId="29">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table" w:styleId="31">
    <w:name w:val="Table Grid"/>
    <w:basedOn w:val="3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qFormat/>
    <w:uiPriority w:val="0"/>
    <w:rPr>
      <w:b/>
      <w:bCs/>
    </w:rPr>
  </w:style>
  <w:style w:type="character" w:styleId="34">
    <w:name w:val="page number"/>
    <w:basedOn w:val="32"/>
    <w:qFormat/>
    <w:uiPriority w:val="0"/>
  </w:style>
  <w:style w:type="character" w:styleId="35">
    <w:name w:val="FollowedHyperlink"/>
    <w:qFormat/>
    <w:uiPriority w:val="0"/>
    <w:rPr>
      <w:color w:val="800080"/>
      <w:u w:val="single"/>
    </w:rPr>
  </w:style>
  <w:style w:type="character" w:styleId="36">
    <w:name w:val="Emphasis"/>
    <w:qFormat/>
    <w:uiPriority w:val="0"/>
    <w:rPr>
      <w:i/>
      <w:iCs/>
    </w:rPr>
  </w:style>
  <w:style w:type="character" w:styleId="37">
    <w:name w:val="Hyperlink"/>
    <w:qFormat/>
    <w:uiPriority w:val="0"/>
    <w:rPr>
      <w:color w:val="0000CC"/>
      <w:u w:val="single"/>
    </w:rPr>
  </w:style>
  <w:style w:type="character" w:styleId="38">
    <w:name w:val="annotation reference"/>
    <w:qFormat/>
    <w:uiPriority w:val="99"/>
    <w:rPr>
      <w:sz w:val="21"/>
      <w:szCs w:val="21"/>
    </w:rPr>
  </w:style>
  <w:style w:type="character" w:customStyle="1" w:styleId="39">
    <w:name w:val="txt1"/>
    <w:qFormat/>
    <w:uiPriority w:val="0"/>
    <w:rPr>
      <w:rFonts w:hint="default" w:ascii="ˎ̥" w:hAnsi="ˎ̥"/>
      <w:color w:val="5E5E5E"/>
      <w:sz w:val="18"/>
      <w:szCs w:val="18"/>
    </w:rPr>
  </w:style>
  <w:style w:type="character" w:customStyle="1" w:styleId="40">
    <w:name w:val="HTML 预设格式 字符"/>
    <w:link w:val="23"/>
    <w:qFormat/>
    <w:uiPriority w:val="99"/>
    <w:rPr>
      <w:rFonts w:ascii="宋体" w:hAnsi="宋体" w:cs="宋体"/>
      <w:sz w:val="24"/>
      <w:szCs w:val="24"/>
    </w:rPr>
  </w:style>
  <w:style w:type="character" w:customStyle="1" w:styleId="41">
    <w:name w:val="正文lcc Char"/>
    <w:link w:val="42"/>
    <w:qFormat/>
    <w:uiPriority w:val="0"/>
    <w:rPr>
      <w:color w:val="000000"/>
      <w:kern w:val="2"/>
      <w:sz w:val="24"/>
    </w:rPr>
  </w:style>
  <w:style w:type="paragraph" w:customStyle="1" w:styleId="42">
    <w:name w:val="正文lcc"/>
    <w:basedOn w:val="1"/>
    <w:link w:val="41"/>
    <w:qFormat/>
    <w:uiPriority w:val="0"/>
    <w:pPr>
      <w:snapToGrid w:val="0"/>
      <w:spacing w:line="360" w:lineRule="auto"/>
      <w:ind w:firstLine="480" w:firstLineChars="200"/>
    </w:pPr>
    <w:rPr>
      <w:color w:val="000000"/>
      <w:sz w:val="24"/>
      <w:szCs w:val="20"/>
    </w:rPr>
  </w:style>
  <w:style w:type="character" w:customStyle="1" w:styleId="43">
    <w:name w:val="f241"/>
    <w:qFormat/>
    <w:uiPriority w:val="0"/>
    <w:rPr>
      <w:sz w:val="36"/>
      <w:szCs w:val="36"/>
    </w:rPr>
  </w:style>
  <w:style w:type="character" w:customStyle="1" w:styleId="44">
    <w:name w:val="正文缩进 字符"/>
    <w:link w:val="7"/>
    <w:qFormat/>
    <w:uiPriority w:val="0"/>
    <w:rPr>
      <w:rFonts w:eastAsia="宋体"/>
      <w:kern w:val="2"/>
      <w:sz w:val="21"/>
      <w:lang w:val="en-US" w:eastAsia="zh-CN" w:bidi="ar-SA"/>
    </w:rPr>
  </w:style>
  <w:style w:type="character" w:customStyle="1" w:styleId="45">
    <w:name w:val="apple-converted-space"/>
    <w:basedOn w:val="32"/>
    <w:qFormat/>
    <w:uiPriority w:val="0"/>
  </w:style>
  <w:style w:type="character" w:customStyle="1" w:styleId="46">
    <w:name w:val="表头2-lcc Char"/>
    <w:link w:val="47"/>
    <w:qFormat/>
    <w:uiPriority w:val="0"/>
    <w:rPr>
      <w:b/>
      <w:sz w:val="21"/>
      <w:szCs w:val="21"/>
    </w:rPr>
  </w:style>
  <w:style w:type="paragraph" w:customStyle="1" w:styleId="47">
    <w:name w:val="表头2-lcc"/>
    <w:basedOn w:val="1"/>
    <w:link w:val="46"/>
    <w:qFormat/>
    <w:uiPriority w:val="0"/>
    <w:pPr>
      <w:adjustRightInd w:val="0"/>
      <w:jc w:val="center"/>
      <w:textAlignment w:val="baseline"/>
    </w:pPr>
    <w:rPr>
      <w:b/>
      <w:kern w:val="0"/>
      <w:szCs w:val="21"/>
    </w:rPr>
  </w:style>
  <w:style w:type="character" w:customStyle="1" w:styleId="48">
    <w:name w:val="正文lcc1 Char"/>
    <w:link w:val="49"/>
    <w:qFormat/>
    <w:uiPriority w:val="0"/>
    <w:rPr>
      <w:color w:val="000000"/>
      <w:kern w:val="2"/>
      <w:sz w:val="24"/>
    </w:rPr>
  </w:style>
  <w:style w:type="paragraph" w:customStyle="1" w:styleId="49">
    <w:name w:val="正文lcc1"/>
    <w:basedOn w:val="1"/>
    <w:link w:val="48"/>
    <w:qFormat/>
    <w:uiPriority w:val="0"/>
    <w:pPr>
      <w:spacing w:line="360" w:lineRule="auto"/>
      <w:ind w:firstLine="200" w:firstLineChars="200"/>
    </w:pPr>
    <w:rPr>
      <w:color w:val="000000"/>
      <w:sz w:val="24"/>
      <w:szCs w:val="20"/>
    </w:rPr>
  </w:style>
  <w:style w:type="character" w:customStyle="1" w:styleId="50">
    <w:name w:val="正文内容 Char"/>
    <w:link w:val="51"/>
    <w:qFormat/>
    <w:uiPriority w:val="0"/>
    <w:rPr>
      <w:rFonts w:eastAsia="宋体"/>
      <w:sz w:val="24"/>
      <w:szCs w:val="24"/>
      <w:lang w:val="en-US" w:eastAsia="zh-CN" w:bidi="ar-SA"/>
    </w:rPr>
  </w:style>
  <w:style w:type="paragraph" w:customStyle="1" w:styleId="51">
    <w:name w:val="正文内容"/>
    <w:basedOn w:val="1"/>
    <w:link w:val="50"/>
    <w:qFormat/>
    <w:uiPriority w:val="0"/>
    <w:pPr>
      <w:spacing w:line="500" w:lineRule="exact"/>
      <w:ind w:firstLine="200" w:firstLineChars="200"/>
    </w:pPr>
    <w:rPr>
      <w:kern w:val="0"/>
      <w:sz w:val="24"/>
      <w:lang w:val="en-US" w:eastAsia="zh-CN"/>
    </w:rPr>
  </w:style>
  <w:style w:type="character" w:customStyle="1" w:styleId="52">
    <w:name w:val="f14text1"/>
    <w:qFormat/>
    <w:uiPriority w:val="0"/>
    <w:rPr>
      <w:sz w:val="17"/>
      <w:szCs w:val="17"/>
    </w:rPr>
  </w:style>
  <w:style w:type="character" w:customStyle="1" w:styleId="53">
    <w:name w:val="批注主题 字符"/>
    <w:link w:val="26"/>
    <w:qFormat/>
    <w:uiPriority w:val="0"/>
    <w:rPr>
      <w:rFonts w:eastAsia="宋体"/>
      <w:b/>
      <w:bCs/>
      <w:kern w:val="2"/>
      <w:sz w:val="21"/>
      <w:szCs w:val="24"/>
      <w:lang w:val="en-GB" w:eastAsia="zh-TW" w:bidi="ar-SA"/>
    </w:rPr>
  </w:style>
  <w:style w:type="character" w:customStyle="1" w:styleId="54">
    <w:name w:val="表内lcc Char"/>
    <w:link w:val="55"/>
    <w:qFormat/>
    <w:uiPriority w:val="0"/>
    <w:rPr>
      <w:rFonts w:eastAsia="Times New Roman"/>
      <w:iCs/>
      <w:color w:val="000000"/>
      <w:kern w:val="2"/>
      <w:sz w:val="21"/>
      <w:szCs w:val="21"/>
    </w:rPr>
  </w:style>
  <w:style w:type="paragraph" w:customStyle="1" w:styleId="55">
    <w:name w:val="表内lcc"/>
    <w:basedOn w:val="1"/>
    <w:link w:val="54"/>
    <w:qFormat/>
    <w:uiPriority w:val="0"/>
    <w:pPr>
      <w:jc w:val="center"/>
    </w:pPr>
    <w:rPr>
      <w:rFonts w:eastAsia="Times New Roman"/>
      <w:iCs/>
      <w:color w:val="000000"/>
      <w:szCs w:val="21"/>
    </w:rPr>
  </w:style>
  <w:style w:type="character" w:customStyle="1" w:styleId="56">
    <w:name w:val="纯文本 字符"/>
    <w:link w:val="15"/>
    <w:qFormat/>
    <w:uiPriority w:val="0"/>
    <w:rPr>
      <w:rFonts w:ascii="宋体" w:hAnsi="Courier New" w:eastAsia="宋体"/>
      <w:kern w:val="2"/>
      <w:sz w:val="21"/>
      <w:szCs w:val="21"/>
      <w:lang w:bidi="ar-SA"/>
    </w:rPr>
  </w:style>
  <w:style w:type="character" w:customStyle="1" w:styleId="57">
    <w:name w:val="表头 Char"/>
    <w:link w:val="58"/>
    <w:qFormat/>
    <w:uiPriority w:val="0"/>
    <w:rPr>
      <w:rFonts w:ascii="宋体" w:hAnsi="宋体" w:eastAsia="Times New Roman"/>
      <w:b/>
      <w:color w:val="000000"/>
      <w:kern w:val="2"/>
      <w:sz w:val="21"/>
      <w:szCs w:val="18"/>
      <w:lang w:val="en-US" w:eastAsia="zh-CN" w:bidi="ar-SA"/>
    </w:rPr>
  </w:style>
  <w:style w:type="paragraph" w:customStyle="1" w:styleId="58">
    <w:name w:val="表头"/>
    <w:next w:val="1"/>
    <w:link w:val="57"/>
    <w:qFormat/>
    <w:uiPriority w:val="0"/>
    <w:pPr>
      <w:widowControl w:val="0"/>
      <w:adjustRightInd w:val="0"/>
      <w:jc w:val="center"/>
    </w:pPr>
    <w:rPr>
      <w:rFonts w:ascii="宋体" w:hAnsi="宋体" w:eastAsia="Times New Roman" w:cs="Times New Roman"/>
      <w:b/>
      <w:color w:val="000000"/>
      <w:kern w:val="2"/>
      <w:sz w:val="21"/>
      <w:szCs w:val="18"/>
      <w:lang w:val="en-US" w:eastAsia="zh-CN" w:bidi="ar-SA"/>
    </w:rPr>
  </w:style>
  <w:style w:type="character" w:customStyle="1" w:styleId="59">
    <w:name w:val="正文文本 字符"/>
    <w:link w:val="11"/>
    <w:qFormat/>
    <w:uiPriority w:val="0"/>
    <w:rPr>
      <w:rFonts w:eastAsia="宋体"/>
      <w:kern w:val="2"/>
      <w:sz w:val="21"/>
      <w:szCs w:val="24"/>
      <w:lang w:val="en-GB" w:eastAsia="zh-TW" w:bidi="ar-SA"/>
    </w:rPr>
  </w:style>
  <w:style w:type="character" w:customStyle="1" w:styleId="60">
    <w:name w:val="标题3李程程、 Char"/>
    <w:link w:val="61"/>
    <w:qFormat/>
    <w:uiPriority w:val="0"/>
    <w:rPr>
      <w:rFonts w:ascii="宋体"/>
      <w:b/>
      <w:color w:val="000000"/>
      <w:kern w:val="2"/>
      <w:sz w:val="24"/>
      <w:szCs w:val="24"/>
    </w:rPr>
  </w:style>
  <w:style w:type="paragraph" w:customStyle="1" w:styleId="61">
    <w:name w:val="标题3李程程、"/>
    <w:basedOn w:val="29"/>
    <w:link w:val="60"/>
    <w:qFormat/>
    <w:uiPriority w:val="0"/>
    <w:pPr>
      <w:spacing w:line="360" w:lineRule="auto"/>
      <w:jc w:val="both"/>
      <w:textAlignment w:val="baseline"/>
    </w:pPr>
    <w:rPr>
      <w:rFonts w:cs="Times New Roman"/>
      <w:b/>
      <w:kern w:val="2"/>
    </w:rPr>
  </w:style>
  <w:style w:type="character" w:customStyle="1" w:styleId="62">
    <w:name w:val="duanluo2"/>
    <w:qFormat/>
    <w:uiPriority w:val="0"/>
    <w:rPr>
      <w:rFonts w:hint="default" w:ascii="ˎ̥" w:hAnsi="ˎ̥"/>
      <w:color w:val="000000"/>
      <w:sz w:val="21"/>
      <w:szCs w:val="21"/>
    </w:rPr>
  </w:style>
  <w:style w:type="character" w:customStyle="1" w:styleId="63">
    <w:name w:val="表头lcc1 Char"/>
    <w:link w:val="64"/>
    <w:qFormat/>
    <w:locked/>
    <w:uiPriority w:val="0"/>
    <w:rPr>
      <w:b/>
      <w:sz w:val="24"/>
    </w:rPr>
  </w:style>
  <w:style w:type="paragraph" w:customStyle="1" w:styleId="64">
    <w:name w:val="表头lcc1"/>
    <w:basedOn w:val="1"/>
    <w:link w:val="63"/>
    <w:qFormat/>
    <w:uiPriority w:val="0"/>
    <w:pPr>
      <w:jc w:val="center"/>
    </w:pPr>
    <w:rPr>
      <w:b/>
      <w:kern w:val="0"/>
      <w:sz w:val="24"/>
      <w:szCs w:val="20"/>
    </w:rPr>
  </w:style>
  <w:style w:type="character" w:customStyle="1" w:styleId="65">
    <w:name w:val="样式1 Char"/>
    <w:link w:val="66"/>
    <w:qFormat/>
    <w:uiPriority w:val="0"/>
    <w:rPr>
      <w:snapToGrid w:val="0"/>
      <w:color w:val="0000FF"/>
      <w:spacing w:val="-2"/>
      <w:kern w:val="2"/>
      <w:sz w:val="24"/>
      <w:szCs w:val="24"/>
    </w:rPr>
  </w:style>
  <w:style w:type="paragraph" w:customStyle="1" w:styleId="66">
    <w:name w:val="样式1"/>
    <w:basedOn w:val="6"/>
    <w:link w:val="65"/>
    <w:qFormat/>
    <w:uiPriority w:val="0"/>
    <w:pPr>
      <w:keepNext w:val="0"/>
      <w:keepLines w:val="0"/>
      <w:spacing w:before="0" w:after="0" w:line="360" w:lineRule="auto"/>
      <w:ind w:firstLine="472" w:firstLineChars="200"/>
      <w:outlineLvl w:val="9"/>
    </w:pPr>
    <w:rPr>
      <w:b w:val="0"/>
      <w:bCs w:val="0"/>
      <w:snapToGrid w:val="0"/>
      <w:color w:val="0000FF"/>
      <w:spacing w:val="-2"/>
      <w:sz w:val="24"/>
      <w:szCs w:val="24"/>
    </w:rPr>
  </w:style>
  <w:style w:type="character" w:customStyle="1" w:styleId="67">
    <w:name w:val="std"/>
    <w:basedOn w:val="32"/>
    <w:qFormat/>
    <w:uiPriority w:val="0"/>
  </w:style>
  <w:style w:type="character" w:customStyle="1" w:styleId="68">
    <w:name w:val="批注框文本 字符"/>
    <w:link w:val="18"/>
    <w:qFormat/>
    <w:uiPriority w:val="0"/>
    <w:rPr>
      <w:rFonts w:eastAsia="宋体"/>
      <w:kern w:val="2"/>
      <w:sz w:val="18"/>
      <w:szCs w:val="18"/>
      <w:lang w:val="en-GB" w:eastAsia="zh-TW" w:bidi="ar-SA"/>
    </w:rPr>
  </w:style>
  <w:style w:type="character" w:customStyle="1" w:styleId="69">
    <w:name w:val="批注文字 字符"/>
    <w:link w:val="10"/>
    <w:qFormat/>
    <w:uiPriority w:val="99"/>
    <w:rPr>
      <w:rFonts w:eastAsia="宋体"/>
      <w:kern w:val="2"/>
      <w:sz w:val="21"/>
      <w:szCs w:val="24"/>
      <w:lang w:val="en-GB" w:eastAsia="zh-TW" w:bidi="ar-SA"/>
    </w:rPr>
  </w:style>
  <w:style w:type="character" w:customStyle="1" w:styleId="70">
    <w:name w:val="正文1 Char"/>
    <w:link w:val="71"/>
    <w:qFormat/>
    <w:uiPriority w:val="0"/>
    <w:rPr>
      <w:rFonts w:eastAsia="宋体"/>
      <w:b/>
      <w:kern w:val="2"/>
      <w:sz w:val="24"/>
      <w:szCs w:val="24"/>
      <w:lang w:val="en-US" w:eastAsia="zh-CN" w:bidi="ar-SA"/>
    </w:rPr>
  </w:style>
  <w:style w:type="paragraph" w:customStyle="1" w:styleId="71">
    <w:name w:val="正文1"/>
    <w:basedOn w:val="1"/>
    <w:link w:val="70"/>
    <w:qFormat/>
    <w:uiPriority w:val="0"/>
    <w:pPr>
      <w:spacing w:before="78" w:beforeLines="25" w:after="78" w:afterLines="25"/>
      <w:jc w:val="center"/>
    </w:pPr>
    <w:rPr>
      <w:b/>
      <w:sz w:val="24"/>
      <w:lang w:val="en-US" w:eastAsia="zh-CN"/>
    </w:rPr>
  </w:style>
  <w:style w:type="character" w:customStyle="1" w:styleId="72">
    <w:name w:val="表内容 Char"/>
    <w:link w:val="73"/>
    <w:qFormat/>
    <w:uiPriority w:val="0"/>
    <w:rPr>
      <w:kern w:val="2"/>
      <w:sz w:val="21"/>
      <w:szCs w:val="21"/>
    </w:rPr>
  </w:style>
  <w:style w:type="paragraph" w:customStyle="1" w:styleId="73">
    <w:name w:val="表内容"/>
    <w:basedOn w:val="1"/>
    <w:link w:val="72"/>
    <w:qFormat/>
    <w:uiPriority w:val="0"/>
    <w:pPr>
      <w:jc w:val="center"/>
    </w:pPr>
    <w:rPr>
      <w:szCs w:val="21"/>
    </w:rPr>
  </w:style>
  <w:style w:type="character" w:customStyle="1" w:styleId="74">
    <w:name w:val="条标题"/>
    <w:qFormat/>
    <w:uiPriority w:val="0"/>
    <w:rPr>
      <w:rFonts w:eastAsia="仿宋_GB2312"/>
      <w:b/>
      <w:bCs/>
      <w:kern w:val="2"/>
      <w:sz w:val="28"/>
      <w:szCs w:val="32"/>
      <w:lang w:val="en-US" w:eastAsia="zh-CN" w:bidi="ar-SA"/>
    </w:rPr>
  </w:style>
  <w:style w:type="character" w:customStyle="1" w:styleId="75">
    <w:name w:val="批注文字 Char1"/>
    <w:qFormat/>
    <w:uiPriority w:val="99"/>
    <w:rPr>
      <w:kern w:val="2"/>
      <w:sz w:val="21"/>
      <w:szCs w:val="24"/>
    </w:rPr>
  </w:style>
  <w:style w:type="character" w:customStyle="1" w:styleId="76">
    <w:name w:val="文字缩进 Char"/>
    <w:qFormat/>
    <w:uiPriority w:val="0"/>
    <w:rPr>
      <w:rFonts w:ascii="宋体" w:hAnsi="Courier New" w:eastAsia="宋体"/>
      <w:kern w:val="2"/>
      <w:sz w:val="21"/>
      <w:lang w:val="en-US" w:eastAsia="zh-CN" w:bidi="ar-SA"/>
    </w:rPr>
  </w:style>
  <w:style w:type="character" w:customStyle="1" w:styleId="77">
    <w:name w:val="热电厂正文 Char"/>
    <w:link w:val="78"/>
    <w:qFormat/>
    <w:uiPriority w:val="0"/>
    <w:rPr>
      <w:rFonts w:eastAsia="宋体"/>
      <w:kern w:val="2"/>
      <w:sz w:val="24"/>
      <w:lang w:val="en-US" w:eastAsia="zh-CN" w:bidi="ar-SA"/>
    </w:rPr>
  </w:style>
  <w:style w:type="paragraph" w:customStyle="1" w:styleId="78">
    <w:name w:val="热电厂正文"/>
    <w:basedOn w:val="1"/>
    <w:link w:val="77"/>
    <w:qFormat/>
    <w:uiPriority w:val="0"/>
    <w:pPr>
      <w:spacing w:line="440" w:lineRule="exact"/>
      <w:ind w:firstLine="480" w:firstLineChars="200"/>
    </w:pPr>
    <w:rPr>
      <w:sz w:val="24"/>
      <w:szCs w:val="20"/>
      <w:lang w:val="en-US" w:eastAsia="zh-CN"/>
    </w:rPr>
  </w:style>
  <w:style w:type="character" w:customStyle="1" w:styleId="79">
    <w:name w:val="标题 4 字符"/>
    <w:link w:val="5"/>
    <w:semiHidden/>
    <w:qFormat/>
    <w:uiPriority w:val="0"/>
    <w:rPr>
      <w:rFonts w:ascii="Cambria" w:hAnsi="Cambria" w:eastAsia="宋体"/>
      <w:b/>
      <w:bCs/>
      <w:kern w:val="2"/>
      <w:sz w:val="28"/>
      <w:szCs w:val="28"/>
      <w:lang w:val="en-GB" w:eastAsia="zh-TW" w:bidi="ar-SA"/>
    </w:rPr>
  </w:style>
  <w:style w:type="character" w:customStyle="1" w:styleId="80">
    <w:name w:val="表格lcc Char"/>
    <w:link w:val="81"/>
    <w:qFormat/>
    <w:uiPriority w:val="0"/>
    <w:rPr>
      <w:rFonts w:eastAsia="仿宋_GB2312"/>
      <w:color w:val="000000"/>
      <w:kern w:val="2"/>
      <w:sz w:val="21"/>
      <w:szCs w:val="21"/>
    </w:rPr>
  </w:style>
  <w:style w:type="paragraph" w:customStyle="1" w:styleId="81">
    <w:name w:val="表格lcc"/>
    <w:basedOn w:val="1"/>
    <w:link w:val="80"/>
    <w:qFormat/>
    <w:uiPriority w:val="0"/>
    <w:pPr>
      <w:jc w:val="center"/>
    </w:pPr>
    <w:rPr>
      <w:rFonts w:eastAsia="仿宋_GB2312"/>
      <w:color w:val="000000"/>
      <w:szCs w:val="21"/>
    </w:rPr>
  </w:style>
  <w:style w:type="character" w:customStyle="1" w:styleId="82">
    <w:name w:val="style181"/>
    <w:qFormat/>
    <w:uiPriority w:val="0"/>
    <w:rPr>
      <w:sz w:val="17"/>
      <w:szCs w:val="17"/>
      <w:u w:val="none"/>
    </w:rPr>
  </w:style>
  <w:style w:type="character" w:customStyle="1" w:styleId="83">
    <w:name w:val="正文lcc2 Char"/>
    <w:link w:val="84"/>
    <w:qFormat/>
    <w:uiPriority w:val="0"/>
    <w:rPr>
      <w:b/>
      <w:kern w:val="2"/>
      <w:sz w:val="24"/>
      <w:szCs w:val="22"/>
    </w:rPr>
  </w:style>
  <w:style w:type="paragraph" w:customStyle="1" w:styleId="84">
    <w:name w:val="正文lcc2"/>
    <w:basedOn w:val="11"/>
    <w:link w:val="83"/>
    <w:qFormat/>
    <w:uiPriority w:val="0"/>
    <w:pPr>
      <w:spacing w:after="0" w:line="360" w:lineRule="auto"/>
      <w:ind w:firstLine="200" w:firstLineChars="200"/>
    </w:pPr>
    <w:rPr>
      <w:b/>
      <w:sz w:val="24"/>
      <w:szCs w:val="22"/>
    </w:rPr>
  </w:style>
  <w:style w:type="character" w:customStyle="1" w:styleId="85">
    <w:name w:val="表格-lcc Char"/>
    <w:link w:val="86"/>
    <w:qFormat/>
    <w:uiPriority w:val="0"/>
    <w:rPr>
      <w:kern w:val="2"/>
      <w:sz w:val="21"/>
      <w:szCs w:val="21"/>
    </w:rPr>
  </w:style>
  <w:style w:type="paragraph" w:customStyle="1" w:styleId="86">
    <w:name w:val="表格-lcc"/>
    <w:basedOn w:val="1"/>
    <w:next w:val="1"/>
    <w:link w:val="85"/>
    <w:qFormat/>
    <w:uiPriority w:val="0"/>
    <w:pPr>
      <w:snapToGrid w:val="0"/>
      <w:spacing w:line="276" w:lineRule="auto"/>
      <w:jc w:val="center"/>
    </w:pPr>
    <w:rPr>
      <w:szCs w:val="21"/>
    </w:rPr>
  </w:style>
  <w:style w:type="character" w:customStyle="1" w:styleId="87">
    <w:name w:val="apple-style-span"/>
    <w:qFormat/>
    <w:uiPriority w:val="0"/>
  </w:style>
  <w:style w:type="paragraph" w:customStyle="1" w:styleId="88">
    <w:name w:val="reader-word-layer reader-word-s1-13"/>
    <w:basedOn w:val="1"/>
    <w:qFormat/>
    <w:uiPriority w:val="0"/>
    <w:pPr>
      <w:widowControl/>
      <w:spacing w:before="100" w:beforeAutospacing="1" w:after="100" w:afterAutospacing="1"/>
      <w:jc w:val="left"/>
    </w:pPr>
    <w:rPr>
      <w:rFonts w:ascii="宋体" w:hAnsi="宋体" w:cs="宋体"/>
      <w:kern w:val="0"/>
      <w:sz w:val="24"/>
      <w:lang w:val="en-US" w:eastAsia="zh-CN"/>
    </w:rPr>
  </w:style>
  <w:style w:type="paragraph" w:customStyle="1" w:styleId="89">
    <w:name w:val="Char Char Char Char Char Char Char"/>
    <w:basedOn w:val="1"/>
    <w:qFormat/>
    <w:uiPriority w:val="0"/>
    <w:rPr>
      <w:szCs w:val="20"/>
      <w:lang w:val="en-US" w:eastAsia="zh-CN"/>
    </w:rPr>
  </w:style>
  <w:style w:type="paragraph" w:customStyle="1" w:styleId="90">
    <w:name w:val="Char Char Char Char Char Char Char Char Char Char"/>
    <w:basedOn w:val="1"/>
    <w:qFormat/>
    <w:uiPriority w:val="0"/>
    <w:rPr>
      <w:rFonts w:ascii="黑体" w:hAnsi="黑体" w:eastAsia="黑体"/>
      <w:b/>
      <w:spacing w:val="10"/>
      <w:sz w:val="28"/>
      <w:szCs w:val="20"/>
      <w:lang w:val="en-US" w:eastAsia="zh-CN"/>
    </w:rPr>
  </w:style>
  <w:style w:type="paragraph" w:customStyle="1" w:styleId="91">
    <w:name w:val="默认段落字体 Para Char Char Char Char Char Char Char Char Char Char"/>
    <w:basedOn w:val="4"/>
    <w:qFormat/>
    <w:uiPriority w:val="0"/>
    <w:pPr>
      <w:tabs>
        <w:tab w:val="left" w:pos="360"/>
        <w:tab w:val="left" w:pos="900"/>
      </w:tabs>
      <w:snapToGrid w:val="0"/>
      <w:spacing w:before="120" w:after="120" w:line="440" w:lineRule="exact"/>
      <w:ind w:left="542" w:leftChars="-12" w:firstLine="200" w:firstLineChars="200"/>
      <w:jc w:val="left"/>
    </w:pPr>
    <w:rPr>
      <w:rFonts w:eastAsia="黑体"/>
      <w:b w:val="0"/>
      <w:bCs w:val="0"/>
      <w:snapToGrid w:val="0"/>
      <w:sz w:val="24"/>
      <w:szCs w:val="24"/>
    </w:rPr>
  </w:style>
  <w:style w:type="paragraph" w:customStyle="1" w:styleId="92">
    <w:name w:val="其他发布日期"/>
    <w:basedOn w:val="1"/>
    <w:qFormat/>
    <w:uiPriority w:val="0"/>
    <w:pPr>
      <w:framePr w:w="3997" w:h="471" w:hRule="exact" w:vSpace="181" w:wrap="around" w:vAnchor="page" w:hAnchor="page" w:x="1419" w:y="14097" w:anchorLock="1"/>
      <w:widowControl/>
      <w:numPr>
        <w:ilvl w:val="0"/>
        <w:numId w:val="2"/>
      </w:numPr>
      <w:jc w:val="left"/>
    </w:pPr>
    <w:rPr>
      <w:rFonts w:eastAsia="黑体"/>
      <w:kern w:val="0"/>
      <w:sz w:val="28"/>
      <w:szCs w:val="20"/>
      <w:lang w:val="en-US" w:eastAsia="zh-CN"/>
    </w:rPr>
  </w:style>
  <w:style w:type="paragraph" w:customStyle="1" w:styleId="93">
    <w:name w:val="Char Char Char Char Char Char Char Char Char1 Char Char Char Char Char Char Char Char Char Char Char Char Char Char Char Char"/>
    <w:basedOn w:val="3"/>
    <w:qFormat/>
    <w:uiPriority w:val="0"/>
    <w:pPr>
      <w:numPr>
        <w:numId w:val="0"/>
      </w:numPr>
      <w:snapToGrid w:val="0"/>
      <w:spacing w:before="240" w:after="240" w:line="348" w:lineRule="auto"/>
    </w:pPr>
    <w:rPr>
      <w:rFonts w:ascii="Tahoma" w:hAnsi="Tahoma"/>
      <w:bCs w:val="0"/>
      <w:kern w:val="2"/>
      <w:sz w:val="24"/>
      <w:szCs w:val="20"/>
    </w:rPr>
  </w:style>
  <w:style w:type="paragraph" w:customStyle="1" w:styleId="94">
    <w:name w:val="Char Char Char Char Char Char Char Char Char Char Char Char1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val="en-US" w:eastAsia="en-US"/>
    </w:rPr>
  </w:style>
  <w:style w:type="paragraph" w:customStyle="1" w:styleId="95">
    <w:name w:val="p0"/>
    <w:basedOn w:val="1"/>
    <w:qFormat/>
    <w:uiPriority w:val="0"/>
    <w:pPr>
      <w:widowControl/>
      <w:jc w:val="left"/>
    </w:pPr>
    <w:rPr>
      <w:rFonts w:ascii="宋体" w:hAnsi="宋体" w:cs="宋体"/>
      <w:kern w:val="0"/>
      <w:sz w:val="24"/>
      <w:lang w:val="en-US" w:eastAsia="zh-CN"/>
    </w:rPr>
  </w:style>
  <w:style w:type="paragraph" w:customStyle="1" w:styleId="96">
    <w:name w:val="表格样式"/>
    <w:basedOn w:val="1"/>
    <w:qFormat/>
    <w:uiPriority w:val="0"/>
    <w:pPr>
      <w:autoSpaceDE w:val="0"/>
      <w:autoSpaceDN w:val="0"/>
      <w:spacing w:line="360" w:lineRule="exact"/>
      <w:jc w:val="center"/>
    </w:pPr>
    <w:rPr>
      <w:snapToGrid w:val="0"/>
      <w:kern w:val="0"/>
      <w:szCs w:val="21"/>
    </w:rPr>
  </w:style>
  <w:style w:type="paragraph" w:customStyle="1" w:styleId="97">
    <w:name w:val="二级无标题条"/>
    <w:basedOn w:val="1"/>
    <w:qFormat/>
    <w:uiPriority w:val="0"/>
    <w:rPr>
      <w:lang w:val="en-US" w:eastAsia="zh-CN"/>
    </w:rPr>
  </w:style>
  <w:style w:type="paragraph" w:customStyle="1" w:styleId="98">
    <w:name w:val="Char Char Char"/>
    <w:basedOn w:val="1"/>
    <w:qFormat/>
    <w:uiPriority w:val="0"/>
    <w:rPr>
      <w:bCs/>
      <w:sz w:val="24"/>
      <w:lang w:val="en-US" w:eastAsia="en-US"/>
    </w:rPr>
  </w:style>
  <w:style w:type="paragraph" w:customStyle="1" w:styleId="99">
    <w:name w:val="表格填充1"/>
    <w:basedOn w:val="15"/>
    <w:qFormat/>
    <w:uiPriority w:val="0"/>
    <w:pPr>
      <w:snapToGrid w:val="0"/>
    </w:pPr>
    <w:rPr>
      <w:rFonts w:ascii="Times New Roman" w:hAnsi="Times New Roman"/>
      <w:snapToGrid w:val="0"/>
      <w:sz w:val="28"/>
      <w:szCs w:val="20"/>
      <w:lang w:val="en-US" w:eastAsia="zh-CN"/>
    </w:rPr>
  </w:style>
  <w:style w:type="paragraph" w:customStyle="1" w:styleId="100">
    <w:name w:val="HP正文"/>
    <w:basedOn w:val="1"/>
    <w:qFormat/>
    <w:uiPriority w:val="0"/>
    <w:pPr>
      <w:ind w:firstLine="480"/>
    </w:pPr>
  </w:style>
  <w:style w:type="paragraph" w:customStyle="1" w:styleId="101">
    <w:name w:val="表标题"/>
    <w:basedOn w:val="27"/>
    <w:qFormat/>
    <w:uiPriority w:val="0"/>
    <w:pPr>
      <w:topLinePunct/>
      <w:adjustRightInd w:val="0"/>
      <w:snapToGrid w:val="0"/>
      <w:spacing w:before="60" w:after="60"/>
      <w:ind w:firstLine="0" w:firstLineChars="0"/>
      <w:jc w:val="center"/>
    </w:pPr>
    <w:rPr>
      <w:rFonts w:eastAsia="仿宋_GB2312"/>
      <w:b/>
      <w:bCs/>
      <w:color w:val="000000"/>
      <w:sz w:val="30"/>
      <w:szCs w:val="32"/>
      <w:lang w:val="en-US" w:eastAsia="zh-CN"/>
    </w:rPr>
  </w:style>
  <w:style w:type="paragraph" w:customStyle="1" w:styleId="102">
    <w:name w:val="Char5"/>
    <w:basedOn w:val="1"/>
    <w:qFormat/>
    <w:uiPriority w:val="0"/>
    <w:pPr>
      <w:widowControl/>
      <w:spacing w:after="160" w:line="240" w:lineRule="exact"/>
      <w:jc w:val="left"/>
    </w:pPr>
    <w:rPr>
      <w:rFonts w:ascii="Arial" w:hAnsi="Arial" w:eastAsia="Times New Roman" w:cs="Verdana"/>
      <w:b/>
      <w:kern w:val="0"/>
      <w:sz w:val="24"/>
      <w:lang w:val="en-US" w:eastAsia="en-US"/>
    </w:rPr>
  </w:style>
  <w:style w:type="paragraph" w:customStyle="1" w:styleId="103">
    <w:name w:val="reader-word-layer reader-word-s2-5"/>
    <w:basedOn w:val="1"/>
    <w:qFormat/>
    <w:uiPriority w:val="0"/>
    <w:pPr>
      <w:widowControl/>
      <w:spacing w:before="100" w:beforeAutospacing="1" w:after="100" w:afterAutospacing="1"/>
      <w:jc w:val="left"/>
    </w:pPr>
    <w:rPr>
      <w:rFonts w:ascii="宋体" w:hAnsi="宋体" w:cs="宋体"/>
      <w:kern w:val="0"/>
      <w:sz w:val="24"/>
      <w:lang w:val="en-US" w:eastAsia="zh-CN"/>
    </w:rPr>
  </w:style>
  <w:style w:type="paragraph" w:customStyle="1" w:styleId="104">
    <w:name w:val="reader-word-layer reader-word-s1-8"/>
    <w:basedOn w:val="1"/>
    <w:qFormat/>
    <w:uiPriority w:val="0"/>
    <w:pPr>
      <w:widowControl/>
      <w:spacing w:before="100" w:beforeAutospacing="1" w:after="100" w:afterAutospacing="1"/>
      <w:jc w:val="left"/>
    </w:pPr>
    <w:rPr>
      <w:rFonts w:ascii="宋体" w:hAnsi="宋体" w:cs="宋体"/>
      <w:kern w:val="0"/>
      <w:sz w:val="24"/>
      <w:lang w:val="en-US" w:eastAsia="zh-CN"/>
    </w:rPr>
  </w:style>
  <w:style w:type="paragraph" w:customStyle="1" w:styleId="105">
    <w:name w:val="默认段落字体 Para Char"/>
    <w:basedOn w:val="1"/>
    <w:next w:val="1"/>
    <w:qFormat/>
    <w:uiPriority w:val="0"/>
    <w:pPr>
      <w:spacing w:line="360" w:lineRule="auto"/>
      <w:ind w:firstLine="200" w:firstLineChars="200"/>
    </w:pPr>
    <w:rPr>
      <w:lang w:val="en-US" w:eastAsia="zh-CN"/>
    </w:rPr>
  </w:style>
  <w:style w:type="paragraph" w:customStyle="1" w:styleId="106">
    <w:name w:val="HP表头"/>
    <w:basedOn w:val="1"/>
    <w:qFormat/>
    <w:uiPriority w:val="0"/>
    <w:pPr>
      <w:jc w:val="center"/>
    </w:pPr>
    <w:rPr>
      <w:b/>
      <w:szCs w:val="21"/>
    </w:rPr>
  </w:style>
  <w:style w:type="paragraph" w:customStyle="1" w:styleId="107">
    <w:name w:val="reader-word-layer reader-word-s1-3"/>
    <w:basedOn w:val="1"/>
    <w:qFormat/>
    <w:uiPriority w:val="0"/>
    <w:pPr>
      <w:widowControl/>
      <w:spacing w:before="100" w:beforeAutospacing="1" w:after="100" w:afterAutospacing="1"/>
      <w:jc w:val="left"/>
    </w:pPr>
    <w:rPr>
      <w:rFonts w:ascii="宋体" w:hAnsi="宋体" w:cs="宋体"/>
      <w:kern w:val="0"/>
      <w:sz w:val="24"/>
      <w:lang w:val="en-US" w:eastAsia="zh-CN"/>
    </w:rPr>
  </w:style>
  <w:style w:type="paragraph" w:customStyle="1" w:styleId="108">
    <w:name w:val="reader-word-layer reader-word-s1-3 reader-word-s1-9"/>
    <w:basedOn w:val="1"/>
    <w:qFormat/>
    <w:uiPriority w:val="0"/>
    <w:pPr>
      <w:widowControl/>
      <w:spacing w:before="100" w:beforeAutospacing="1" w:after="100" w:afterAutospacing="1"/>
      <w:jc w:val="left"/>
    </w:pPr>
    <w:rPr>
      <w:rFonts w:ascii="宋体" w:hAnsi="宋体" w:cs="宋体"/>
      <w:kern w:val="0"/>
      <w:sz w:val="24"/>
      <w:lang w:val="en-US" w:eastAsia="zh-CN"/>
    </w:rPr>
  </w:style>
  <w:style w:type="paragraph" w:customStyle="1" w:styleId="109">
    <w:name w:val="style21"/>
    <w:basedOn w:val="1"/>
    <w:qFormat/>
    <w:uiPriority w:val="0"/>
    <w:pPr>
      <w:widowControl/>
      <w:spacing w:before="100" w:beforeAutospacing="1" w:after="100" w:afterAutospacing="1"/>
      <w:jc w:val="left"/>
    </w:pPr>
    <w:rPr>
      <w:rFonts w:ascii="宋体" w:hAnsi="宋体" w:cs="宋体"/>
      <w:kern w:val="0"/>
      <w:sz w:val="24"/>
      <w:lang w:val="en-US" w:eastAsia="zh-CN"/>
    </w:rPr>
  </w:style>
  <w:style w:type="paragraph" w:customStyle="1" w:styleId="110">
    <w:name w:val="纯文本1"/>
    <w:basedOn w:val="1"/>
    <w:qFormat/>
    <w:uiPriority w:val="0"/>
    <w:pPr>
      <w:widowControl/>
      <w:autoSpaceDE w:val="0"/>
      <w:autoSpaceDN w:val="0"/>
      <w:adjustRightInd w:val="0"/>
      <w:jc w:val="left"/>
      <w:textAlignment w:val="baseline"/>
    </w:pPr>
    <w:rPr>
      <w:rFonts w:ascii="宋体"/>
      <w:szCs w:val="20"/>
      <w:lang w:val="en-US" w:eastAsia="zh-CN"/>
    </w:rPr>
  </w:style>
  <w:style w:type="paragraph" w:customStyle="1" w:styleId="111">
    <w:name w:val="Char"/>
    <w:basedOn w:val="1"/>
    <w:qFormat/>
    <w:uiPriority w:val="0"/>
    <w:pPr>
      <w:spacing w:line="360" w:lineRule="auto"/>
      <w:ind w:firstLine="200" w:firstLineChars="200"/>
    </w:pPr>
    <w:rPr>
      <w:rFonts w:ascii="宋体" w:hAnsi="宋体" w:cs="宋体"/>
      <w:sz w:val="24"/>
      <w:lang w:val="en-US" w:eastAsia="zh-CN"/>
    </w:rPr>
  </w:style>
  <w:style w:type="paragraph" w:customStyle="1" w:styleId="112">
    <w:name w:val="封面正文"/>
    <w:qFormat/>
    <w:uiPriority w:val="0"/>
    <w:pPr>
      <w:jc w:val="both"/>
    </w:pPr>
    <w:rPr>
      <w:rFonts w:ascii="Times New Roman" w:hAnsi="Times New Roman" w:eastAsia="宋体" w:cs="Times New Roman"/>
      <w:lang w:val="en-US" w:eastAsia="zh-CN" w:bidi="ar-SA"/>
    </w:rPr>
  </w:style>
  <w:style w:type="paragraph" w:customStyle="1" w:styleId="113">
    <w:name w:val="reader-word-layer"/>
    <w:basedOn w:val="1"/>
    <w:qFormat/>
    <w:uiPriority w:val="0"/>
    <w:pPr>
      <w:widowControl/>
      <w:spacing w:before="100" w:beforeAutospacing="1" w:after="100" w:afterAutospacing="1"/>
      <w:jc w:val="left"/>
    </w:pPr>
    <w:rPr>
      <w:rFonts w:ascii="宋体" w:hAnsi="宋体" w:cs="宋体"/>
      <w:kern w:val="0"/>
      <w:sz w:val="24"/>
      <w:lang w:val="en-US" w:eastAsia="zh-CN"/>
    </w:rPr>
  </w:style>
  <w:style w:type="paragraph" w:customStyle="1" w:styleId="114">
    <w:name w:val="默认段落字体 Para Char Char Char Char"/>
    <w:basedOn w:val="1"/>
    <w:qFormat/>
    <w:uiPriority w:val="0"/>
    <w:rPr>
      <w:lang w:val="en-US" w:eastAsia="zh-CN"/>
    </w:rPr>
  </w:style>
  <w:style w:type="paragraph" w:customStyle="1" w:styleId="115">
    <w:name w:val="Char2 Char Char Char"/>
    <w:basedOn w:val="1"/>
    <w:qFormat/>
    <w:uiPriority w:val="0"/>
    <w:pPr>
      <w:spacing w:line="360" w:lineRule="auto"/>
      <w:ind w:firstLine="200" w:firstLineChars="200"/>
    </w:pPr>
    <w:rPr>
      <w:rFonts w:ascii="宋体" w:hAnsi="宋体" w:cs="宋体"/>
      <w:sz w:val="24"/>
      <w:lang w:val="en-US" w:eastAsia="zh-CN"/>
    </w:rPr>
  </w:style>
  <w:style w:type="paragraph" w:customStyle="1" w:styleId="116">
    <w:name w:val="正式排版"/>
    <w:basedOn w:val="1"/>
    <w:qFormat/>
    <w:uiPriority w:val="0"/>
    <w:pPr>
      <w:snapToGrid w:val="0"/>
      <w:spacing w:line="600" w:lineRule="exact"/>
      <w:ind w:firstLine="607"/>
    </w:pPr>
    <w:rPr>
      <w:rFonts w:eastAsia="仿宋_GB2312"/>
      <w:snapToGrid w:val="0"/>
      <w:kern w:val="0"/>
      <w:sz w:val="30"/>
      <w:szCs w:val="16"/>
      <w:lang w:val="en-US" w:eastAsia="zh-CN"/>
    </w:rPr>
  </w:style>
  <w:style w:type="paragraph" w:customStyle="1" w:styleId="117">
    <w:name w:val="reader-word-layer reader-word-s2-14"/>
    <w:basedOn w:val="1"/>
    <w:qFormat/>
    <w:uiPriority w:val="0"/>
    <w:pPr>
      <w:widowControl/>
      <w:spacing w:before="100" w:beforeAutospacing="1" w:after="100" w:afterAutospacing="1"/>
      <w:jc w:val="left"/>
    </w:pPr>
    <w:rPr>
      <w:rFonts w:ascii="宋体" w:hAnsi="宋体" w:cs="宋体"/>
      <w:kern w:val="0"/>
      <w:sz w:val="24"/>
      <w:lang w:val="en-US" w:eastAsia="zh-CN"/>
    </w:rPr>
  </w:style>
  <w:style w:type="paragraph" w:customStyle="1" w:styleId="118">
    <w:name w:val="xl37"/>
    <w:basedOn w:val="1"/>
    <w:qFormat/>
    <w:uiPriority w:val="0"/>
    <w:pPr>
      <w:pBdr>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rPr>
  </w:style>
  <w:style w:type="paragraph" w:customStyle="1" w:styleId="119">
    <w:name w:val="报告书正文段落"/>
    <w:basedOn w:val="1"/>
    <w:qFormat/>
    <w:uiPriority w:val="0"/>
    <w:pPr>
      <w:spacing w:line="520" w:lineRule="exact"/>
      <w:ind w:firstLine="200" w:firstLineChars="200"/>
      <w:jc w:val="left"/>
    </w:pPr>
    <w:rPr>
      <w:kern w:val="0"/>
      <w:sz w:val="24"/>
      <w:szCs w:val="20"/>
      <w:lang w:val="zh-CN"/>
    </w:rPr>
  </w:style>
  <w:style w:type="paragraph" w:customStyle="1" w:styleId="120">
    <w:name w:val="Char Char Char Char Char Char Char Char Char Char Char Char1 Char"/>
    <w:basedOn w:val="1"/>
    <w:qFormat/>
    <w:uiPriority w:val="0"/>
    <w:pPr>
      <w:spacing w:line="360" w:lineRule="auto"/>
      <w:ind w:firstLine="200" w:firstLineChars="200"/>
    </w:pPr>
    <w:rPr>
      <w:sz w:val="24"/>
      <w:szCs w:val="20"/>
      <w:lang w:val="en-US" w:eastAsia="zh-CN"/>
    </w:rPr>
  </w:style>
  <w:style w:type="paragraph" w:customStyle="1" w:styleId="121">
    <w:name w:val="Char1"/>
    <w:basedOn w:val="1"/>
    <w:qFormat/>
    <w:uiPriority w:val="0"/>
    <w:pPr>
      <w:spacing w:line="480" w:lineRule="exact"/>
    </w:pPr>
    <w:rPr>
      <w:lang w:val="en-US" w:eastAsia="zh-CN"/>
    </w:rPr>
  </w:style>
  <w:style w:type="paragraph" w:customStyle="1" w:styleId="122">
    <w:name w:val="reader-word-layer reader-word-s1-1"/>
    <w:basedOn w:val="1"/>
    <w:qFormat/>
    <w:uiPriority w:val="0"/>
    <w:pPr>
      <w:widowControl/>
      <w:spacing w:before="100" w:beforeAutospacing="1" w:after="100" w:afterAutospacing="1"/>
      <w:jc w:val="left"/>
    </w:pPr>
    <w:rPr>
      <w:rFonts w:ascii="宋体" w:hAnsi="宋体" w:cs="宋体"/>
      <w:kern w:val="0"/>
      <w:sz w:val="24"/>
      <w:lang w:val="en-US" w:eastAsia="zh-CN"/>
    </w:rPr>
  </w:style>
  <w:style w:type="paragraph" w:customStyle="1" w:styleId="123">
    <w:name w:val="11"/>
    <w:basedOn w:val="1"/>
    <w:qFormat/>
    <w:uiPriority w:val="0"/>
    <w:pPr>
      <w:widowControl/>
      <w:spacing w:before="100" w:beforeAutospacing="1" w:after="100" w:afterAutospacing="1"/>
      <w:jc w:val="left"/>
    </w:pPr>
    <w:rPr>
      <w:rFonts w:ascii="宋体" w:hAnsi="宋体" w:cs="宋体"/>
      <w:kern w:val="0"/>
      <w:sz w:val="24"/>
      <w:lang w:val="en-US" w:eastAsia="zh-CN"/>
    </w:rPr>
  </w:style>
  <w:style w:type="paragraph" w:customStyle="1" w:styleId="124">
    <w:name w:val="正文表标题"/>
    <w:next w:val="1"/>
    <w:qFormat/>
    <w:uiPriority w:val="0"/>
    <w:pPr>
      <w:spacing w:before="156" w:beforeLines="50" w:after="156" w:afterLines="50"/>
      <w:jc w:val="center"/>
    </w:pPr>
    <w:rPr>
      <w:rFonts w:ascii="黑体" w:hAnsi="Times New Roman" w:eastAsia="黑体" w:cs="Times New Roman"/>
      <w:sz w:val="21"/>
      <w:lang w:val="en-US" w:eastAsia="zh-CN" w:bidi="ar-SA"/>
    </w:rPr>
  </w:style>
  <w:style w:type="paragraph" w:customStyle="1" w:styleId="125">
    <w:name w:val="表格文字"/>
    <w:basedOn w:val="1"/>
    <w:next w:val="1"/>
    <w:qFormat/>
    <w:uiPriority w:val="0"/>
    <w:pPr>
      <w:spacing w:before="30" w:beforeLines="30" w:after="30" w:afterLines="30"/>
      <w:jc w:val="center"/>
    </w:pPr>
    <w:rPr>
      <w:spacing w:val="10"/>
      <w:kern w:val="0"/>
      <w:szCs w:val="21"/>
      <w:lang w:val="en-US" w:eastAsia="zh-CN"/>
    </w:rPr>
  </w:style>
  <w:style w:type="paragraph" w:customStyle="1" w:styleId="126">
    <w:name w:val="Char11"/>
    <w:basedOn w:val="1"/>
    <w:qFormat/>
    <w:uiPriority w:val="0"/>
    <w:pPr>
      <w:spacing w:line="360" w:lineRule="auto"/>
      <w:ind w:firstLine="200" w:firstLineChars="200"/>
    </w:pPr>
    <w:rPr>
      <w:rFonts w:ascii="宋体" w:hAnsi="宋体" w:cs="宋体"/>
      <w:sz w:val="24"/>
      <w:lang w:val="en-US" w:eastAsia="zh-CN"/>
    </w:rPr>
  </w:style>
  <w:style w:type="paragraph" w:customStyle="1" w:styleId="127">
    <w:name w:val="Char Char Char Char Char Char Char Char Char1 Char Char Char Char Char Char2 Char Char Char1 Char"/>
    <w:basedOn w:val="9"/>
    <w:qFormat/>
    <w:uiPriority w:val="0"/>
    <w:pPr>
      <w:spacing w:before="50" w:beforeLines="50" w:after="50" w:afterLines="50" w:line="360" w:lineRule="auto"/>
    </w:pPr>
    <w:rPr>
      <w:rFonts w:ascii="Tahoma" w:hAnsi="Tahoma"/>
      <w:sz w:val="24"/>
      <w:lang w:val="en-US" w:eastAsia="zh-CN"/>
    </w:rPr>
  </w:style>
  <w:style w:type="paragraph" w:customStyle="1" w:styleId="128">
    <w:name w:val="表格格式"/>
    <w:basedOn w:val="1"/>
    <w:next w:val="7"/>
    <w:qFormat/>
    <w:uiPriority w:val="0"/>
    <w:pPr>
      <w:adjustRightInd w:val="0"/>
      <w:snapToGrid w:val="0"/>
      <w:spacing w:line="360" w:lineRule="exact"/>
      <w:jc w:val="center"/>
    </w:pPr>
    <w:rPr>
      <w:szCs w:val="21"/>
    </w:rPr>
  </w:style>
  <w:style w:type="paragraph" w:customStyle="1" w:styleId="129">
    <w:name w:val="小四表文左齐"/>
    <w:basedOn w:val="1"/>
    <w:qFormat/>
    <w:uiPriority w:val="0"/>
    <w:pPr>
      <w:jc w:val="center"/>
    </w:pPr>
    <w:rPr>
      <w:rFonts w:ascii="宋体" w:hAnsi="宋体"/>
      <w:color w:val="000000"/>
      <w:szCs w:val="21"/>
      <w:lang w:val="en-US" w:eastAsia="zh-CN"/>
    </w:rPr>
  </w:style>
  <w:style w:type="paragraph" w:customStyle="1" w:styleId="130">
    <w:name w:val="表格2"/>
    <w:basedOn w:val="1"/>
    <w:next w:val="1"/>
    <w:qFormat/>
    <w:uiPriority w:val="0"/>
    <w:pPr>
      <w:topLinePunct/>
      <w:autoSpaceDE w:val="0"/>
      <w:autoSpaceDN w:val="0"/>
      <w:adjustRightInd w:val="0"/>
      <w:jc w:val="center"/>
      <w:textAlignment w:val="baseline"/>
    </w:pPr>
    <w:rPr>
      <w:rFonts w:ascii="宋体" w:hAnsi="Impact"/>
      <w:kern w:val="24"/>
      <w:position w:val="-28"/>
      <w:szCs w:val="20"/>
      <w:lang w:val="en-US" w:eastAsia="zh-CN"/>
    </w:rPr>
  </w:style>
  <w:style w:type="paragraph" w:customStyle="1" w:styleId="131">
    <w:name w:val="默认段落字体 Para Char Char Char Char Char Char Char"/>
    <w:basedOn w:val="1"/>
    <w:qFormat/>
    <w:uiPriority w:val="0"/>
    <w:rPr>
      <w:szCs w:val="20"/>
    </w:rPr>
  </w:style>
  <w:style w:type="paragraph" w:customStyle="1" w:styleId="132">
    <w:name w:val="reader-word-layer reader-word-s2-0 reader-word-s2-6"/>
    <w:basedOn w:val="1"/>
    <w:qFormat/>
    <w:uiPriority w:val="0"/>
    <w:pPr>
      <w:widowControl/>
      <w:spacing w:before="100" w:beforeAutospacing="1" w:after="100" w:afterAutospacing="1"/>
      <w:jc w:val="left"/>
    </w:pPr>
    <w:rPr>
      <w:rFonts w:ascii="宋体" w:hAnsi="宋体" w:cs="宋体"/>
      <w:kern w:val="0"/>
      <w:sz w:val="24"/>
      <w:lang w:val="en-US" w:eastAsia="zh-CN"/>
    </w:rPr>
  </w:style>
  <w:style w:type="paragraph" w:customStyle="1" w:styleId="133">
    <w:name w:val="reader-word-layer reader-word-s1-11"/>
    <w:basedOn w:val="1"/>
    <w:qFormat/>
    <w:uiPriority w:val="0"/>
    <w:pPr>
      <w:widowControl/>
      <w:spacing w:before="100" w:beforeAutospacing="1" w:after="100" w:afterAutospacing="1"/>
      <w:jc w:val="left"/>
    </w:pPr>
    <w:rPr>
      <w:rFonts w:ascii="宋体" w:hAnsi="宋体" w:cs="宋体"/>
      <w:kern w:val="0"/>
      <w:sz w:val="24"/>
      <w:lang w:val="en-US" w:eastAsia="zh-CN"/>
    </w:rPr>
  </w:style>
  <w:style w:type="paragraph" w:customStyle="1" w:styleId="134">
    <w:name w:val="编制说明"/>
    <w:basedOn w:val="1"/>
    <w:qFormat/>
    <w:uiPriority w:val="0"/>
    <w:pPr>
      <w:topLinePunct/>
      <w:adjustRightInd w:val="0"/>
      <w:snapToGrid w:val="0"/>
      <w:spacing w:line="360" w:lineRule="auto"/>
      <w:ind w:firstLine="420"/>
    </w:pPr>
    <w:rPr>
      <w:rFonts w:eastAsia="仿宋_GB2312"/>
      <w:szCs w:val="20"/>
      <w:lang w:val="en-US" w:eastAsia="zh-CN"/>
    </w:rPr>
  </w:style>
  <w:style w:type="paragraph" w:customStyle="1" w:styleId="135">
    <w:name w:val="样式 样式 正文 行距: 固定值 25 磅 + 首行缩进:  2 字符1"/>
    <w:basedOn w:val="1"/>
    <w:qFormat/>
    <w:uiPriority w:val="0"/>
    <w:pPr>
      <w:widowControl/>
      <w:adjustRightInd w:val="0"/>
      <w:spacing w:line="500" w:lineRule="exact"/>
      <w:ind w:firstLine="480" w:firstLineChars="200"/>
      <w:jc w:val="left"/>
    </w:pPr>
    <w:rPr>
      <w:rFonts w:cs="宋体"/>
      <w:sz w:val="24"/>
      <w:szCs w:val="20"/>
      <w:lang w:val="en-US" w:eastAsia="zh-CN"/>
    </w:rPr>
  </w:style>
  <w:style w:type="paragraph" w:customStyle="1" w:styleId="136">
    <w:name w:val="reader-word-layer reader-word-s2-9"/>
    <w:basedOn w:val="1"/>
    <w:qFormat/>
    <w:uiPriority w:val="0"/>
    <w:pPr>
      <w:widowControl/>
      <w:spacing w:before="100" w:beforeAutospacing="1" w:after="100" w:afterAutospacing="1"/>
      <w:jc w:val="left"/>
    </w:pPr>
    <w:rPr>
      <w:rFonts w:ascii="宋体" w:hAnsi="宋体" w:cs="宋体"/>
      <w:kern w:val="0"/>
      <w:sz w:val="24"/>
      <w:lang w:val="en-US" w:eastAsia="zh-CN"/>
    </w:rPr>
  </w:style>
  <w:style w:type="paragraph" w:customStyle="1" w:styleId="137">
    <w:name w:val="注："/>
    <w:next w:val="1"/>
    <w:qFormat/>
    <w:uiPriority w:val="0"/>
    <w:pPr>
      <w:widowControl w:val="0"/>
      <w:numPr>
        <w:ilvl w:val="0"/>
        <w:numId w:val="3"/>
      </w:numPr>
      <w:autoSpaceDE w:val="0"/>
      <w:autoSpaceDN w:val="0"/>
      <w:jc w:val="both"/>
    </w:pPr>
    <w:rPr>
      <w:rFonts w:ascii="宋体" w:hAnsi="Times New Roman" w:eastAsia="宋体" w:cs="Times New Roman"/>
      <w:sz w:val="18"/>
      <w:szCs w:val="18"/>
      <w:lang w:val="en-US" w:eastAsia="zh-CN" w:bidi="ar-SA"/>
    </w:rPr>
  </w:style>
  <w:style w:type="paragraph" w:customStyle="1" w:styleId="138">
    <w:name w:val="reader-word-layer reader-word-s2-8"/>
    <w:basedOn w:val="1"/>
    <w:qFormat/>
    <w:uiPriority w:val="0"/>
    <w:pPr>
      <w:widowControl/>
      <w:spacing w:before="100" w:beforeAutospacing="1" w:after="100" w:afterAutospacing="1"/>
      <w:jc w:val="left"/>
    </w:pPr>
    <w:rPr>
      <w:rFonts w:ascii="宋体" w:hAnsi="宋体" w:cs="宋体"/>
      <w:kern w:val="0"/>
      <w:sz w:val="24"/>
      <w:lang w:val="en-US" w:eastAsia="zh-CN"/>
    </w:rPr>
  </w:style>
  <w:style w:type="paragraph" w:customStyle="1" w:styleId="139">
    <w:name w:val="Char4"/>
    <w:basedOn w:val="1"/>
    <w:qFormat/>
    <w:uiPriority w:val="0"/>
    <w:rPr>
      <w:szCs w:val="21"/>
      <w:lang w:val="en-US" w:eastAsia="zh-CN"/>
    </w:rPr>
  </w:style>
  <w:style w:type="paragraph" w:customStyle="1" w:styleId="140">
    <w:name w:val="reader-word-layer reader-word-s1-6"/>
    <w:basedOn w:val="1"/>
    <w:qFormat/>
    <w:uiPriority w:val="0"/>
    <w:pPr>
      <w:widowControl/>
      <w:spacing w:before="100" w:beforeAutospacing="1" w:after="100" w:afterAutospacing="1"/>
      <w:jc w:val="left"/>
    </w:pPr>
    <w:rPr>
      <w:rFonts w:ascii="宋体" w:hAnsi="宋体" w:cs="宋体"/>
      <w:kern w:val="0"/>
      <w:sz w:val="24"/>
      <w:lang w:val="en-US" w:eastAsia="zh-CN"/>
    </w:rPr>
  </w:style>
  <w:style w:type="paragraph" w:customStyle="1" w:styleId="141">
    <w:name w:val="编制说明头"/>
    <w:basedOn w:val="2"/>
    <w:qFormat/>
    <w:uiPriority w:val="0"/>
    <w:pPr>
      <w:keepNext w:val="0"/>
      <w:keepLines w:val="0"/>
      <w:pageBreakBefore/>
      <w:topLinePunct/>
      <w:adjustRightInd w:val="0"/>
      <w:snapToGrid w:val="0"/>
      <w:spacing w:before="360" w:after="960" w:line="240" w:lineRule="auto"/>
      <w:jc w:val="center"/>
    </w:pPr>
    <w:rPr>
      <w:rFonts w:eastAsia="方正报宋简体"/>
      <w:bCs w:val="0"/>
      <w:sz w:val="28"/>
      <w:szCs w:val="20"/>
      <w:lang w:val="en-US" w:eastAsia="zh-CN"/>
    </w:rPr>
  </w:style>
  <w:style w:type="paragraph" w:customStyle="1" w:styleId="142">
    <w:name w:val="1、大表格内"/>
    <w:basedOn w:val="1"/>
    <w:qFormat/>
    <w:uiPriority w:val="0"/>
    <w:pPr>
      <w:keepNext/>
      <w:keepLines/>
      <w:autoSpaceDE w:val="0"/>
      <w:autoSpaceDN w:val="0"/>
      <w:adjustRightInd w:val="0"/>
      <w:spacing w:line="360" w:lineRule="auto"/>
      <w:ind w:firstLine="480" w:firstLineChars="200"/>
      <w:textAlignment w:val="bottom"/>
    </w:pPr>
    <w:rPr>
      <w:sz w:val="24"/>
      <w:lang w:val="en-US" w:eastAsia="zh-CN"/>
    </w:rPr>
  </w:style>
  <w:style w:type="paragraph" w:customStyle="1" w:styleId="143">
    <w:name w:val="reader-word-layer reader-word-s2-0"/>
    <w:basedOn w:val="1"/>
    <w:qFormat/>
    <w:uiPriority w:val="0"/>
    <w:pPr>
      <w:widowControl/>
      <w:spacing w:before="100" w:beforeAutospacing="1" w:after="100" w:afterAutospacing="1"/>
      <w:jc w:val="left"/>
    </w:pPr>
    <w:rPr>
      <w:rFonts w:ascii="宋体" w:hAnsi="宋体" w:cs="宋体"/>
      <w:kern w:val="0"/>
      <w:sz w:val="24"/>
      <w:lang w:val="en-US" w:eastAsia="zh-CN"/>
    </w:rPr>
  </w:style>
  <w:style w:type="paragraph" w:customStyle="1" w:styleId="144">
    <w:name w:val="表文-lcc"/>
    <w:basedOn w:val="1"/>
    <w:qFormat/>
    <w:uiPriority w:val="0"/>
    <w:pPr>
      <w:jc w:val="center"/>
    </w:pPr>
    <w:rPr>
      <w:szCs w:val="21"/>
      <w:lang w:val="en-US" w:eastAsia="zh-CN"/>
    </w:rPr>
  </w:style>
  <w:style w:type="paragraph" w:customStyle="1" w:styleId="145">
    <w:name w:val="Char Char Char Char"/>
    <w:basedOn w:val="1"/>
    <w:qFormat/>
    <w:uiPriority w:val="0"/>
    <w:rPr>
      <w:lang w:val="en-US" w:eastAsia="zh-CN"/>
    </w:rPr>
  </w:style>
  <w:style w:type="paragraph" w:customStyle="1" w:styleId="146">
    <w:name w:val="正文图标题"/>
    <w:next w:val="1"/>
    <w:qFormat/>
    <w:uiPriority w:val="0"/>
    <w:pPr>
      <w:numPr>
        <w:ilvl w:val="0"/>
        <w:numId w:val="4"/>
      </w:numPr>
      <w:tabs>
        <w:tab w:val="left" w:pos="360"/>
      </w:tabs>
      <w:spacing w:before="156" w:beforeLines="50" w:after="156" w:afterLines="50"/>
      <w:jc w:val="center"/>
    </w:pPr>
    <w:rPr>
      <w:rFonts w:ascii="黑体" w:hAnsi="Times New Roman" w:eastAsia="黑体" w:cs="Times New Roman"/>
      <w:sz w:val="21"/>
      <w:lang w:val="en-US" w:eastAsia="zh-CN" w:bidi="ar-SA"/>
    </w:rPr>
  </w:style>
  <w:style w:type="paragraph" w:customStyle="1" w:styleId="147">
    <w:name w:val="Char Char1 Char Char Char Char1"/>
    <w:basedOn w:val="1"/>
    <w:qFormat/>
    <w:uiPriority w:val="0"/>
    <w:pPr>
      <w:spacing w:after="160" w:line="240" w:lineRule="exact"/>
      <w:ind w:firstLine="200" w:firstLineChars="200"/>
    </w:pPr>
    <w:rPr>
      <w:rFonts w:ascii="Verdana" w:hAnsi="Verdana" w:cs="Verdana"/>
      <w:sz w:val="20"/>
      <w:szCs w:val="28"/>
      <w:lang w:val="en-US" w:eastAsia="en-US"/>
    </w:rPr>
  </w:style>
  <w:style w:type="paragraph" w:customStyle="1" w:styleId="148">
    <w:name w:val="表内式样"/>
    <w:qFormat/>
    <w:uiPriority w:val="0"/>
    <w:pPr>
      <w:widowControl w:val="0"/>
      <w:jc w:val="center"/>
    </w:pPr>
    <w:rPr>
      <w:rFonts w:ascii="黑体" w:hAnsi="Times New Roman" w:eastAsia="黑体" w:cs="Times New Roman"/>
      <w:color w:val="000000"/>
      <w:kern w:val="2"/>
      <w:sz w:val="18"/>
      <w:szCs w:val="24"/>
      <w:lang w:val="en-US" w:eastAsia="zh-CN" w:bidi="ar-SA"/>
    </w:rPr>
  </w:style>
  <w:style w:type="paragraph" w:customStyle="1" w:styleId="149">
    <w:name w:val="l正文"/>
    <w:basedOn w:val="15"/>
    <w:link w:val="150"/>
    <w:qFormat/>
    <w:uiPriority w:val="0"/>
    <w:pPr>
      <w:adjustRightInd w:val="0"/>
      <w:spacing w:line="360" w:lineRule="auto"/>
      <w:ind w:firstLine="480" w:firstLineChars="200"/>
      <w:textAlignment w:val="baseline"/>
    </w:pPr>
    <w:rPr>
      <w:kern w:val="0"/>
      <w:sz w:val="24"/>
      <w:szCs w:val="20"/>
      <w:lang w:val="en-US" w:eastAsia="zh-CN"/>
    </w:rPr>
  </w:style>
  <w:style w:type="character" w:customStyle="1" w:styleId="150">
    <w:name w:val="l正文 Char"/>
    <w:link w:val="149"/>
    <w:qFormat/>
    <w:uiPriority w:val="0"/>
    <w:rPr>
      <w:rFonts w:ascii="宋体" w:hAnsi="Courier New"/>
      <w:sz w:val="24"/>
    </w:rPr>
  </w:style>
  <w:style w:type="paragraph" w:customStyle="1" w:styleId="151">
    <w:name w:val="陈表头文字"/>
    <w:basedOn w:val="1"/>
    <w:next w:val="1"/>
    <w:link w:val="154"/>
    <w:qFormat/>
    <w:uiPriority w:val="0"/>
    <w:pPr>
      <w:keepNext/>
      <w:adjustRightInd w:val="0"/>
      <w:snapToGrid w:val="0"/>
      <w:spacing w:before="120" w:beforeLines="50" w:after="120" w:afterLines="50"/>
      <w:ind w:firstLine="523" w:firstLineChars="217"/>
      <w:jc w:val="center"/>
    </w:pPr>
    <w:rPr>
      <w:b/>
      <w:kern w:val="0"/>
      <w:sz w:val="24"/>
      <w:lang w:val="zh-CN" w:eastAsia="zh-CN"/>
    </w:rPr>
  </w:style>
  <w:style w:type="paragraph" w:customStyle="1" w:styleId="152">
    <w:name w:val="陈表格中内容"/>
    <w:basedOn w:val="1"/>
    <w:next w:val="1"/>
    <w:link w:val="153"/>
    <w:qFormat/>
    <w:uiPriority w:val="0"/>
    <w:pPr>
      <w:jc w:val="center"/>
    </w:pPr>
    <w:rPr>
      <w:szCs w:val="21"/>
      <w:lang w:val="zh-CN" w:eastAsia="zh-CN"/>
    </w:rPr>
  </w:style>
  <w:style w:type="character" w:customStyle="1" w:styleId="153">
    <w:name w:val="陈表格中内容 Char"/>
    <w:link w:val="152"/>
    <w:qFormat/>
    <w:uiPriority w:val="0"/>
    <w:rPr>
      <w:kern w:val="2"/>
      <w:sz w:val="21"/>
      <w:szCs w:val="21"/>
      <w:lang w:val="zh-CN" w:eastAsia="zh-CN"/>
    </w:rPr>
  </w:style>
  <w:style w:type="character" w:customStyle="1" w:styleId="154">
    <w:name w:val="陈表头文字 Char"/>
    <w:link w:val="151"/>
    <w:qFormat/>
    <w:uiPriority w:val="0"/>
    <w:rPr>
      <w:b/>
      <w:sz w:val="24"/>
      <w:szCs w:val="24"/>
      <w:lang w:val="zh-CN" w:eastAsia="zh-CN"/>
    </w:rPr>
  </w:style>
  <w:style w:type="paragraph" w:customStyle="1" w:styleId="155">
    <w:name w:val="4标题"/>
    <w:basedOn w:val="1"/>
    <w:link w:val="156"/>
    <w:qFormat/>
    <w:uiPriority w:val="0"/>
    <w:pPr>
      <w:spacing w:line="360" w:lineRule="auto"/>
      <w:jc w:val="left"/>
    </w:pPr>
    <w:rPr>
      <w:b/>
      <w:sz w:val="24"/>
      <w:lang w:val="zh-CN" w:eastAsia="zh-CN"/>
    </w:rPr>
  </w:style>
  <w:style w:type="character" w:customStyle="1" w:styleId="156">
    <w:name w:val="4标题 Char"/>
    <w:link w:val="155"/>
    <w:qFormat/>
    <w:uiPriority w:val="0"/>
    <w:rPr>
      <w:b/>
      <w:kern w:val="2"/>
      <w:sz w:val="24"/>
      <w:szCs w:val="24"/>
      <w:lang w:val="zh-CN" w:eastAsia="zh-CN"/>
    </w:rPr>
  </w:style>
  <w:style w:type="paragraph" w:styleId="157">
    <w:name w:val="List Paragraph"/>
    <w:basedOn w:val="1"/>
    <w:qFormat/>
    <w:uiPriority w:val="1"/>
    <w:pPr>
      <w:widowControl/>
      <w:ind w:firstLine="420" w:firstLineChars="200"/>
      <w:jc w:val="left"/>
    </w:pPr>
    <w:rPr>
      <w:lang w:val="en-US" w:eastAsia="zh-CN"/>
    </w:rPr>
  </w:style>
  <w:style w:type="paragraph" w:customStyle="1" w:styleId="158">
    <w:name w:val="陈正文"/>
    <w:basedOn w:val="1"/>
    <w:next w:val="1"/>
    <w:link w:val="159"/>
    <w:qFormat/>
    <w:uiPriority w:val="0"/>
    <w:pPr>
      <w:widowControl/>
      <w:spacing w:line="360" w:lineRule="auto"/>
      <w:ind w:firstLine="480" w:firstLineChars="200"/>
    </w:pPr>
    <w:rPr>
      <w:rFonts w:eastAsiaTheme="minorEastAsia"/>
      <w:sz w:val="24"/>
      <w:szCs w:val="28"/>
      <w:lang w:val="en-US" w:eastAsia="zh-CN"/>
    </w:rPr>
  </w:style>
  <w:style w:type="character" w:customStyle="1" w:styleId="159">
    <w:name w:val="陈正文 Char"/>
    <w:basedOn w:val="32"/>
    <w:link w:val="158"/>
    <w:qFormat/>
    <w:uiPriority w:val="0"/>
    <w:rPr>
      <w:rFonts w:eastAsiaTheme="minorEastAsia"/>
      <w:kern w:val="2"/>
      <w:sz w:val="24"/>
      <w:szCs w:val="28"/>
    </w:rPr>
  </w:style>
  <w:style w:type="paragraph" w:customStyle="1" w:styleId="160">
    <w:name w:val="zwb_图表标题"/>
    <w:basedOn w:val="1"/>
    <w:next w:val="1"/>
    <w:link w:val="161"/>
    <w:qFormat/>
    <w:uiPriority w:val="0"/>
    <w:pPr>
      <w:spacing w:line="360" w:lineRule="auto"/>
      <w:jc w:val="center"/>
    </w:pPr>
    <w:rPr>
      <w:b/>
      <w:sz w:val="24"/>
      <w:lang w:val="en-US" w:eastAsia="zh-CN"/>
    </w:rPr>
  </w:style>
  <w:style w:type="character" w:customStyle="1" w:styleId="161">
    <w:name w:val="zwb_图表标题 Char"/>
    <w:basedOn w:val="32"/>
    <w:link w:val="160"/>
    <w:qFormat/>
    <w:uiPriority w:val="0"/>
    <w:rPr>
      <w:b/>
      <w:kern w:val="2"/>
      <w:sz w:val="24"/>
      <w:szCs w:val="24"/>
    </w:rPr>
  </w:style>
  <w:style w:type="paragraph" w:customStyle="1" w:styleId="162">
    <w:name w:val="陈正文－修改好"/>
    <w:basedOn w:val="158"/>
    <w:qFormat/>
    <w:uiPriority w:val="0"/>
  </w:style>
  <w:style w:type="paragraph" w:customStyle="1" w:styleId="163">
    <w:name w:val="陈标题3"/>
    <w:basedOn w:val="1"/>
    <w:next w:val="1"/>
    <w:qFormat/>
    <w:uiPriority w:val="0"/>
    <w:pPr>
      <w:keepNext/>
      <w:keepLines/>
      <w:numPr>
        <w:ilvl w:val="2"/>
        <w:numId w:val="5"/>
      </w:numPr>
      <w:spacing w:line="288" w:lineRule="auto"/>
      <w:outlineLvl w:val="2"/>
    </w:pPr>
    <w:rPr>
      <w:b/>
      <w:sz w:val="28"/>
      <w:szCs w:val="30"/>
      <w:lang w:val="zh-CN"/>
    </w:rPr>
  </w:style>
  <w:style w:type="paragraph" w:customStyle="1" w:styleId="164">
    <w:name w:val="陈标题4"/>
    <w:basedOn w:val="1"/>
    <w:next w:val="1"/>
    <w:qFormat/>
    <w:uiPriority w:val="0"/>
    <w:pPr>
      <w:keepNext/>
      <w:keepLines/>
      <w:numPr>
        <w:ilvl w:val="3"/>
        <w:numId w:val="5"/>
      </w:numPr>
      <w:spacing w:line="288" w:lineRule="auto"/>
      <w:ind w:left="0"/>
      <w:outlineLvl w:val="3"/>
    </w:pPr>
    <w:rPr>
      <w:rFonts w:hAnsi="宋体"/>
      <w:b/>
      <w:sz w:val="28"/>
      <w:szCs w:val="28"/>
    </w:rPr>
  </w:style>
  <w:style w:type="paragraph" w:customStyle="1" w:styleId="165">
    <w:name w:val="陈标题5"/>
    <w:basedOn w:val="1"/>
    <w:next w:val="1"/>
    <w:qFormat/>
    <w:uiPriority w:val="0"/>
    <w:pPr>
      <w:spacing w:line="240" w:lineRule="auto"/>
      <w:outlineLvl w:val="4"/>
    </w:pPr>
    <w:rPr>
      <w:b/>
      <w:sz w:val="28"/>
      <w:szCs w:val="24"/>
    </w:rPr>
  </w:style>
  <w:style w:type="paragraph" w:customStyle="1" w:styleId="166">
    <w:name w:val="陈表格中内容，两端对齐"/>
    <w:basedOn w:val="1"/>
    <w:qFormat/>
    <w:uiPriority w:val="0"/>
    <w:pPr>
      <w:spacing w:line="240" w:lineRule="auto"/>
      <w:jc w:val="center"/>
    </w:pPr>
    <w:rPr>
      <w:sz w:val="21"/>
      <w:szCs w:val="21"/>
    </w:rPr>
  </w:style>
  <w:style w:type="paragraph" w:customStyle="1" w:styleId="167">
    <w:name w:val="_Style 3"/>
    <w:basedOn w:val="3"/>
    <w:next w:val="1"/>
    <w:semiHidden/>
    <w:unhideWhenUsed/>
    <w:qFormat/>
    <w:uiPriority w:val="39"/>
    <w:pPr>
      <w:widowControl/>
      <w:spacing w:before="480" w:after="0" w:line="276" w:lineRule="auto"/>
      <w:jc w:val="left"/>
      <w:outlineLvl w:val="9"/>
    </w:pPr>
    <w:rPr>
      <w:rFonts w:ascii="Cambria" w:hAnsi="Cambria" w:eastAsia="宋体" w:cs="Times New Roman"/>
      <w:color w:val="365F91"/>
      <w:kern w:val="0"/>
      <w:sz w:val="28"/>
      <w:szCs w:val="28"/>
    </w:rPr>
  </w:style>
  <w:style w:type="character" w:customStyle="1" w:styleId="168">
    <w:name w:val="标题 1 Char"/>
    <w:link w:val="3"/>
    <w:qFormat/>
    <w:uiPriority w:val="0"/>
    <w:rPr>
      <w:b/>
      <w:bCs/>
      <w:kern w:val="44"/>
      <w:sz w:val="44"/>
      <w:szCs w:val="44"/>
      <w:lang w:val="en-US" w:eastAsia="zh-CN"/>
    </w:rPr>
  </w:style>
  <w:style w:type="character" w:customStyle="1" w:styleId="169">
    <w:name w:val="标题 2 Char"/>
    <w:link w:val="2"/>
    <w:qFormat/>
    <w:uiPriority w:val="0"/>
    <w:rPr>
      <w:rFonts w:ascii="Arial" w:hAnsi="Arial" w:eastAsia="黑体"/>
      <w:b/>
      <w:bCs/>
      <w:sz w:val="32"/>
      <w:szCs w:val="32"/>
    </w:rPr>
  </w:style>
  <w:style w:type="character" w:customStyle="1" w:styleId="170">
    <w:name w:val="标题 3 Char"/>
    <w:link w:val="4"/>
    <w:qFormat/>
    <w:uiPriority w:val="0"/>
    <w:rPr>
      <w:b/>
      <w:bCs/>
      <w:sz w:val="32"/>
      <w:szCs w:val="32"/>
      <w:lang w:val="en-US" w:eastAsia="zh-CN"/>
    </w:rPr>
  </w:style>
  <w:style w:type="character" w:customStyle="1" w:styleId="171">
    <w:name w:val="标题 Char"/>
    <w:link w:val="25"/>
    <w:qFormat/>
    <w:uiPriority w:val="0"/>
    <w:rPr>
      <w:rFonts w:ascii="Cambria" w:hAnsi="Cambria"/>
      <w:b/>
      <w:bCs/>
      <w:sz w:val="32"/>
      <w:szCs w:val="32"/>
    </w:rPr>
  </w:style>
  <w:style w:type="paragraph" w:customStyle="1" w:styleId="172">
    <w:name w:val="纯文本4"/>
    <w:basedOn w:val="1"/>
    <w:qFormat/>
    <w:uiPriority w:val="0"/>
    <w:rPr>
      <w:rFonts w:ascii="宋体" w:hAnsi="Courier New" w:eastAsia="仿宋_GB2312"/>
      <w:sz w:val="28"/>
      <w:szCs w:val="20"/>
    </w:rPr>
  </w:style>
  <w:style w:type="paragraph" w:customStyle="1" w:styleId="173">
    <w:name w:val="Table Paragraph"/>
    <w:basedOn w:val="1"/>
    <w:qFormat/>
    <w:uiPriority w:val="1"/>
    <w:pPr>
      <w:jc w:val="left"/>
    </w:pPr>
    <w:rPr>
      <w:rFonts w:ascii="Calibri" w:hAnsi="Calibri"/>
      <w:kern w:val="0"/>
      <w:sz w:val="22"/>
      <w:szCs w:val="22"/>
      <w:lang w:eastAsia="en-US"/>
    </w:rPr>
  </w:style>
  <w:style w:type="table" w:customStyle="1" w:styleId="174">
    <w:name w:val="Table Normal"/>
    <w:semiHidden/>
    <w:qFormat/>
    <w:uiPriority w:val="2"/>
    <w:pPr>
      <w:widowControl w:val="0"/>
    </w:pPr>
    <w:rPr>
      <w:rFonts w:ascii="Calibri" w:hAnsi="Calibri"/>
      <w:sz w:val="22"/>
      <w:szCs w:val="22"/>
      <w:lang w:eastAsia="en-US"/>
    </w:rPr>
    <w:tblPr>
      <w:tblCellMar>
        <w:top w:w="0" w:type="dxa"/>
        <w:left w:w="0" w:type="dxa"/>
        <w:bottom w:w="0" w:type="dxa"/>
        <w:right w:w="0" w:type="dxa"/>
      </w:tblCellMar>
    </w:tblPr>
  </w:style>
  <w:style w:type="paragraph" w:customStyle="1" w:styleId="175">
    <w:name w:val="正文-居中"/>
    <w:qFormat/>
    <w:uiPriority w:val="0"/>
    <w:pPr>
      <w:spacing w:line="360" w:lineRule="auto"/>
      <w:ind w:firstLine="200" w:firstLineChars="200"/>
      <w:jc w:val="both"/>
    </w:pPr>
    <w:rPr>
      <w:rFonts w:ascii="Times New Roman" w:hAnsi="Times New Roman" w:eastAsia="宋体" w:cs="Times New Roman"/>
      <w:kern w:val="2"/>
      <w:sz w:val="24"/>
      <w:szCs w:val="24"/>
      <w:lang w:val="en-US" w:eastAsia="zh-CN" w:bidi="ar-SA"/>
    </w:rPr>
  </w:style>
  <w:style w:type="paragraph" w:customStyle="1" w:styleId="176">
    <w:name w:val="正文文本缩进2"/>
    <w:basedOn w:val="1"/>
    <w:qFormat/>
    <w:uiPriority w:val="0"/>
    <w:pPr>
      <w:ind w:firstLine="435"/>
    </w:pPr>
    <w:rPr>
      <w:sz w:val="28"/>
      <w:szCs w:val="20"/>
    </w:rPr>
  </w:style>
  <w:style w:type="paragraph" w:customStyle="1" w:styleId="177">
    <w:name w:val="CM8"/>
    <w:basedOn w:val="29"/>
    <w:next w:val="29"/>
    <w:qFormat/>
    <w:uiPriority w:val="0"/>
    <w:pPr>
      <w:spacing w:line="493" w:lineRule="atLeast"/>
    </w:pPr>
    <w:rPr>
      <w:color w:val="auto"/>
    </w:rPr>
  </w:style>
  <w:style w:type="paragraph" w:customStyle="1" w:styleId="178">
    <w:name w:val="CM13"/>
    <w:basedOn w:val="29"/>
    <w:next w:val="29"/>
    <w:qFormat/>
    <w:uiPriority w:val="0"/>
    <w:pPr>
      <w:spacing w:line="468" w:lineRule="atLeast"/>
      <w:ind w:firstLine="482"/>
      <w:jc w:val="both"/>
    </w:pPr>
    <w:rPr>
      <w:rFonts w:ascii="宋体" w:hAnsi="Times New Roman" w:cs="Times New Roman"/>
      <w:color w:val="auto"/>
    </w:rPr>
  </w:style>
  <w:style w:type="paragraph" w:customStyle="1" w:styleId="179">
    <w:name w:val="CM60"/>
    <w:basedOn w:val="29"/>
    <w:next w:val="29"/>
    <w:qFormat/>
    <w:uiPriority w:val="0"/>
    <w:pPr>
      <w:spacing w:after="245" w:line="460" w:lineRule="exact"/>
      <w:ind w:firstLine="482"/>
      <w:jc w:val="both"/>
    </w:pPr>
    <w:rPr>
      <w:rFonts w:ascii="宋体" w:hAnsi="Times New Roman" w:cs="Times New Roman"/>
      <w:color w:val="auto"/>
    </w:rPr>
  </w:style>
  <w:style w:type="paragraph" w:customStyle="1" w:styleId="180">
    <w:name w:val="正文 New"/>
    <w:qFormat/>
    <w:uiPriority w:val="0"/>
    <w:pPr>
      <w:widowControl w:val="0"/>
      <w:snapToGrid w:val="0"/>
      <w:spacing w:before="60" w:after="60"/>
      <w:jc w:val="both"/>
    </w:pPr>
    <w:rPr>
      <w:rFonts w:ascii="Times New Roman" w:hAnsi="Times New Roman" w:eastAsia="宋体" w:cs="Times New Roman"/>
      <w:kern w:val="2"/>
      <w:sz w:val="24"/>
      <w:lang w:val="en-US" w:eastAsia="zh-CN" w:bidi="ar-SA"/>
    </w:rPr>
  </w:style>
  <w:style w:type="paragraph" w:customStyle="1" w:styleId="181">
    <w:name w:val="CM56"/>
    <w:basedOn w:val="29"/>
    <w:next w:val="29"/>
    <w:qFormat/>
    <w:uiPriority w:val="0"/>
    <w:pPr>
      <w:spacing w:after="350" w:line="460" w:lineRule="exact"/>
      <w:ind w:firstLine="482"/>
      <w:jc w:val="both"/>
    </w:pPr>
    <w:rPr>
      <w:rFonts w:ascii="宋体" w:hAnsi="Times New Roman" w:cs="Times New Roman"/>
      <w:color w:val="auto"/>
    </w:rPr>
  </w:style>
  <w:style w:type="paragraph" w:customStyle="1" w:styleId="182">
    <w:name w:val="单行表格样式(居中)"/>
    <w:qFormat/>
    <w:uiPriority w:val="0"/>
    <w:pPr>
      <w:jc w:val="center"/>
    </w:pPr>
    <w:rPr>
      <w:rFonts w:ascii="宋体" w:hAnsi="宋体" w:eastAsia="宋体" w:cs="Times New Roman"/>
      <w:kern w:val="2"/>
      <w:sz w:val="21"/>
      <w:szCs w:val="28"/>
      <w:lang w:val="en-US" w:eastAsia="zh-CN" w:bidi="ar-SA"/>
    </w:rPr>
  </w:style>
  <w:style w:type="paragraph" w:customStyle="1" w:styleId="183">
    <w:name w:val=" Char Char1"/>
    <w:basedOn w:val="1"/>
    <w:qFormat/>
    <w:uiPriority w:val="0"/>
    <w:pPr>
      <w:spacing w:line="360" w:lineRule="auto"/>
      <w:ind w:firstLine="200" w:firstLineChars="200"/>
    </w:pPr>
    <w:rPr>
      <w:rFonts w:ascii="宋体" w:hAnsi="宋体"/>
      <w:sz w:val="24"/>
    </w:rPr>
  </w:style>
  <w:style w:type="paragraph" w:customStyle="1" w:styleId="184">
    <w:name w:val="表格中"/>
    <w:basedOn w:val="1"/>
    <w:qFormat/>
    <w:uiPriority w:val="0"/>
    <w:pPr>
      <w:jc w:val="center"/>
    </w:pPr>
    <w:rPr>
      <w:rFonts w:ascii="仿宋_GB2312" w:hAnsi="仿宋_GB2312" w:eastAsia="仿宋_GB2312" w:cs="宋体"/>
      <w:szCs w:val="20"/>
    </w:rPr>
  </w:style>
  <w:style w:type="paragraph" w:customStyle="1" w:styleId="185">
    <w:name w:val="样式2"/>
    <w:basedOn w:val="1"/>
    <w:qFormat/>
    <w:uiPriority w:val="0"/>
    <w:pPr>
      <w:adjustRightInd w:val="0"/>
      <w:spacing w:line="288" w:lineRule="auto"/>
      <w:ind w:left="170"/>
      <w:jc w:val="left"/>
    </w:pPr>
    <w:rPr>
      <w:b/>
      <w:kern w:val="0"/>
      <w:sz w:val="24"/>
      <w:szCs w:val="20"/>
    </w:rPr>
  </w:style>
  <w:style w:type="paragraph" w:customStyle="1" w:styleId="186">
    <w:name w:val="纯文本6"/>
    <w:basedOn w:val="1"/>
    <w:qFormat/>
    <w:uiPriority w:val="0"/>
    <w:rPr>
      <w:rFonts w:ascii="宋体" w:hAnsi="Courier New" w:eastAsia="仿宋_GB2312"/>
      <w:sz w:val="28"/>
      <w:szCs w:val="20"/>
    </w:rPr>
  </w:style>
  <w:style w:type="paragraph" w:customStyle="1" w:styleId="187">
    <w:name w:val="纯文本2"/>
    <w:basedOn w:val="1"/>
    <w:qFormat/>
    <w:uiPriority w:val="0"/>
    <w:rPr>
      <w:rFonts w:ascii="宋体" w:hAnsi="Courier New" w:eastAsia="仿宋_GB2312"/>
      <w:sz w:val="28"/>
      <w:szCs w:val="20"/>
    </w:rPr>
  </w:style>
  <w:style w:type="paragraph" w:customStyle="1" w:styleId="188">
    <w:name w:val="正文(首行缩进)"/>
    <w:basedOn w:val="1"/>
    <w:qFormat/>
    <w:uiPriority w:val="0"/>
    <w:pPr>
      <w:spacing w:line="360" w:lineRule="auto"/>
      <w:ind w:firstLine="540" w:firstLineChars="225"/>
    </w:pPr>
    <w:rPr>
      <w:rFonts w:ascii="宋体" w:hAnsi="宋体"/>
      <w:snapToGrid w:val="0"/>
      <w:sz w:val="24"/>
    </w:rPr>
  </w:style>
  <w:style w:type="paragraph" w:customStyle="1" w:styleId="189">
    <w:name w:val="xl28"/>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宋体" w:hAnsi="宋体"/>
      <w:kern w:val="0"/>
      <w:sz w:val="24"/>
    </w:rPr>
  </w:style>
  <w:style w:type="paragraph" w:customStyle="1" w:styleId="190">
    <w:name w:val="纯文本3"/>
    <w:basedOn w:val="1"/>
    <w:qFormat/>
    <w:uiPriority w:val="0"/>
    <w:rPr>
      <w:rFonts w:ascii="宋体" w:hAnsi="Courier New" w:eastAsia="仿宋_GB2312"/>
      <w:sz w:val="28"/>
      <w:szCs w:val="20"/>
    </w:rPr>
  </w:style>
  <w:style w:type="paragraph" w:customStyle="1" w:styleId="191">
    <w:name w:val="报告书表格"/>
    <w:basedOn w:val="1"/>
    <w:qFormat/>
    <w:uiPriority w:val="0"/>
    <w:pPr>
      <w:adjustRightInd w:val="0"/>
      <w:spacing w:before="60" w:after="60" w:line="240" w:lineRule="atLeast"/>
      <w:jc w:val="center"/>
      <w:textAlignment w:val="baseline"/>
    </w:pPr>
    <w:rPr>
      <w:rFonts w:ascii="Arial" w:hAnsi="Arial"/>
      <w:kern w:val="0"/>
      <w:sz w:val="24"/>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6.jpeg"/><Relationship Id="rId15" Type="http://schemas.openxmlformats.org/officeDocument/2006/relationships/image" Target="media/image5.jpeg"/><Relationship Id="rId14" Type="http://schemas.openxmlformats.org/officeDocument/2006/relationships/image" Target="media/image4.jpeg"/><Relationship Id="rId13" Type="http://schemas.openxmlformats.org/officeDocument/2006/relationships/image" Target="media/image3.jpeg"/><Relationship Id="rId12" Type="http://schemas.openxmlformats.org/officeDocument/2006/relationships/image" Target="media/image2.jpeg"/><Relationship Id="rId11" Type="http://schemas.openxmlformats.org/officeDocument/2006/relationships/image" Target="media/image1.jpe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521D387-5AF9-45AE-83A7-4DFF281C20A8}">
  <ds:schemaRefs/>
</ds:datastoreItem>
</file>

<file path=docProps/app.xml><?xml version="1.0" encoding="utf-8"?>
<Properties xmlns="http://schemas.openxmlformats.org/officeDocument/2006/extended-properties" xmlns:vt="http://schemas.openxmlformats.org/officeDocument/2006/docPropsVTypes">
  <Template>Normal.dotm</Template>
  <Company>Lenovo (Beijing) Limited</Company>
  <Pages>48</Pages>
  <Words>3733</Words>
  <Characters>21284</Characters>
  <Lines>177</Lines>
  <Paragraphs>49</Paragraphs>
  <TotalTime>67</TotalTime>
  <ScaleCrop>false</ScaleCrop>
  <LinksUpToDate>false</LinksUpToDate>
  <CharactersWithSpaces>24968</CharactersWithSpaces>
  <Application>WPS Office_11.8.2.8808_F1E327BC-269C-435d-A152-05C5408002CA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2019-04-03T04:44:00Z</dcterms:created>
  <dc:creator>Lenovo User</dc:creator>
  <cp:lastModifiedBy>DELL</cp:lastModifiedBy>
  <cp:lastPrinted>2020-10-15T12:12:00Z</cp:lastPrinted>
  <dcterms:modified xsi:type="dcterms:W3CDTF">2020-10-16T02:39:06Z</dcterms:modified>
  <dc:title>建设项目环境影响报告表</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2052-11.8.2.8808</vt:lpwstr>
  </property>
</Properties>
</file>