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E7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附件：</w:t>
      </w:r>
    </w:p>
    <w:p w14:paraId="77882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</w:p>
    <w:p w14:paraId="78B1C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2026年包头市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清洁能源产业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eastAsia="zh-CN"/>
        </w:rPr>
        <w:t>重点任务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清单</w:t>
      </w:r>
    </w:p>
    <w:p w14:paraId="78B07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2487E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为落实《包头市“十五五”时期推动清洁能源产业高质量发展行动方案》，明确年度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重点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任务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，制定本任务清单。</w:t>
      </w:r>
    </w:p>
    <w:p w14:paraId="4D2BA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加快扩大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清洁能源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产业规模，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力争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实现产值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亿元。</w:t>
      </w:r>
    </w:p>
    <w:p w14:paraId="0EADA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市发改委、工信局等相关单位</w:t>
      </w:r>
    </w:p>
    <w:p w14:paraId="639BD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2.加快推进已批复新能源项目开工建设。重点推进达茂旗30万千瓦草光互补、卧龙50万千瓦等项目竣工，力争年内新增并网规模200万千瓦。</w:t>
      </w:r>
    </w:p>
    <w:p w14:paraId="023B1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市发改委，相关旗县区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政府</w:t>
      </w:r>
    </w:p>
    <w:p w14:paraId="5ABA6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配合国家做好光伏行业综合整治工作，推动晶硅光伏企业降本增效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，保持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行业健康稳定发展。</w:t>
      </w:r>
    </w:p>
    <w:p w14:paraId="2D707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市发改委、工信局</w:t>
      </w:r>
    </w:p>
    <w:p w14:paraId="2FA96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积极争取举办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2026年中国硅业大会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暨光储协同应用高质量发展研讨会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27003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市发改委</w:t>
      </w:r>
    </w:p>
    <w:p w14:paraId="662DA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5.加快推动敕勒川、红崖湾、高新东等500千伏输变电工程建设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；推进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阿尔丁、松石等中心城区电源点建设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36097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包头供电公司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发改委、相关旗县区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政府</w:t>
      </w:r>
    </w:p>
    <w:p w14:paraId="58941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6.加快推动中航锂电、永臻科技、西部国轩等储能电站项目建设，力争建成投产储能电站500万千瓦时以上。</w:t>
      </w:r>
    </w:p>
    <w:p w14:paraId="5598E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市发改委</w:t>
      </w:r>
    </w:p>
    <w:p w14:paraId="53FDF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7.积极向自治区争取储能电站项目，完成2026—2027年新增独立储能电站优选及申报工作。</w:t>
      </w:r>
    </w:p>
    <w:p w14:paraId="449EE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市发改委</w:t>
      </w:r>
    </w:p>
    <w:p w14:paraId="7ACB2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8.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出台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《包头市“十五五”时期推动绿氢产业高质量发展行动方案》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《包头市加氢站布局专项规划（2025—2035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）》等规划文件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1FF95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市发改委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住建局</w:t>
      </w:r>
    </w:p>
    <w:p w14:paraId="647A2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.加快建设输氢管网，推动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达茂旗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至包头市区氢气长输管道主干管网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投运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，谋划建设支线管网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26465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市发改委</w:t>
      </w:r>
    </w:p>
    <w:p w14:paraId="4603F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10.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推动土右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旗综合能源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站尽快建成并投入运营，加快白云区、九原区、东河区等重点区域加氢站建设进度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25E77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市住建局、发改委</w:t>
      </w:r>
    </w:p>
    <w:p w14:paraId="23A30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不断扩展绿氢应用场景，在交通、天然气掺烧、冶金、化工等领域取得新突破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45A7C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市发改委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工信局、交通运输局、住建局</w:t>
      </w:r>
    </w:p>
    <w:p w14:paraId="4A338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.积极争取举办自治区氢能产业发展大会。</w:t>
      </w:r>
    </w:p>
    <w:p w14:paraId="207DA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责任单位：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市发改委</w:t>
      </w:r>
    </w:p>
    <w:p w14:paraId="5D327AB3"/>
    <w:sectPr>
      <w:pgSz w:w="11906" w:h="16838"/>
      <w:pgMar w:top="1928" w:right="1417" w:bottom="1701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84FAF"/>
    <w:rsid w:val="1068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啊"/>
    <w:basedOn w:val="1"/>
    <w:qFormat/>
    <w:uiPriority w:val="0"/>
    <w:pPr>
      <w:adjustRightInd w:val="0"/>
      <w:snapToGrid w:val="0"/>
      <w:spacing w:before="312" w:line="276" w:lineRule="auto"/>
      <w:ind w:left="210" w:right="210"/>
      <w:contextualSpacing/>
    </w:pPr>
    <w:rPr>
      <w:rFonts w:ascii="微软雅黑" w:hAnsi="Times New Roman" w:eastAsia="微软雅黑" w:cs="Times New Roman"/>
      <w:color w:val="000000"/>
      <w:sz w:val="24"/>
      <w:szCs w:val="21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2026-09-08T08:24:00Z</dcterms:created>
  <dc:creator>郑成朋</dc:creator>
  <cp:lastModifiedBy>郑成朋</cp:lastModifiedBy>
  <dcterms:modified xsi:type="dcterms:W3CDTF">2026-09-08T08:24:55Z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2ABE00145D094F2D9AC1285FA6BE8506_11</vt:lpwstr>
  </property>
  <property fmtid="{D5CDD505-2E9C-101B-9397-08002B2CF9AE}" pid="4" name="KSOTemplateDocerSaveRecord">
    <vt:lpwstr>eyJoZGlkIjoiYTRiODU4MDBhZWNmOTYyZjY4NmZiOGU5N2Q1NDc0MDYiLCJ1c2VySWQiOiI1MjYzODc1NDMifQ==</vt:lpwstr>
  </property>
</Properties>
</file>